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522DA" w14:textId="4D7CECCB" w:rsidR="00980D67" w:rsidRPr="00980D67" w:rsidRDefault="00980D67" w:rsidP="00980D6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80D67">
        <w:rPr>
          <w:rFonts w:ascii="Arial" w:hAnsi="Arial" w:cs="Arial"/>
          <w:b/>
          <w:bCs/>
          <w:sz w:val="24"/>
          <w:szCs w:val="24"/>
        </w:rPr>
        <w:t xml:space="preserve">‘Managing separation in the Children and Young People Secure Estate’ </w:t>
      </w:r>
      <w:r>
        <w:rPr>
          <w:rFonts w:ascii="Arial" w:hAnsi="Arial" w:cs="Arial"/>
          <w:b/>
          <w:bCs/>
          <w:sz w:val="24"/>
          <w:szCs w:val="24"/>
        </w:rPr>
        <w:t>draft policy framework</w:t>
      </w:r>
    </w:p>
    <w:p w14:paraId="4D5DB39F" w14:textId="2EA1DAFB" w:rsidR="00980D67" w:rsidRPr="00980D67" w:rsidRDefault="00980D67" w:rsidP="00980D6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80D67">
        <w:rPr>
          <w:rFonts w:ascii="Arial" w:hAnsi="Arial" w:cs="Arial"/>
          <w:b/>
          <w:bCs/>
          <w:sz w:val="24"/>
          <w:szCs w:val="24"/>
        </w:rPr>
        <w:t xml:space="preserve">Comments from Independent Monitoring Boards (IMBs) at </w:t>
      </w:r>
      <w:r w:rsidR="008F30DD">
        <w:rPr>
          <w:rFonts w:ascii="Arial" w:hAnsi="Arial" w:cs="Arial"/>
          <w:b/>
          <w:bCs/>
          <w:sz w:val="24"/>
          <w:szCs w:val="24"/>
        </w:rPr>
        <w:t>Young Offender Institutions (</w:t>
      </w:r>
      <w:r w:rsidRPr="00980D67">
        <w:rPr>
          <w:rFonts w:ascii="Arial" w:hAnsi="Arial" w:cs="Arial"/>
          <w:b/>
          <w:bCs/>
          <w:sz w:val="24"/>
          <w:szCs w:val="24"/>
        </w:rPr>
        <w:t>YOIs</w:t>
      </w:r>
      <w:r w:rsidR="008F30DD">
        <w:rPr>
          <w:rFonts w:ascii="Arial" w:hAnsi="Arial" w:cs="Arial"/>
          <w:b/>
          <w:bCs/>
          <w:sz w:val="24"/>
          <w:szCs w:val="24"/>
        </w:rPr>
        <w:t>)</w:t>
      </w:r>
      <w:r w:rsidRPr="00980D67">
        <w:rPr>
          <w:rFonts w:ascii="Arial" w:hAnsi="Arial" w:cs="Arial"/>
          <w:b/>
          <w:bCs/>
          <w:sz w:val="24"/>
          <w:szCs w:val="24"/>
        </w:rPr>
        <w:t xml:space="preserve"> in England</w:t>
      </w:r>
    </w:p>
    <w:p w14:paraId="1BBD8D99" w14:textId="5AF48FDC" w:rsidR="00B07DAB" w:rsidRDefault="00FA048C">
      <w:pPr>
        <w:rPr>
          <w:rFonts w:ascii="Arial" w:hAnsi="Arial" w:cs="Arial"/>
          <w:sz w:val="24"/>
          <w:szCs w:val="24"/>
        </w:rPr>
      </w:pPr>
      <w:r w:rsidRPr="00980D67">
        <w:rPr>
          <w:rFonts w:ascii="Arial" w:hAnsi="Arial" w:cs="Arial"/>
          <w:sz w:val="24"/>
          <w:szCs w:val="24"/>
        </w:rPr>
        <w:t xml:space="preserve">IMBs across the youth estate in England </w:t>
      </w:r>
      <w:r w:rsidR="00D83B55">
        <w:rPr>
          <w:rFonts w:ascii="Arial" w:hAnsi="Arial" w:cs="Arial"/>
          <w:sz w:val="24"/>
          <w:szCs w:val="24"/>
        </w:rPr>
        <w:t xml:space="preserve">have </w:t>
      </w:r>
      <w:r w:rsidRPr="00980D67">
        <w:rPr>
          <w:rFonts w:ascii="Arial" w:hAnsi="Arial" w:cs="Arial"/>
          <w:sz w:val="24"/>
          <w:szCs w:val="24"/>
        </w:rPr>
        <w:t>raised particular concerns about prolonged periods of separation</w:t>
      </w:r>
      <w:r w:rsidR="000E619B">
        <w:rPr>
          <w:rFonts w:ascii="Arial" w:hAnsi="Arial" w:cs="Arial"/>
          <w:sz w:val="24"/>
          <w:szCs w:val="24"/>
        </w:rPr>
        <w:t xml:space="preserve"> and, in some cases, the extremely restricted regimes </w:t>
      </w:r>
      <w:r w:rsidR="0006704E">
        <w:rPr>
          <w:rFonts w:ascii="Arial" w:hAnsi="Arial" w:cs="Arial"/>
          <w:sz w:val="24"/>
          <w:szCs w:val="24"/>
        </w:rPr>
        <w:t xml:space="preserve">for </w:t>
      </w:r>
      <w:r w:rsidR="00C444B6">
        <w:rPr>
          <w:rFonts w:ascii="Arial" w:hAnsi="Arial" w:cs="Arial"/>
          <w:sz w:val="24"/>
          <w:szCs w:val="24"/>
        </w:rPr>
        <w:t xml:space="preserve">separated </w:t>
      </w:r>
      <w:r w:rsidR="000E619B">
        <w:rPr>
          <w:rFonts w:ascii="Arial" w:hAnsi="Arial" w:cs="Arial"/>
          <w:sz w:val="24"/>
          <w:szCs w:val="24"/>
        </w:rPr>
        <w:t>young people.</w:t>
      </w:r>
    </w:p>
    <w:p w14:paraId="248D11BB" w14:textId="5AE1720C" w:rsidR="0006704E" w:rsidRDefault="000E619B" w:rsidP="000670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IMBs broadly agree with the principles set out in this draft policy framewor</w:t>
      </w:r>
      <w:r w:rsidR="00C444B6">
        <w:rPr>
          <w:rFonts w:ascii="Arial" w:hAnsi="Arial" w:cs="Arial"/>
          <w:sz w:val="24"/>
          <w:szCs w:val="24"/>
        </w:rPr>
        <w:t>k</w:t>
      </w:r>
      <w:r w:rsidR="00C27B62">
        <w:rPr>
          <w:rFonts w:ascii="Arial" w:hAnsi="Arial" w:cs="Arial"/>
          <w:sz w:val="24"/>
          <w:szCs w:val="24"/>
        </w:rPr>
        <w:t xml:space="preserve">.  However, </w:t>
      </w:r>
      <w:r>
        <w:rPr>
          <w:rFonts w:ascii="Arial" w:hAnsi="Arial" w:cs="Arial"/>
          <w:sz w:val="24"/>
          <w:szCs w:val="24"/>
        </w:rPr>
        <w:t xml:space="preserve">it lacks </w:t>
      </w:r>
      <w:r w:rsidR="00C27B62">
        <w:rPr>
          <w:rFonts w:ascii="Arial" w:hAnsi="Arial" w:cs="Arial"/>
          <w:sz w:val="24"/>
          <w:szCs w:val="24"/>
        </w:rPr>
        <w:t xml:space="preserve">both </w:t>
      </w:r>
      <w:r>
        <w:rPr>
          <w:rFonts w:ascii="Arial" w:hAnsi="Arial" w:cs="Arial"/>
          <w:sz w:val="24"/>
          <w:szCs w:val="24"/>
        </w:rPr>
        <w:t xml:space="preserve">clear timescales and detail </w:t>
      </w:r>
      <w:r w:rsidR="0006704E">
        <w:rPr>
          <w:rFonts w:ascii="Arial" w:hAnsi="Arial" w:cs="Arial"/>
          <w:sz w:val="24"/>
          <w:szCs w:val="24"/>
        </w:rPr>
        <w:t>about</w:t>
      </w:r>
      <w:r>
        <w:rPr>
          <w:rFonts w:ascii="Arial" w:hAnsi="Arial" w:cs="Arial"/>
          <w:sz w:val="24"/>
          <w:szCs w:val="24"/>
        </w:rPr>
        <w:t xml:space="preserve"> the governance and oversight of decisions to separate young people in YOIs. </w:t>
      </w:r>
      <w:r w:rsidR="0006704E">
        <w:rPr>
          <w:rFonts w:ascii="Arial" w:hAnsi="Arial" w:cs="Arial"/>
          <w:sz w:val="24"/>
          <w:szCs w:val="24"/>
        </w:rPr>
        <w:t xml:space="preserve">There is a danger that a document that is so focused on aspirations and lacks practical guidance will simply not be implemented at local level. </w:t>
      </w:r>
    </w:p>
    <w:p w14:paraId="59A50152" w14:textId="52EE0594" w:rsidR="000E619B" w:rsidRDefault="000670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Boards are particularly concerned about t</w:t>
      </w:r>
      <w:r w:rsidR="000E619B">
        <w:rPr>
          <w:rFonts w:ascii="Arial" w:hAnsi="Arial" w:cs="Arial"/>
          <w:sz w:val="24"/>
          <w:szCs w:val="24"/>
        </w:rPr>
        <w:t xml:space="preserve">he absence of any mention of the additional processes and support </w:t>
      </w:r>
      <w:r>
        <w:rPr>
          <w:rFonts w:ascii="Arial" w:hAnsi="Arial" w:cs="Arial"/>
          <w:sz w:val="24"/>
          <w:szCs w:val="24"/>
        </w:rPr>
        <w:t xml:space="preserve">that are necessary </w:t>
      </w:r>
      <w:r w:rsidR="000E619B">
        <w:rPr>
          <w:rFonts w:ascii="Arial" w:hAnsi="Arial" w:cs="Arial"/>
          <w:sz w:val="24"/>
          <w:szCs w:val="24"/>
        </w:rPr>
        <w:t>when separating young people on an open ACCT plan (</w:t>
      </w:r>
      <w:r>
        <w:rPr>
          <w:rFonts w:ascii="Arial" w:hAnsi="Arial" w:cs="Arial"/>
          <w:sz w:val="24"/>
          <w:szCs w:val="24"/>
        </w:rPr>
        <w:t xml:space="preserve">for those </w:t>
      </w:r>
      <w:r w:rsidR="000E619B">
        <w:rPr>
          <w:rFonts w:ascii="Arial" w:hAnsi="Arial" w:cs="Arial"/>
          <w:sz w:val="24"/>
          <w:szCs w:val="24"/>
        </w:rPr>
        <w:t xml:space="preserve">identified </w:t>
      </w:r>
      <w:r>
        <w:rPr>
          <w:rFonts w:ascii="Arial" w:hAnsi="Arial" w:cs="Arial"/>
          <w:sz w:val="24"/>
          <w:szCs w:val="24"/>
        </w:rPr>
        <w:t xml:space="preserve">as </w:t>
      </w:r>
      <w:r w:rsidR="000E619B">
        <w:rPr>
          <w:rFonts w:ascii="Arial" w:hAnsi="Arial" w:cs="Arial"/>
          <w:sz w:val="24"/>
          <w:szCs w:val="24"/>
        </w:rPr>
        <w:t>at risk of suicide or self-harm)</w:t>
      </w:r>
      <w:r>
        <w:rPr>
          <w:rFonts w:ascii="Arial" w:hAnsi="Arial" w:cs="Arial"/>
          <w:sz w:val="24"/>
          <w:szCs w:val="24"/>
        </w:rPr>
        <w:t>.</w:t>
      </w:r>
    </w:p>
    <w:p w14:paraId="5C18AF83" w14:textId="59D1196E" w:rsidR="00980D67" w:rsidRPr="00980D67" w:rsidRDefault="008D51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 detailed comments </w:t>
      </w:r>
      <w:r w:rsidR="00186607">
        <w:rPr>
          <w:rFonts w:ascii="Arial" w:hAnsi="Arial" w:cs="Arial"/>
          <w:sz w:val="24"/>
          <w:szCs w:val="24"/>
        </w:rPr>
        <w:t xml:space="preserve">are provided </w:t>
      </w:r>
      <w:r>
        <w:rPr>
          <w:rFonts w:ascii="Arial" w:hAnsi="Arial" w:cs="Arial"/>
          <w:sz w:val="24"/>
          <w:szCs w:val="24"/>
        </w:rPr>
        <w:t>below: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2122"/>
        <w:gridCol w:w="7644"/>
      </w:tblGrid>
      <w:tr w:rsidR="00980D67" w:rsidRPr="00980D67" w14:paraId="7A37BB99" w14:textId="77777777" w:rsidTr="00C444B6">
        <w:trPr>
          <w:trHeight w:val="382"/>
        </w:trPr>
        <w:tc>
          <w:tcPr>
            <w:tcW w:w="2122" w:type="dxa"/>
          </w:tcPr>
          <w:p w14:paraId="72A1778B" w14:textId="3C10D42A" w:rsidR="00980D67" w:rsidRPr="00980D67" w:rsidRDefault="00980D67">
            <w:pPr>
              <w:rPr>
                <w:rFonts w:ascii="Arial" w:hAnsi="Arial" w:cs="Arial"/>
                <w:sz w:val="24"/>
                <w:szCs w:val="24"/>
              </w:rPr>
            </w:pPr>
            <w:r w:rsidRPr="00980D67">
              <w:rPr>
                <w:rFonts w:ascii="Arial" w:hAnsi="Arial" w:cs="Arial"/>
                <w:sz w:val="24"/>
                <w:szCs w:val="24"/>
              </w:rPr>
              <w:t>Paragraph</w:t>
            </w:r>
            <w:r w:rsidR="00D25614">
              <w:rPr>
                <w:rFonts w:ascii="Arial" w:hAnsi="Arial" w:cs="Arial"/>
                <w:sz w:val="24"/>
                <w:szCs w:val="24"/>
              </w:rPr>
              <w:t>/page</w:t>
            </w:r>
          </w:p>
        </w:tc>
        <w:tc>
          <w:tcPr>
            <w:tcW w:w="7644" w:type="dxa"/>
          </w:tcPr>
          <w:p w14:paraId="37740D87" w14:textId="523D3CE2" w:rsidR="00980D67" w:rsidRPr="00980D67" w:rsidRDefault="00980D67">
            <w:pPr>
              <w:rPr>
                <w:rFonts w:ascii="Arial" w:hAnsi="Arial" w:cs="Arial"/>
                <w:sz w:val="24"/>
                <w:szCs w:val="24"/>
              </w:rPr>
            </w:pPr>
            <w:r w:rsidRPr="00980D67">
              <w:rPr>
                <w:rFonts w:ascii="Arial" w:hAnsi="Arial" w:cs="Arial"/>
                <w:sz w:val="24"/>
                <w:szCs w:val="24"/>
              </w:rPr>
              <w:t>Comment</w:t>
            </w:r>
          </w:p>
        </w:tc>
      </w:tr>
      <w:tr w:rsidR="00980D67" w14:paraId="76AC1F47" w14:textId="77777777" w:rsidTr="00C444B6">
        <w:trPr>
          <w:trHeight w:val="356"/>
        </w:trPr>
        <w:tc>
          <w:tcPr>
            <w:tcW w:w="2122" w:type="dxa"/>
          </w:tcPr>
          <w:p w14:paraId="4724C854" w14:textId="1E26D5A0" w:rsidR="00980D67" w:rsidRPr="00785364" w:rsidRDefault="00980D67">
            <w:pPr>
              <w:rPr>
                <w:rFonts w:ascii="Arial" w:hAnsi="Arial" w:cs="Arial"/>
              </w:rPr>
            </w:pPr>
            <w:r w:rsidRPr="00785364">
              <w:rPr>
                <w:rFonts w:ascii="Arial" w:hAnsi="Arial" w:cs="Arial"/>
              </w:rPr>
              <w:t>1.7</w:t>
            </w:r>
            <w:r w:rsidR="00D25614">
              <w:rPr>
                <w:rFonts w:ascii="Arial" w:hAnsi="Arial" w:cs="Arial"/>
              </w:rPr>
              <w:t>/p.5</w:t>
            </w:r>
          </w:p>
        </w:tc>
        <w:tc>
          <w:tcPr>
            <w:tcW w:w="7644" w:type="dxa"/>
          </w:tcPr>
          <w:p w14:paraId="69262025" w14:textId="641B760E" w:rsidR="00980D67" w:rsidRPr="00A9115D" w:rsidRDefault="00980D67">
            <w:pPr>
              <w:rPr>
                <w:rFonts w:ascii="Arial" w:hAnsi="Arial" w:cs="Arial"/>
              </w:rPr>
            </w:pPr>
            <w:r w:rsidRPr="00A9115D">
              <w:rPr>
                <w:rFonts w:ascii="Arial" w:hAnsi="Arial" w:cs="Arial"/>
              </w:rPr>
              <w:t xml:space="preserve">The comparison </w:t>
            </w:r>
            <w:r w:rsidR="00A9115D" w:rsidRPr="00A9115D">
              <w:rPr>
                <w:rFonts w:ascii="Arial" w:hAnsi="Arial" w:cs="Arial"/>
              </w:rPr>
              <w:t>between a football playing field and a YOI/STC is irrelevant and inappropriate.</w:t>
            </w:r>
          </w:p>
        </w:tc>
      </w:tr>
      <w:tr w:rsidR="00980D67" w14:paraId="3E752C3D" w14:textId="77777777" w:rsidTr="00C444B6">
        <w:trPr>
          <w:trHeight w:val="369"/>
        </w:trPr>
        <w:tc>
          <w:tcPr>
            <w:tcW w:w="2122" w:type="dxa"/>
          </w:tcPr>
          <w:p w14:paraId="4438DFF4" w14:textId="28D58BBA" w:rsidR="00980D67" w:rsidRPr="00785364" w:rsidRDefault="00A9115D">
            <w:pPr>
              <w:rPr>
                <w:rFonts w:ascii="Arial" w:hAnsi="Arial" w:cs="Arial"/>
              </w:rPr>
            </w:pPr>
            <w:r w:rsidRPr="00785364">
              <w:rPr>
                <w:rFonts w:ascii="Arial" w:hAnsi="Arial" w:cs="Arial"/>
              </w:rPr>
              <w:t>1.8</w:t>
            </w:r>
            <w:r w:rsidR="00D25614">
              <w:rPr>
                <w:rFonts w:ascii="Arial" w:hAnsi="Arial" w:cs="Arial"/>
              </w:rPr>
              <w:t>/p.5</w:t>
            </w:r>
          </w:p>
        </w:tc>
        <w:tc>
          <w:tcPr>
            <w:tcW w:w="7644" w:type="dxa"/>
          </w:tcPr>
          <w:p w14:paraId="54F4628A" w14:textId="73ADA7EE" w:rsidR="00980D67" w:rsidRPr="00A9115D" w:rsidRDefault="00A9115D">
            <w:pPr>
              <w:rPr>
                <w:rFonts w:ascii="Arial" w:hAnsi="Arial" w:cs="Arial"/>
              </w:rPr>
            </w:pPr>
            <w:r w:rsidRPr="00A9115D">
              <w:rPr>
                <w:rFonts w:ascii="Arial" w:hAnsi="Arial" w:cs="Arial"/>
              </w:rPr>
              <w:t>Typo: National *Preventive Mechanism</w:t>
            </w:r>
          </w:p>
        </w:tc>
      </w:tr>
      <w:tr w:rsidR="00980D67" w14:paraId="0113593F" w14:textId="77777777" w:rsidTr="00C444B6">
        <w:trPr>
          <w:trHeight w:val="369"/>
        </w:trPr>
        <w:tc>
          <w:tcPr>
            <w:tcW w:w="2122" w:type="dxa"/>
          </w:tcPr>
          <w:p w14:paraId="302EED6A" w14:textId="78212B03" w:rsidR="00980D67" w:rsidRPr="00785364" w:rsidRDefault="00577221">
            <w:pPr>
              <w:rPr>
                <w:rFonts w:ascii="Arial" w:hAnsi="Arial" w:cs="Arial"/>
              </w:rPr>
            </w:pPr>
            <w:r w:rsidRPr="00785364">
              <w:rPr>
                <w:rFonts w:ascii="Arial" w:hAnsi="Arial" w:cs="Arial"/>
              </w:rPr>
              <w:t>1.17</w:t>
            </w:r>
            <w:r w:rsidR="00D25614">
              <w:rPr>
                <w:rFonts w:ascii="Arial" w:hAnsi="Arial" w:cs="Arial"/>
              </w:rPr>
              <w:t>/p.6</w:t>
            </w:r>
          </w:p>
        </w:tc>
        <w:tc>
          <w:tcPr>
            <w:tcW w:w="7644" w:type="dxa"/>
          </w:tcPr>
          <w:p w14:paraId="1356B967" w14:textId="6A24CD2C" w:rsidR="00A2599C" w:rsidRDefault="00577221" w:rsidP="00A00D4E">
            <w:r>
              <w:t>“</w:t>
            </w:r>
            <w:r w:rsidR="00A00D4E" w:rsidRPr="00A00D4E">
              <w:rPr>
                <w:rFonts w:ascii="Arial" w:hAnsi="Arial" w:cs="Arial"/>
              </w:rPr>
              <w:t xml:space="preserve">feelings of safety in response to external influences such as intimidation (real or perceived) from other children” – </w:t>
            </w:r>
            <w:r w:rsidR="00186607">
              <w:rPr>
                <w:rFonts w:ascii="Arial" w:hAnsi="Arial" w:cs="Arial"/>
              </w:rPr>
              <w:t xml:space="preserve">the language </w:t>
            </w:r>
            <w:r w:rsidR="00D25614">
              <w:rPr>
                <w:rFonts w:ascii="Arial" w:hAnsi="Arial" w:cs="Arial"/>
              </w:rPr>
              <w:t xml:space="preserve">here </w:t>
            </w:r>
            <w:r w:rsidR="00186607">
              <w:rPr>
                <w:rFonts w:ascii="Arial" w:hAnsi="Arial" w:cs="Arial"/>
              </w:rPr>
              <w:t xml:space="preserve">should be plainer and more direct. Young people </w:t>
            </w:r>
            <w:r w:rsidR="00A00D4E" w:rsidRPr="00A00D4E">
              <w:rPr>
                <w:rFonts w:ascii="Arial" w:hAnsi="Arial" w:cs="Arial"/>
              </w:rPr>
              <w:t xml:space="preserve">may choose to self-isolate because they are scared. It is not just that other </w:t>
            </w:r>
            <w:r w:rsidR="00D25614">
              <w:rPr>
                <w:rFonts w:ascii="Arial" w:hAnsi="Arial" w:cs="Arial"/>
              </w:rPr>
              <w:t>young people</w:t>
            </w:r>
            <w:r w:rsidR="00A00D4E" w:rsidRPr="00A00D4E">
              <w:rPr>
                <w:rFonts w:ascii="Arial" w:hAnsi="Arial" w:cs="Arial"/>
              </w:rPr>
              <w:t xml:space="preserve"> may be intimidating them. The environment itself may be intimidating. </w:t>
            </w:r>
          </w:p>
        </w:tc>
      </w:tr>
      <w:tr w:rsidR="00A00D4E" w14:paraId="61558A2F" w14:textId="77777777" w:rsidTr="00C444B6">
        <w:trPr>
          <w:trHeight w:val="369"/>
        </w:trPr>
        <w:tc>
          <w:tcPr>
            <w:tcW w:w="2122" w:type="dxa"/>
          </w:tcPr>
          <w:p w14:paraId="5E537B89" w14:textId="10A3E75A" w:rsidR="00A00D4E" w:rsidRPr="00785364" w:rsidRDefault="00A00D4E" w:rsidP="00A00D4E">
            <w:pPr>
              <w:rPr>
                <w:rFonts w:ascii="Arial" w:hAnsi="Arial" w:cs="Arial"/>
              </w:rPr>
            </w:pPr>
            <w:r w:rsidRPr="00785364">
              <w:rPr>
                <w:rFonts w:ascii="Arial" w:hAnsi="Arial" w:cs="Arial"/>
              </w:rPr>
              <w:t>1.17</w:t>
            </w:r>
            <w:r w:rsidR="00D25614">
              <w:rPr>
                <w:rFonts w:ascii="Arial" w:hAnsi="Arial" w:cs="Arial"/>
              </w:rPr>
              <w:t>/p.6</w:t>
            </w:r>
          </w:p>
        </w:tc>
        <w:tc>
          <w:tcPr>
            <w:tcW w:w="7644" w:type="dxa"/>
          </w:tcPr>
          <w:p w14:paraId="43B712B5" w14:textId="5DDC85BA" w:rsidR="00A00D4E" w:rsidRPr="00186607" w:rsidRDefault="00A00D4E" w:rsidP="00186607">
            <w:pPr>
              <w:rPr>
                <w:rFonts w:ascii="Arial" w:hAnsi="Arial" w:cs="Arial"/>
              </w:rPr>
            </w:pPr>
            <w:r w:rsidRPr="00A00D4E">
              <w:rPr>
                <w:rFonts w:ascii="Arial" w:hAnsi="Arial" w:cs="Arial"/>
              </w:rPr>
              <w:t xml:space="preserve">“unplanned operational pressures may be unavoidable” – some clarity </w:t>
            </w:r>
            <w:r w:rsidR="00186607">
              <w:rPr>
                <w:rFonts w:ascii="Arial" w:hAnsi="Arial" w:cs="Arial"/>
              </w:rPr>
              <w:t xml:space="preserve">is </w:t>
            </w:r>
            <w:r w:rsidRPr="00A00D4E">
              <w:rPr>
                <w:rFonts w:ascii="Arial" w:hAnsi="Arial" w:cs="Arial"/>
              </w:rPr>
              <w:t xml:space="preserve">needed here. Presumably this </w:t>
            </w:r>
            <w:r w:rsidR="00785364">
              <w:rPr>
                <w:rFonts w:ascii="Arial" w:hAnsi="Arial" w:cs="Arial"/>
              </w:rPr>
              <w:t xml:space="preserve">also </w:t>
            </w:r>
            <w:r w:rsidRPr="00A00D4E">
              <w:rPr>
                <w:rFonts w:ascii="Arial" w:hAnsi="Arial" w:cs="Arial"/>
              </w:rPr>
              <w:t>covers any future COVID</w:t>
            </w:r>
            <w:r w:rsidR="00785364">
              <w:rPr>
                <w:rFonts w:ascii="Arial" w:hAnsi="Arial" w:cs="Arial"/>
              </w:rPr>
              <w:t>-19</w:t>
            </w:r>
            <w:r w:rsidRPr="00A00D4E">
              <w:rPr>
                <w:rFonts w:ascii="Arial" w:hAnsi="Arial" w:cs="Arial"/>
              </w:rPr>
              <w:t xml:space="preserve"> lockdowns </w:t>
            </w:r>
            <w:r w:rsidR="00186607">
              <w:rPr>
                <w:rFonts w:ascii="Arial" w:hAnsi="Arial" w:cs="Arial"/>
              </w:rPr>
              <w:t>and</w:t>
            </w:r>
            <w:r w:rsidR="00C444B6">
              <w:rPr>
                <w:rFonts w:ascii="Arial" w:hAnsi="Arial" w:cs="Arial"/>
              </w:rPr>
              <w:t xml:space="preserve"> COVID</w:t>
            </w:r>
            <w:r w:rsidR="0006704E">
              <w:rPr>
                <w:rFonts w:ascii="Arial" w:hAnsi="Arial" w:cs="Arial"/>
              </w:rPr>
              <w:t>-19</w:t>
            </w:r>
            <w:r w:rsidR="00C444B6">
              <w:rPr>
                <w:rFonts w:ascii="Arial" w:hAnsi="Arial" w:cs="Arial"/>
              </w:rPr>
              <w:t xml:space="preserve"> self-isolation</w:t>
            </w:r>
            <w:r w:rsidR="00186607">
              <w:rPr>
                <w:rFonts w:ascii="Arial" w:hAnsi="Arial" w:cs="Arial"/>
              </w:rPr>
              <w:t>. What would happen with regular but unpredictable regime restrictions</w:t>
            </w:r>
            <w:r w:rsidR="0006704E">
              <w:rPr>
                <w:rFonts w:ascii="Arial" w:hAnsi="Arial" w:cs="Arial"/>
              </w:rPr>
              <w:t>, for example</w:t>
            </w:r>
            <w:r w:rsidR="00186607">
              <w:rPr>
                <w:rFonts w:ascii="Arial" w:hAnsi="Arial" w:cs="Arial"/>
              </w:rPr>
              <w:t xml:space="preserve"> </w:t>
            </w:r>
            <w:r w:rsidR="0006704E">
              <w:rPr>
                <w:rFonts w:ascii="Arial" w:hAnsi="Arial" w:cs="Arial"/>
              </w:rPr>
              <w:t xml:space="preserve">due </w:t>
            </w:r>
            <w:r w:rsidR="00186607">
              <w:rPr>
                <w:rFonts w:ascii="Arial" w:hAnsi="Arial" w:cs="Arial"/>
              </w:rPr>
              <w:t>to low staffing levels, which may affect a large number of young people</w:t>
            </w:r>
            <w:r w:rsidR="00785364">
              <w:rPr>
                <w:rFonts w:ascii="Arial" w:hAnsi="Arial" w:cs="Arial"/>
              </w:rPr>
              <w:t>?</w:t>
            </w:r>
            <w:r w:rsidR="00186607">
              <w:rPr>
                <w:rFonts w:ascii="Arial" w:hAnsi="Arial" w:cs="Arial"/>
              </w:rPr>
              <w:t xml:space="preserve"> Would they all be managed under separation rules? </w:t>
            </w:r>
            <w:r w:rsidR="00785364" w:rsidRPr="00691E31">
              <w:rPr>
                <w:rFonts w:ascii="Arial" w:hAnsi="Arial" w:cs="Arial"/>
              </w:rPr>
              <w:t>Treating all these</w:t>
            </w:r>
            <w:r w:rsidR="00785364">
              <w:rPr>
                <w:rFonts w:ascii="Arial" w:hAnsi="Arial" w:cs="Arial"/>
              </w:rPr>
              <w:t xml:space="preserve"> young people</w:t>
            </w:r>
            <w:r w:rsidR="00785364" w:rsidRPr="00691E31">
              <w:rPr>
                <w:rFonts w:ascii="Arial" w:hAnsi="Arial" w:cs="Arial"/>
              </w:rPr>
              <w:t xml:space="preserve"> as “separated”, requiring a full range of multi-agency interventions, would stretch resources and likely be at the expense of the care and support of</w:t>
            </w:r>
            <w:r w:rsidR="00785364">
              <w:rPr>
                <w:rFonts w:ascii="Arial" w:hAnsi="Arial" w:cs="Arial"/>
              </w:rPr>
              <w:t xml:space="preserve"> </w:t>
            </w:r>
            <w:r w:rsidR="00C444B6">
              <w:rPr>
                <w:rFonts w:ascii="Arial" w:hAnsi="Arial" w:cs="Arial"/>
              </w:rPr>
              <w:t xml:space="preserve">the </w:t>
            </w:r>
            <w:r w:rsidR="00785364">
              <w:rPr>
                <w:rFonts w:ascii="Arial" w:hAnsi="Arial" w:cs="Arial"/>
              </w:rPr>
              <w:t>young people with the most complex needs.</w:t>
            </w:r>
          </w:p>
        </w:tc>
      </w:tr>
      <w:tr w:rsidR="00A00D4E" w14:paraId="442B1F6A" w14:textId="77777777" w:rsidTr="00C444B6">
        <w:trPr>
          <w:trHeight w:val="369"/>
        </w:trPr>
        <w:tc>
          <w:tcPr>
            <w:tcW w:w="2122" w:type="dxa"/>
          </w:tcPr>
          <w:p w14:paraId="29A32483" w14:textId="5B243DD1" w:rsidR="00A00D4E" w:rsidRPr="00785364" w:rsidRDefault="00A00D4E" w:rsidP="00A00D4E">
            <w:pPr>
              <w:rPr>
                <w:rFonts w:ascii="Arial" w:hAnsi="Arial" w:cs="Arial"/>
              </w:rPr>
            </w:pPr>
            <w:r w:rsidRPr="00785364">
              <w:rPr>
                <w:rFonts w:ascii="Arial" w:hAnsi="Arial" w:cs="Arial"/>
              </w:rPr>
              <w:t>3.3</w:t>
            </w:r>
            <w:r w:rsidR="00D25614">
              <w:rPr>
                <w:rFonts w:ascii="Arial" w:hAnsi="Arial" w:cs="Arial"/>
              </w:rPr>
              <w:t>/p.16</w:t>
            </w:r>
          </w:p>
        </w:tc>
        <w:tc>
          <w:tcPr>
            <w:tcW w:w="7644" w:type="dxa"/>
          </w:tcPr>
          <w:p w14:paraId="72BC7D98" w14:textId="3E8C2D93" w:rsidR="00A00D4E" w:rsidRPr="00186607" w:rsidRDefault="00A00D4E" w:rsidP="00186607">
            <w:pPr>
              <w:pStyle w:val="Default"/>
              <w:rPr>
                <w:sz w:val="22"/>
                <w:szCs w:val="22"/>
              </w:rPr>
            </w:pPr>
            <w:r w:rsidRPr="00186607">
              <w:rPr>
                <w:sz w:val="22"/>
                <w:szCs w:val="22"/>
              </w:rPr>
              <w:t>Vague wording here – regime should be equivalent to that of their non-separated peers.</w:t>
            </w:r>
          </w:p>
        </w:tc>
      </w:tr>
      <w:tr w:rsidR="00A00D4E" w14:paraId="75326FAE" w14:textId="77777777" w:rsidTr="00C444B6">
        <w:trPr>
          <w:trHeight w:val="369"/>
        </w:trPr>
        <w:tc>
          <w:tcPr>
            <w:tcW w:w="2122" w:type="dxa"/>
          </w:tcPr>
          <w:p w14:paraId="4560EE43" w14:textId="64DE2A5C" w:rsidR="00A00D4E" w:rsidRPr="00785364" w:rsidRDefault="00424615" w:rsidP="00A00D4E">
            <w:pPr>
              <w:rPr>
                <w:rFonts w:ascii="Arial" w:hAnsi="Arial" w:cs="Arial"/>
              </w:rPr>
            </w:pPr>
            <w:r w:rsidRPr="00785364">
              <w:rPr>
                <w:rFonts w:ascii="Arial" w:hAnsi="Arial" w:cs="Arial"/>
              </w:rPr>
              <w:t>13</w:t>
            </w:r>
            <w:r w:rsidR="00D25614">
              <w:rPr>
                <w:rFonts w:ascii="Arial" w:hAnsi="Arial" w:cs="Arial"/>
              </w:rPr>
              <w:t>/p.21</w:t>
            </w:r>
          </w:p>
        </w:tc>
        <w:tc>
          <w:tcPr>
            <w:tcW w:w="7644" w:type="dxa"/>
          </w:tcPr>
          <w:p w14:paraId="767818FE" w14:textId="7295C730" w:rsidR="00A00D4E" w:rsidRPr="00D25614" w:rsidRDefault="00A00D4E" w:rsidP="00A00D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5614">
              <w:rPr>
                <w:rFonts w:ascii="Arial" w:hAnsi="Arial" w:cs="Arial"/>
                <w:color w:val="000000"/>
              </w:rPr>
              <w:t>Are these formats already available as templates for staff/</w:t>
            </w:r>
            <w:r w:rsidR="00785364" w:rsidRPr="00D25614">
              <w:rPr>
                <w:rFonts w:ascii="Arial" w:hAnsi="Arial" w:cs="Arial"/>
                <w:color w:val="000000"/>
              </w:rPr>
              <w:t>young people</w:t>
            </w:r>
            <w:r w:rsidRPr="00D25614">
              <w:rPr>
                <w:rFonts w:ascii="Arial" w:hAnsi="Arial" w:cs="Arial"/>
                <w:color w:val="000000"/>
              </w:rPr>
              <w:t xml:space="preserve"> to use including in </w:t>
            </w:r>
            <w:proofErr w:type="spellStart"/>
            <w:r w:rsidR="00716F7C" w:rsidRPr="00D25614">
              <w:rPr>
                <w:rFonts w:ascii="Arial" w:hAnsi="Arial" w:cs="Arial"/>
                <w:color w:val="000000"/>
              </w:rPr>
              <w:t>E</w:t>
            </w:r>
            <w:r w:rsidRPr="00D25614">
              <w:rPr>
                <w:rFonts w:ascii="Arial" w:hAnsi="Arial" w:cs="Arial"/>
                <w:color w:val="000000"/>
              </w:rPr>
              <w:t>asy</w:t>
            </w:r>
            <w:r w:rsidR="00C444B6">
              <w:rPr>
                <w:rFonts w:ascii="Arial" w:hAnsi="Arial" w:cs="Arial"/>
                <w:color w:val="000000"/>
              </w:rPr>
              <w:t>r</w:t>
            </w:r>
            <w:r w:rsidRPr="00D25614">
              <w:rPr>
                <w:rFonts w:ascii="Arial" w:hAnsi="Arial" w:cs="Arial"/>
                <w:color w:val="000000"/>
              </w:rPr>
              <w:t>ead</w:t>
            </w:r>
            <w:proofErr w:type="spellEnd"/>
            <w:r w:rsidR="00716F7C" w:rsidRPr="00D25614">
              <w:rPr>
                <w:rFonts w:ascii="Arial" w:hAnsi="Arial" w:cs="Arial"/>
                <w:color w:val="000000"/>
              </w:rPr>
              <w:t xml:space="preserve"> and the most commonly used </w:t>
            </w:r>
            <w:r w:rsidRPr="00D25614">
              <w:rPr>
                <w:rFonts w:ascii="Arial" w:hAnsi="Arial" w:cs="Arial"/>
                <w:color w:val="000000"/>
              </w:rPr>
              <w:t>languages? If not</w:t>
            </w:r>
            <w:r w:rsidR="00716F7C" w:rsidRPr="00D25614">
              <w:rPr>
                <w:rFonts w:ascii="Arial" w:hAnsi="Arial" w:cs="Arial"/>
                <w:color w:val="000000"/>
              </w:rPr>
              <w:t xml:space="preserve">, they </w:t>
            </w:r>
            <w:r w:rsidRPr="00D25614">
              <w:rPr>
                <w:rFonts w:ascii="Arial" w:hAnsi="Arial" w:cs="Arial"/>
                <w:color w:val="000000"/>
              </w:rPr>
              <w:t>need to be created, presumably at national level.</w:t>
            </w:r>
          </w:p>
          <w:p w14:paraId="32A1687E" w14:textId="43D8985B" w:rsidR="00A00D4E" w:rsidRPr="00D25614" w:rsidRDefault="00A00D4E" w:rsidP="00A00D4E">
            <w:pPr>
              <w:rPr>
                <w:rFonts w:ascii="Arial" w:hAnsi="Arial" w:cs="Arial"/>
              </w:rPr>
            </w:pPr>
          </w:p>
        </w:tc>
      </w:tr>
      <w:tr w:rsidR="00A00D4E" w14:paraId="00181FBC" w14:textId="77777777" w:rsidTr="00C444B6">
        <w:trPr>
          <w:trHeight w:val="369"/>
        </w:trPr>
        <w:tc>
          <w:tcPr>
            <w:tcW w:w="2122" w:type="dxa"/>
          </w:tcPr>
          <w:p w14:paraId="2AF3521C" w14:textId="77C29DC5" w:rsidR="00A00D4E" w:rsidRPr="00785364" w:rsidRDefault="00716F7C" w:rsidP="00A00D4E">
            <w:pPr>
              <w:rPr>
                <w:rFonts w:ascii="Arial" w:hAnsi="Arial" w:cs="Arial"/>
              </w:rPr>
            </w:pPr>
            <w:r w:rsidRPr="00785364">
              <w:rPr>
                <w:rFonts w:ascii="Arial" w:hAnsi="Arial" w:cs="Arial"/>
              </w:rPr>
              <w:t>15</w:t>
            </w:r>
            <w:r w:rsidR="00D25614">
              <w:rPr>
                <w:rFonts w:ascii="Arial" w:hAnsi="Arial" w:cs="Arial"/>
              </w:rPr>
              <w:t>/p.22</w:t>
            </w:r>
          </w:p>
        </w:tc>
        <w:tc>
          <w:tcPr>
            <w:tcW w:w="7644" w:type="dxa"/>
          </w:tcPr>
          <w:p w14:paraId="53A1C53A" w14:textId="5EBC21FC" w:rsidR="00A00D4E" w:rsidRPr="00D25614" w:rsidRDefault="00716F7C" w:rsidP="00A00D4E">
            <w:pPr>
              <w:rPr>
                <w:rFonts w:ascii="Arial" w:hAnsi="Arial" w:cs="Arial"/>
              </w:rPr>
            </w:pPr>
            <w:r w:rsidRPr="00D25614">
              <w:rPr>
                <w:rFonts w:ascii="Arial" w:hAnsi="Arial" w:cs="Arial"/>
              </w:rPr>
              <w:t>Targets should be time</w:t>
            </w:r>
            <w:r w:rsidR="00C444B6">
              <w:rPr>
                <w:rFonts w:ascii="Arial" w:hAnsi="Arial" w:cs="Arial"/>
              </w:rPr>
              <w:t>-</w:t>
            </w:r>
            <w:r w:rsidRPr="00D25614">
              <w:rPr>
                <w:rFonts w:ascii="Arial" w:hAnsi="Arial" w:cs="Arial"/>
              </w:rPr>
              <w:t>bound</w:t>
            </w:r>
            <w:r w:rsidR="00785364" w:rsidRPr="00D25614">
              <w:rPr>
                <w:rFonts w:ascii="Arial" w:hAnsi="Arial" w:cs="Arial"/>
              </w:rPr>
              <w:t>.</w:t>
            </w:r>
          </w:p>
        </w:tc>
      </w:tr>
      <w:tr w:rsidR="00716F7C" w14:paraId="23CA938F" w14:textId="77777777" w:rsidTr="00C444B6">
        <w:trPr>
          <w:trHeight w:val="369"/>
        </w:trPr>
        <w:tc>
          <w:tcPr>
            <w:tcW w:w="2122" w:type="dxa"/>
          </w:tcPr>
          <w:p w14:paraId="7873307F" w14:textId="468B4CE7" w:rsidR="00716F7C" w:rsidRPr="00785364" w:rsidRDefault="00716F7C" w:rsidP="00A00D4E">
            <w:pPr>
              <w:rPr>
                <w:rFonts w:ascii="Arial" w:hAnsi="Arial" w:cs="Arial"/>
              </w:rPr>
            </w:pPr>
            <w:r w:rsidRPr="00785364">
              <w:rPr>
                <w:rFonts w:ascii="Arial" w:hAnsi="Arial" w:cs="Arial"/>
              </w:rPr>
              <w:t>18</w:t>
            </w:r>
            <w:r w:rsidR="00D25614">
              <w:rPr>
                <w:rFonts w:ascii="Arial" w:hAnsi="Arial" w:cs="Arial"/>
              </w:rPr>
              <w:t>/p.22</w:t>
            </w:r>
          </w:p>
        </w:tc>
        <w:tc>
          <w:tcPr>
            <w:tcW w:w="7644" w:type="dxa"/>
          </w:tcPr>
          <w:p w14:paraId="76187843" w14:textId="518D0806" w:rsidR="00716F7C" w:rsidRPr="00D25614" w:rsidRDefault="00716F7C" w:rsidP="00A00D4E">
            <w:pPr>
              <w:rPr>
                <w:rFonts w:ascii="Arial" w:hAnsi="Arial" w:cs="Arial"/>
              </w:rPr>
            </w:pPr>
            <w:r w:rsidRPr="00D25614">
              <w:rPr>
                <w:rFonts w:ascii="Arial" w:hAnsi="Arial" w:cs="Arial"/>
                <w:color w:val="000000"/>
              </w:rPr>
              <w:t xml:space="preserve">“Special clothing” - </w:t>
            </w:r>
            <w:r w:rsidR="0006704E">
              <w:rPr>
                <w:rFonts w:ascii="Arial" w:hAnsi="Arial" w:cs="Arial"/>
                <w:color w:val="000000"/>
              </w:rPr>
              <w:t>s</w:t>
            </w:r>
            <w:r w:rsidRPr="00D25614">
              <w:rPr>
                <w:rFonts w:ascii="Arial" w:hAnsi="Arial" w:cs="Arial"/>
                <w:color w:val="000000"/>
              </w:rPr>
              <w:t>urely such clothing should be used only in exceptional circumstances</w:t>
            </w:r>
            <w:r w:rsidR="0006704E">
              <w:rPr>
                <w:rFonts w:ascii="Arial" w:hAnsi="Arial" w:cs="Arial"/>
                <w:color w:val="000000"/>
              </w:rPr>
              <w:t>?</w:t>
            </w:r>
            <w:r w:rsidR="00D25614">
              <w:rPr>
                <w:rFonts w:ascii="Arial" w:hAnsi="Arial" w:cs="Arial"/>
                <w:color w:val="000000"/>
              </w:rPr>
              <w:t xml:space="preserve"> C</w:t>
            </w:r>
            <w:r w:rsidRPr="00D25614">
              <w:rPr>
                <w:rFonts w:ascii="Arial" w:hAnsi="Arial" w:cs="Arial"/>
                <w:color w:val="000000"/>
              </w:rPr>
              <w:t>lothing is a</w:t>
            </w:r>
            <w:r w:rsidR="0006704E">
              <w:rPr>
                <w:rFonts w:ascii="Arial" w:hAnsi="Arial" w:cs="Arial"/>
                <w:color w:val="000000"/>
              </w:rPr>
              <w:t>n important</w:t>
            </w:r>
            <w:r w:rsidRPr="00D25614">
              <w:rPr>
                <w:rFonts w:ascii="Arial" w:hAnsi="Arial" w:cs="Arial"/>
                <w:color w:val="000000"/>
              </w:rPr>
              <w:t xml:space="preserve"> familiar thing for a</w:t>
            </w:r>
            <w:r w:rsidR="00D25614">
              <w:rPr>
                <w:rFonts w:ascii="Arial" w:hAnsi="Arial" w:cs="Arial"/>
                <w:color w:val="000000"/>
              </w:rPr>
              <w:t xml:space="preserve"> young person</w:t>
            </w:r>
            <w:r w:rsidRPr="00D25614">
              <w:rPr>
                <w:rFonts w:ascii="Arial" w:hAnsi="Arial" w:cs="Arial"/>
                <w:color w:val="000000"/>
              </w:rPr>
              <w:t xml:space="preserve"> and substitution should be subject to some kind of additional governance/oversight/authorisation</w:t>
            </w:r>
            <w:r w:rsidR="0006704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16F7C" w14:paraId="2F57C1A7" w14:textId="77777777" w:rsidTr="00C444B6">
        <w:trPr>
          <w:trHeight w:val="369"/>
        </w:trPr>
        <w:tc>
          <w:tcPr>
            <w:tcW w:w="2122" w:type="dxa"/>
          </w:tcPr>
          <w:p w14:paraId="2D8B9A1C" w14:textId="4FBCD791" w:rsidR="00716F7C" w:rsidRPr="00785364" w:rsidRDefault="00716F7C" w:rsidP="00A00D4E">
            <w:pPr>
              <w:rPr>
                <w:rFonts w:ascii="Arial" w:hAnsi="Arial" w:cs="Arial"/>
              </w:rPr>
            </w:pPr>
            <w:r w:rsidRPr="00785364">
              <w:rPr>
                <w:rFonts w:ascii="Arial" w:hAnsi="Arial" w:cs="Arial"/>
              </w:rPr>
              <w:lastRenderedPageBreak/>
              <w:t>22</w:t>
            </w:r>
            <w:r w:rsidR="00D25614">
              <w:rPr>
                <w:rFonts w:ascii="Arial" w:hAnsi="Arial" w:cs="Arial"/>
              </w:rPr>
              <w:t>/p.22</w:t>
            </w:r>
          </w:p>
        </w:tc>
        <w:tc>
          <w:tcPr>
            <w:tcW w:w="7644" w:type="dxa"/>
          </w:tcPr>
          <w:p w14:paraId="5FA3F0BF" w14:textId="71866499" w:rsidR="00716F7C" w:rsidRPr="00D25614" w:rsidRDefault="00716F7C" w:rsidP="008D510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25614">
              <w:rPr>
                <w:rFonts w:ascii="Arial" w:hAnsi="Arial" w:cs="Arial"/>
                <w:color w:val="000000"/>
              </w:rPr>
              <w:t xml:space="preserve">This </w:t>
            </w:r>
            <w:r w:rsidR="00C27B62">
              <w:rPr>
                <w:rFonts w:ascii="Arial" w:hAnsi="Arial" w:cs="Arial"/>
                <w:color w:val="000000"/>
              </w:rPr>
              <w:t>i</w:t>
            </w:r>
            <w:r w:rsidRPr="00D25614">
              <w:rPr>
                <w:rFonts w:ascii="Arial" w:hAnsi="Arial" w:cs="Arial"/>
                <w:color w:val="000000"/>
              </w:rPr>
              <w:t>s not a role for</w:t>
            </w:r>
            <w:r w:rsidR="00D25614" w:rsidRPr="00D25614">
              <w:rPr>
                <w:rFonts w:ascii="Arial" w:hAnsi="Arial" w:cs="Arial"/>
                <w:color w:val="000000"/>
              </w:rPr>
              <w:t xml:space="preserve"> IMBs.</w:t>
            </w:r>
            <w:r w:rsidR="00C27B62">
              <w:rPr>
                <w:rFonts w:ascii="Arial" w:hAnsi="Arial" w:cs="Arial"/>
                <w:color w:val="000000"/>
              </w:rPr>
              <w:t xml:space="preserve"> While it is important that separated young people have access to IMB members, IMBs are</w:t>
            </w:r>
            <w:r w:rsidR="00D25614" w:rsidRPr="00D25614">
              <w:rPr>
                <w:rFonts w:ascii="Arial" w:hAnsi="Arial" w:cs="Arial"/>
                <w:color w:val="000000"/>
              </w:rPr>
              <w:t xml:space="preserve"> scrutiny</w:t>
            </w:r>
            <w:r w:rsidR="00C27B62">
              <w:rPr>
                <w:rFonts w:ascii="Arial" w:hAnsi="Arial" w:cs="Arial"/>
                <w:color w:val="000000"/>
              </w:rPr>
              <w:t xml:space="preserve">, not advocacy </w:t>
            </w:r>
            <w:r w:rsidR="00D25614" w:rsidRPr="00D25614">
              <w:rPr>
                <w:rFonts w:ascii="Arial" w:hAnsi="Arial" w:cs="Arial"/>
                <w:color w:val="000000"/>
              </w:rPr>
              <w:t xml:space="preserve">bodies, </w:t>
            </w:r>
            <w:r w:rsidR="00C27B62">
              <w:rPr>
                <w:rFonts w:ascii="Arial" w:hAnsi="Arial" w:cs="Arial"/>
                <w:color w:val="000000"/>
              </w:rPr>
              <w:t xml:space="preserve">with no regulatory role. </w:t>
            </w:r>
            <w:r w:rsidR="00D25614" w:rsidRPr="00D25614">
              <w:rPr>
                <w:rFonts w:ascii="Arial" w:hAnsi="Arial" w:cs="Arial"/>
                <w:color w:val="000000"/>
              </w:rPr>
              <w:t>I</w:t>
            </w:r>
            <w:r w:rsidRPr="00D25614">
              <w:rPr>
                <w:rFonts w:ascii="Arial" w:hAnsi="Arial" w:cs="Arial"/>
                <w:color w:val="000000"/>
              </w:rPr>
              <w:t xml:space="preserve">t is </w:t>
            </w:r>
            <w:r w:rsidR="00C27B62">
              <w:rPr>
                <w:rFonts w:ascii="Arial" w:hAnsi="Arial" w:cs="Arial"/>
                <w:color w:val="000000"/>
              </w:rPr>
              <w:t xml:space="preserve">therefore </w:t>
            </w:r>
            <w:r w:rsidRPr="00D25614">
              <w:rPr>
                <w:rFonts w:ascii="Arial" w:hAnsi="Arial" w:cs="Arial"/>
                <w:color w:val="000000"/>
              </w:rPr>
              <w:t xml:space="preserve">completely inappropriate </w:t>
            </w:r>
            <w:r w:rsidR="00C27B62">
              <w:rPr>
                <w:rFonts w:ascii="Arial" w:hAnsi="Arial" w:cs="Arial"/>
                <w:color w:val="000000"/>
              </w:rPr>
              <w:t xml:space="preserve">to include them among bodies </w:t>
            </w:r>
            <w:r w:rsidRPr="00D25614">
              <w:rPr>
                <w:rFonts w:ascii="Arial" w:hAnsi="Arial" w:cs="Arial"/>
                <w:color w:val="000000"/>
              </w:rPr>
              <w:t xml:space="preserve">providing this kind of support or management input.  </w:t>
            </w:r>
          </w:p>
        </w:tc>
      </w:tr>
      <w:tr w:rsidR="00716F7C" w14:paraId="5E50FB45" w14:textId="77777777" w:rsidTr="00C444B6">
        <w:trPr>
          <w:trHeight w:val="369"/>
        </w:trPr>
        <w:tc>
          <w:tcPr>
            <w:tcW w:w="2122" w:type="dxa"/>
          </w:tcPr>
          <w:p w14:paraId="5155C3AC" w14:textId="4D428956" w:rsidR="00716F7C" w:rsidRPr="00785364" w:rsidRDefault="00716F7C" w:rsidP="00A00D4E">
            <w:pPr>
              <w:rPr>
                <w:rFonts w:ascii="Arial" w:hAnsi="Arial" w:cs="Arial"/>
              </w:rPr>
            </w:pPr>
            <w:r w:rsidRPr="00785364">
              <w:rPr>
                <w:rFonts w:ascii="Arial" w:hAnsi="Arial" w:cs="Arial"/>
              </w:rPr>
              <w:t>27</w:t>
            </w:r>
            <w:r w:rsidR="00D25614">
              <w:rPr>
                <w:rFonts w:ascii="Arial" w:hAnsi="Arial" w:cs="Arial"/>
              </w:rPr>
              <w:t>/p.24</w:t>
            </w:r>
          </w:p>
        </w:tc>
        <w:tc>
          <w:tcPr>
            <w:tcW w:w="7644" w:type="dxa"/>
          </w:tcPr>
          <w:p w14:paraId="62407839" w14:textId="06B35D20" w:rsidR="00716F7C" w:rsidRPr="00D25614" w:rsidRDefault="008D5108" w:rsidP="00716F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25614">
              <w:rPr>
                <w:rFonts w:ascii="Arial" w:hAnsi="Arial" w:cs="Arial"/>
                <w:color w:val="000000"/>
              </w:rPr>
              <w:t xml:space="preserve">The use of “promptly” is vague. </w:t>
            </w:r>
            <w:r w:rsidR="00785364" w:rsidRPr="00D25614">
              <w:rPr>
                <w:rFonts w:ascii="Arial" w:hAnsi="Arial" w:cs="Arial"/>
                <w:color w:val="000000"/>
              </w:rPr>
              <w:t>Clearer t</w:t>
            </w:r>
            <w:r w:rsidRPr="00D25614">
              <w:rPr>
                <w:rFonts w:ascii="Arial" w:hAnsi="Arial" w:cs="Arial"/>
                <w:color w:val="000000"/>
              </w:rPr>
              <w:t>ime limit needed.</w:t>
            </w:r>
          </w:p>
        </w:tc>
      </w:tr>
      <w:tr w:rsidR="00424615" w14:paraId="5CEC79AA" w14:textId="77777777" w:rsidTr="00C444B6">
        <w:trPr>
          <w:trHeight w:val="369"/>
        </w:trPr>
        <w:tc>
          <w:tcPr>
            <w:tcW w:w="2122" w:type="dxa"/>
          </w:tcPr>
          <w:p w14:paraId="209CCA84" w14:textId="2EBF058A" w:rsidR="00424615" w:rsidRPr="00785364" w:rsidRDefault="00785364" w:rsidP="00A00D4E">
            <w:pPr>
              <w:rPr>
                <w:rFonts w:ascii="Arial" w:hAnsi="Arial" w:cs="Arial"/>
              </w:rPr>
            </w:pPr>
            <w:r w:rsidRPr="00785364">
              <w:rPr>
                <w:rFonts w:ascii="Arial" w:hAnsi="Arial" w:cs="Arial"/>
              </w:rPr>
              <w:t>29</w:t>
            </w:r>
            <w:r w:rsidR="00D25614">
              <w:rPr>
                <w:rFonts w:ascii="Arial" w:hAnsi="Arial" w:cs="Arial"/>
              </w:rPr>
              <w:t>/p.24</w:t>
            </w:r>
          </w:p>
        </w:tc>
        <w:tc>
          <w:tcPr>
            <w:tcW w:w="7644" w:type="dxa"/>
          </w:tcPr>
          <w:p w14:paraId="3A11EE37" w14:textId="1023B2DC" w:rsidR="00424615" w:rsidRPr="00D25614" w:rsidRDefault="00D25614" w:rsidP="00716F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IMBs strongly agree with the statement that </w:t>
            </w:r>
            <w:r w:rsidR="00785364" w:rsidRPr="00D25614">
              <w:rPr>
                <w:rFonts w:ascii="Arial" w:hAnsi="Arial" w:cs="Arial"/>
                <w:color w:val="000000"/>
              </w:rPr>
              <w:t>“</w:t>
            </w:r>
            <w:r>
              <w:rPr>
                <w:rFonts w:ascii="Arial" w:hAnsi="Arial" w:cs="Arial"/>
                <w:color w:val="000000"/>
              </w:rPr>
              <w:t>r</w:t>
            </w:r>
            <w:r w:rsidR="00785364" w:rsidRPr="00D25614">
              <w:rPr>
                <w:rFonts w:ascii="Arial" w:hAnsi="Arial" w:cs="Arial"/>
                <w:color w:val="000000"/>
              </w:rPr>
              <w:t>estorative processes</w:t>
            </w:r>
            <w:r>
              <w:rPr>
                <w:rFonts w:ascii="Arial" w:hAnsi="Arial" w:cs="Arial"/>
                <w:color w:val="000000"/>
              </w:rPr>
              <w:t xml:space="preserve"> must be in place</w:t>
            </w:r>
            <w:r w:rsidR="00785364" w:rsidRPr="00D25614">
              <w:rPr>
                <w:rFonts w:ascii="Arial" w:hAnsi="Arial" w:cs="Arial"/>
                <w:color w:val="000000"/>
              </w:rPr>
              <w:t>”</w:t>
            </w:r>
            <w:r>
              <w:rPr>
                <w:rFonts w:ascii="Arial" w:hAnsi="Arial" w:cs="Arial"/>
                <w:color w:val="000000"/>
              </w:rPr>
              <w:t xml:space="preserve">, but this is </w:t>
            </w:r>
            <w:r w:rsidRPr="00D25614">
              <w:rPr>
                <w:rFonts w:ascii="Arial" w:hAnsi="Arial" w:cs="Arial"/>
                <w:color w:val="000000"/>
              </w:rPr>
              <w:t>mentioned almost as an aside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  <w:r w:rsidRPr="00D25614">
              <w:rPr>
                <w:rFonts w:ascii="Arial" w:hAnsi="Arial" w:cs="Arial"/>
                <w:color w:val="000000"/>
              </w:rPr>
              <w:t>IMBs believe that the</w:t>
            </w:r>
            <w:r>
              <w:rPr>
                <w:rFonts w:ascii="Arial" w:hAnsi="Arial" w:cs="Arial"/>
                <w:color w:val="000000"/>
              </w:rPr>
              <w:t>se processes</w:t>
            </w:r>
            <w:r w:rsidRPr="00D25614">
              <w:rPr>
                <w:rFonts w:ascii="Arial" w:hAnsi="Arial" w:cs="Arial"/>
                <w:color w:val="000000"/>
              </w:rPr>
              <w:t xml:space="preserve"> are crucia</w:t>
            </w:r>
            <w:r>
              <w:rPr>
                <w:rFonts w:ascii="Arial" w:hAnsi="Arial" w:cs="Arial"/>
                <w:color w:val="000000"/>
              </w:rPr>
              <w:t>l, and c</w:t>
            </w:r>
            <w:r w:rsidRPr="00D25614">
              <w:rPr>
                <w:rFonts w:ascii="Arial" w:hAnsi="Arial" w:cs="Arial"/>
                <w:color w:val="000000"/>
              </w:rPr>
              <w:t>onflict resolution i</w:t>
            </w:r>
            <w:r>
              <w:rPr>
                <w:rFonts w:ascii="Arial" w:hAnsi="Arial" w:cs="Arial"/>
                <w:color w:val="000000"/>
              </w:rPr>
              <w:t xml:space="preserve">n </w:t>
            </w:r>
            <w:r w:rsidRPr="00D25614">
              <w:rPr>
                <w:rFonts w:ascii="Arial" w:hAnsi="Arial" w:cs="Arial"/>
                <w:color w:val="000000"/>
              </w:rPr>
              <w:t>YOIs is under-resourced and under-developed.</w:t>
            </w:r>
          </w:p>
        </w:tc>
      </w:tr>
      <w:tr w:rsidR="00716F7C" w14:paraId="726236E2" w14:textId="77777777" w:rsidTr="00C444B6">
        <w:trPr>
          <w:trHeight w:val="369"/>
        </w:trPr>
        <w:tc>
          <w:tcPr>
            <w:tcW w:w="2122" w:type="dxa"/>
          </w:tcPr>
          <w:p w14:paraId="63C47ABA" w14:textId="2F82666F" w:rsidR="00716F7C" w:rsidRPr="00785364" w:rsidRDefault="008D5108" w:rsidP="00A00D4E">
            <w:pPr>
              <w:rPr>
                <w:rFonts w:ascii="Arial" w:hAnsi="Arial" w:cs="Arial"/>
              </w:rPr>
            </w:pPr>
            <w:r w:rsidRPr="00785364">
              <w:rPr>
                <w:rFonts w:ascii="Arial" w:hAnsi="Arial" w:cs="Arial"/>
              </w:rPr>
              <w:t>32</w:t>
            </w:r>
            <w:r w:rsidR="00D25614">
              <w:rPr>
                <w:rFonts w:ascii="Arial" w:hAnsi="Arial" w:cs="Arial"/>
              </w:rPr>
              <w:t>/p.24</w:t>
            </w:r>
          </w:p>
        </w:tc>
        <w:tc>
          <w:tcPr>
            <w:tcW w:w="7644" w:type="dxa"/>
          </w:tcPr>
          <w:p w14:paraId="03A52AA9" w14:textId="2A79B80F" w:rsidR="00716F7C" w:rsidRPr="00D25614" w:rsidRDefault="008D5108" w:rsidP="00716F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25614">
              <w:rPr>
                <w:rFonts w:ascii="Arial" w:hAnsi="Arial" w:cs="Arial"/>
                <w:color w:val="000000"/>
              </w:rPr>
              <w:t>This handover needs to be recorded. V</w:t>
            </w:r>
            <w:bookmarkStart w:id="0" w:name="_GoBack"/>
            <w:bookmarkEnd w:id="0"/>
            <w:r w:rsidRPr="00D25614">
              <w:rPr>
                <w:rFonts w:ascii="Arial" w:hAnsi="Arial" w:cs="Arial"/>
                <w:color w:val="000000"/>
              </w:rPr>
              <w:t>erbal handovers are ripe for misunderstandings</w:t>
            </w:r>
            <w:r w:rsidR="0006704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16F7C" w14:paraId="474E6F08" w14:textId="77777777" w:rsidTr="00C444B6">
        <w:trPr>
          <w:trHeight w:val="369"/>
        </w:trPr>
        <w:tc>
          <w:tcPr>
            <w:tcW w:w="2122" w:type="dxa"/>
          </w:tcPr>
          <w:p w14:paraId="3CE083B9" w14:textId="39D9A941" w:rsidR="00716F7C" w:rsidRPr="00785364" w:rsidRDefault="008D5108" w:rsidP="00A00D4E">
            <w:pPr>
              <w:rPr>
                <w:rFonts w:ascii="Arial" w:hAnsi="Arial" w:cs="Arial"/>
              </w:rPr>
            </w:pPr>
            <w:r w:rsidRPr="00785364">
              <w:rPr>
                <w:rFonts w:ascii="Arial" w:hAnsi="Arial" w:cs="Arial"/>
              </w:rPr>
              <w:t>4.38</w:t>
            </w:r>
            <w:r w:rsidR="00D25614">
              <w:rPr>
                <w:rFonts w:ascii="Arial" w:hAnsi="Arial" w:cs="Arial"/>
              </w:rPr>
              <w:t>/p.25</w:t>
            </w:r>
          </w:p>
        </w:tc>
        <w:tc>
          <w:tcPr>
            <w:tcW w:w="7644" w:type="dxa"/>
          </w:tcPr>
          <w:p w14:paraId="0C2A215C" w14:textId="285A13FC" w:rsidR="00716F7C" w:rsidRPr="00D25614" w:rsidRDefault="008D5108" w:rsidP="00716F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25614">
              <w:rPr>
                <w:rFonts w:ascii="Arial" w:hAnsi="Arial" w:cs="Arial"/>
                <w:color w:val="000000"/>
              </w:rPr>
              <w:t>Young people separated under Rule 49 should spend at least one hour in fresh air daily.</w:t>
            </w:r>
          </w:p>
        </w:tc>
      </w:tr>
      <w:tr w:rsidR="00716F7C" w14:paraId="6C49DFB0" w14:textId="77777777" w:rsidTr="00C444B6">
        <w:trPr>
          <w:trHeight w:val="369"/>
        </w:trPr>
        <w:tc>
          <w:tcPr>
            <w:tcW w:w="2122" w:type="dxa"/>
          </w:tcPr>
          <w:p w14:paraId="270670FB" w14:textId="42370841" w:rsidR="00716F7C" w:rsidRPr="00785364" w:rsidRDefault="008D5108" w:rsidP="00A00D4E">
            <w:pPr>
              <w:rPr>
                <w:rFonts w:ascii="Arial" w:hAnsi="Arial" w:cs="Arial"/>
              </w:rPr>
            </w:pPr>
            <w:r w:rsidRPr="00785364">
              <w:rPr>
                <w:rFonts w:ascii="Arial" w:hAnsi="Arial" w:cs="Arial"/>
              </w:rPr>
              <w:t>4.42</w:t>
            </w:r>
            <w:r w:rsidR="00D25614">
              <w:rPr>
                <w:rFonts w:ascii="Arial" w:hAnsi="Arial" w:cs="Arial"/>
              </w:rPr>
              <w:t>/p.26</w:t>
            </w:r>
          </w:p>
        </w:tc>
        <w:tc>
          <w:tcPr>
            <w:tcW w:w="7644" w:type="dxa"/>
          </w:tcPr>
          <w:p w14:paraId="3D291650" w14:textId="45B08880" w:rsidR="00716F7C" w:rsidRPr="00D25614" w:rsidRDefault="008D5108" w:rsidP="00716F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25614">
              <w:rPr>
                <w:rFonts w:ascii="Arial" w:hAnsi="Arial" w:cs="Arial"/>
                <w:color w:val="000000"/>
              </w:rPr>
              <w:t>Th</w:t>
            </w:r>
            <w:r w:rsidR="00D25614">
              <w:rPr>
                <w:rFonts w:ascii="Arial" w:hAnsi="Arial" w:cs="Arial"/>
                <w:color w:val="000000"/>
              </w:rPr>
              <w:t xml:space="preserve">is seems to be just an afterthought. It would make more sense to include it under </w:t>
            </w:r>
            <w:r w:rsidR="00D25614" w:rsidRPr="00D25614">
              <w:rPr>
                <w:rFonts w:ascii="Arial" w:hAnsi="Arial" w:cs="Arial"/>
                <w:i/>
                <w:iCs/>
                <w:color w:val="000000"/>
              </w:rPr>
              <w:t>4. Requirements, Before separation or self-isolation</w:t>
            </w:r>
            <w:r w:rsidR="003D4C0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618CA5F5" w14:textId="4BCE3AD1" w:rsidR="00980D67" w:rsidRDefault="00980D67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0E619B" w14:paraId="1EF13333" w14:textId="77777777" w:rsidTr="00C444B6">
        <w:tc>
          <w:tcPr>
            <w:tcW w:w="2122" w:type="dxa"/>
          </w:tcPr>
          <w:p w14:paraId="1C48CF97" w14:textId="342A952F" w:rsidR="000E619B" w:rsidRPr="00C444B6" w:rsidRDefault="00C444B6">
            <w:pPr>
              <w:rPr>
                <w:rFonts w:ascii="Arial" w:hAnsi="Arial" w:cs="Arial"/>
              </w:rPr>
            </w:pPr>
            <w:r w:rsidRPr="00C444B6">
              <w:rPr>
                <w:rFonts w:ascii="Arial" w:hAnsi="Arial" w:cs="Arial"/>
              </w:rPr>
              <w:t>Section 4/pp.17-27</w:t>
            </w:r>
          </w:p>
        </w:tc>
        <w:tc>
          <w:tcPr>
            <w:tcW w:w="7654" w:type="dxa"/>
          </w:tcPr>
          <w:p w14:paraId="7EE64652" w14:textId="5AA96448" w:rsidR="00C444B6" w:rsidRPr="000E619B" w:rsidRDefault="00C444B6" w:rsidP="00C44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section </w:t>
            </w:r>
            <w:r w:rsidRPr="000E619B">
              <w:rPr>
                <w:rFonts w:ascii="Arial" w:hAnsi="Arial" w:cs="Arial"/>
              </w:rPr>
              <w:t>attempts to address all forms of separation (for safety of self, for safety of others and self-isolation)</w:t>
            </w:r>
            <w:r>
              <w:rPr>
                <w:rFonts w:ascii="Arial" w:hAnsi="Arial" w:cs="Arial"/>
              </w:rPr>
              <w:t xml:space="preserve"> generically, </w:t>
            </w:r>
            <w:r w:rsidRPr="000E619B">
              <w:rPr>
                <w:rFonts w:ascii="Arial" w:hAnsi="Arial" w:cs="Arial"/>
              </w:rPr>
              <w:t xml:space="preserve">as if they all require the same interventions. This is unfocussed and unclear. </w:t>
            </w:r>
          </w:p>
          <w:p w14:paraId="30509858" w14:textId="77777777" w:rsidR="000E619B" w:rsidRDefault="000E619B"/>
        </w:tc>
      </w:tr>
    </w:tbl>
    <w:p w14:paraId="4C017D5F" w14:textId="2EED204C" w:rsidR="000E619B" w:rsidRDefault="000E619B"/>
    <w:p w14:paraId="59FCCE9D" w14:textId="77777777" w:rsidR="00C444B6" w:rsidRDefault="00C444B6"/>
    <w:p w14:paraId="13CF0F64" w14:textId="77777777" w:rsidR="000E619B" w:rsidRDefault="000E619B"/>
    <w:sectPr w:rsidR="000E619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FA376" w14:textId="77777777" w:rsidR="00980D67" w:rsidRDefault="00980D67" w:rsidP="00980D67">
      <w:pPr>
        <w:spacing w:after="0" w:line="240" w:lineRule="auto"/>
      </w:pPr>
      <w:r>
        <w:separator/>
      </w:r>
    </w:p>
  </w:endnote>
  <w:endnote w:type="continuationSeparator" w:id="0">
    <w:p w14:paraId="12AC0DDD" w14:textId="77777777" w:rsidR="00980D67" w:rsidRDefault="00980D67" w:rsidP="0098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07A92" w14:textId="77777777" w:rsidR="00980D67" w:rsidRDefault="00980D67" w:rsidP="00980D67">
      <w:pPr>
        <w:spacing w:after="0" w:line="240" w:lineRule="auto"/>
      </w:pPr>
      <w:r>
        <w:separator/>
      </w:r>
    </w:p>
  </w:footnote>
  <w:footnote w:type="continuationSeparator" w:id="0">
    <w:p w14:paraId="0800F94E" w14:textId="77777777" w:rsidR="00980D67" w:rsidRDefault="00980D67" w:rsidP="00980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2BFEE" w14:textId="1859C8E2" w:rsidR="00980D67" w:rsidRPr="00980D67" w:rsidRDefault="00980D67">
    <w:pPr>
      <w:pStyle w:val="Header"/>
      <w:rPr>
        <w:rFonts w:ascii="Arial" w:hAnsi="Arial" w:cs="Arial"/>
      </w:rPr>
    </w:pPr>
    <w:r w:rsidRPr="00980D67">
      <w:rPr>
        <w:rFonts w:ascii="Arial" w:hAnsi="Arial" w:cs="Arial"/>
      </w:rPr>
      <w:t>July 2021</w:t>
    </w:r>
  </w:p>
  <w:p w14:paraId="0CC4F5B0" w14:textId="77777777" w:rsidR="00980D67" w:rsidRDefault="00980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A1A59"/>
    <w:multiLevelType w:val="multilevel"/>
    <w:tmpl w:val="BF4069E6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8C"/>
    <w:rsid w:val="0006704E"/>
    <w:rsid w:val="000E619B"/>
    <w:rsid w:val="001713FA"/>
    <w:rsid w:val="00186607"/>
    <w:rsid w:val="0032243E"/>
    <w:rsid w:val="003A39B1"/>
    <w:rsid w:val="003D4C02"/>
    <w:rsid w:val="00424615"/>
    <w:rsid w:val="00577221"/>
    <w:rsid w:val="00716F7C"/>
    <w:rsid w:val="00785364"/>
    <w:rsid w:val="008D5108"/>
    <w:rsid w:val="008F30DD"/>
    <w:rsid w:val="00980D67"/>
    <w:rsid w:val="009C48D8"/>
    <w:rsid w:val="00A00D4E"/>
    <w:rsid w:val="00A2599C"/>
    <w:rsid w:val="00A9115D"/>
    <w:rsid w:val="00B07DAB"/>
    <w:rsid w:val="00B50C73"/>
    <w:rsid w:val="00BD0ADA"/>
    <w:rsid w:val="00C27B62"/>
    <w:rsid w:val="00C444B6"/>
    <w:rsid w:val="00C466A9"/>
    <w:rsid w:val="00CB5AF4"/>
    <w:rsid w:val="00D25614"/>
    <w:rsid w:val="00D83B55"/>
    <w:rsid w:val="00DF1676"/>
    <w:rsid w:val="00F51F7D"/>
    <w:rsid w:val="00FA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0809"/>
  <w15:chartTrackingRefBased/>
  <w15:docId w15:val="{563D6CF6-A860-4BDD-82F4-6FD2834B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6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D67"/>
  </w:style>
  <w:style w:type="paragraph" w:styleId="Footer">
    <w:name w:val="footer"/>
    <w:basedOn w:val="Normal"/>
    <w:link w:val="FooterChar"/>
    <w:uiPriority w:val="99"/>
    <w:unhideWhenUsed/>
    <w:rsid w:val="00980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D67"/>
  </w:style>
  <w:style w:type="table" w:styleId="TableGrid">
    <w:name w:val="Table Grid"/>
    <w:basedOn w:val="TableNormal"/>
    <w:uiPriority w:val="39"/>
    <w:rsid w:val="0098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0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85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3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AE479F3B68D43B42460F048DFF94C" ma:contentTypeVersion="12" ma:contentTypeDescription="Create a new document." ma:contentTypeScope="" ma:versionID="d8fe4b466669e7ce2e3ea00812d46fc2">
  <xsd:schema xmlns:xsd="http://www.w3.org/2001/XMLSchema" xmlns:xs="http://www.w3.org/2001/XMLSchema" xmlns:p="http://schemas.microsoft.com/office/2006/metadata/properties" xmlns:ns3="b605508c-0c79-4846-9587-97dee1dca166" xmlns:ns4="6e50c193-6c00-432b-82a6-43688c44d96e" targetNamespace="http://schemas.microsoft.com/office/2006/metadata/properties" ma:root="true" ma:fieldsID="599709f256372c2a8d588611e04f666a" ns3:_="" ns4:_="">
    <xsd:import namespace="b605508c-0c79-4846-9587-97dee1dca166"/>
    <xsd:import namespace="6e50c193-6c00-432b-82a6-43688c44d9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5508c-0c79-4846-9587-97dee1dca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0c193-6c00-432b-82a6-43688c44d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310D5-6F21-487A-839C-C766A8CB3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5508c-0c79-4846-9587-97dee1dca166"/>
    <ds:schemaRef ds:uri="6e50c193-6c00-432b-82a6-43688c44d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01DA1-D670-4CFB-9B68-7F7A742E95E9}">
  <ds:schemaRefs>
    <ds:schemaRef ds:uri="b605508c-0c79-4846-9587-97dee1dca166"/>
    <ds:schemaRef ds:uri="http://purl.org/dc/elements/1.1/"/>
    <ds:schemaRef ds:uri="http://schemas.microsoft.com/office/infopath/2007/PartnerControls"/>
    <ds:schemaRef ds:uri="http://purl.org/dc/terms/"/>
    <ds:schemaRef ds:uri="6e50c193-6c00-432b-82a6-43688c44d96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054333-2D25-477C-96DE-002CF3BF2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76E0EF-1C5F-4B87-9370-5DD0CDEC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Catherine</dc:creator>
  <cp:keywords/>
  <dc:description/>
  <cp:lastModifiedBy>George, Catherine</cp:lastModifiedBy>
  <cp:revision>3</cp:revision>
  <dcterms:created xsi:type="dcterms:W3CDTF">2021-07-26T08:14:00Z</dcterms:created>
  <dcterms:modified xsi:type="dcterms:W3CDTF">2021-07-26T08:25:00Z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0x0101002C8AE479F3B68D43B42460F048DFF94C</vt:lpwstr>
  </property>
</Properties>
</file>