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0CBB6" w14:textId="77C860A6" w:rsidR="008506FC" w:rsidRDefault="009A0E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Home Office consultation: </w:t>
      </w:r>
      <w:r w:rsidR="008506FC" w:rsidRPr="009A0EC0">
        <w:rPr>
          <w:rFonts w:ascii="Arial" w:hAnsi="Arial" w:cs="Arial"/>
          <w:b/>
          <w:bCs/>
          <w:sz w:val="24"/>
          <w:szCs w:val="24"/>
        </w:rPr>
        <w:t>Detention Services Order (DSO) - Interpretation Services and use of Translation Devices</w:t>
      </w:r>
      <w:r w:rsidRPr="009A0EC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94C5F6" w14:textId="6D8C8F71" w:rsidR="004565AC" w:rsidRPr="009A0EC0" w:rsidRDefault="004565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Comments from Independent Monitoring Boards in the immigration detention estate</w:t>
      </w:r>
    </w:p>
    <w:p w14:paraId="232DC625" w14:textId="788383B6" w:rsidR="00782E40" w:rsidRDefault="00F60449">
      <w:pPr>
        <w:rPr>
          <w:rFonts w:ascii="Arial" w:hAnsi="Arial" w:cs="Arial"/>
          <w:sz w:val="24"/>
          <w:szCs w:val="24"/>
        </w:rPr>
      </w:pPr>
      <w:r w:rsidRPr="000039F9">
        <w:rPr>
          <w:rFonts w:ascii="Arial" w:hAnsi="Arial" w:cs="Arial"/>
          <w:sz w:val="24"/>
          <w:szCs w:val="24"/>
        </w:rPr>
        <w:t xml:space="preserve">On the whole, Independent Monitoring Boards (IMBs) in the immigration detention estate </w:t>
      </w:r>
      <w:r w:rsidR="00524992">
        <w:rPr>
          <w:rFonts w:ascii="Arial" w:hAnsi="Arial" w:cs="Arial"/>
          <w:sz w:val="24"/>
          <w:szCs w:val="24"/>
        </w:rPr>
        <w:t xml:space="preserve">think that </w:t>
      </w:r>
      <w:r w:rsidR="00782E40">
        <w:rPr>
          <w:rFonts w:ascii="Arial" w:hAnsi="Arial" w:cs="Arial"/>
          <w:sz w:val="24"/>
          <w:szCs w:val="24"/>
        </w:rPr>
        <w:t>the draft DSO</w:t>
      </w:r>
      <w:r w:rsidR="00524992">
        <w:rPr>
          <w:rFonts w:ascii="Arial" w:hAnsi="Arial" w:cs="Arial"/>
          <w:sz w:val="24"/>
          <w:szCs w:val="24"/>
        </w:rPr>
        <w:t xml:space="preserve"> </w:t>
      </w:r>
      <w:r w:rsidR="008506FC">
        <w:rPr>
          <w:rFonts w:ascii="Arial" w:hAnsi="Arial" w:cs="Arial"/>
          <w:sz w:val="24"/>
          <w:szCs w:val="24"/>
        </w:rPr>
        <w:t>clearly outlines procedures.</w:t>
      </w:r>
    </w:p>
    <w:p w14:paraId="05CF2B9A" w14:textId="4467D909" w:rsidR="001A010A" w:rsidRDefault="00EE63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have, however, made some suggestions for improvement: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E6371" w14:paraId="79536C20" w14:textId="77777777" w:rsidTr="00EE6371">
        <w:tc>
          <w:tcPr>
            <w:tcW w:w="1555" w:type="dxa"/>
          </w:tcPr>
          <w:p w14:paraId="51453CC6" w14:textId="0F1BEAE3" w:rsidR="00EE6371" w:rsidRPr="00EE6371" w:rsidRDefault="00EE6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71">
              <w:rPr>
                <w:rFonts w:ascii="Arial" w:hAnsi="Arial" w:cs="Arial"/>
                <w:b/>
                <w:bCs/>
                <w:sz w:val="24"/>
                <w:szCs w:val="24"/>
              </w:rPr>
              <w:t>Paragraph</w:t>
            </w:r>
          </w:p>
        </w:tc>
        <w:tc>
          <w:tcPr>
            <w:tcW w:w="7461" w:type="dxa"/>
          </w:tcPr>
          <w:p w14:paraId="68394D32" w14:textId="540A7BD7" w:rsidR="00EE6371" w:rsidRPr="00EE6371" w:rsidRDefault="00EE6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71">
              <w:rPr>
                <w:rFonts w:ascii="Arial" w:hAnsi="Arial" w:cs="Arial"/>
                <w:b/>
                <w:bCs/>
                <w:sz w:val="24"/>
                <w:szCs w:val="24"/>
              </w:rPr>
              <w:t>Comment</w:t>
            </w:r>
          </w:p>
        </w:tc>
      </w:tr>
      <w:tr w:rsidR="00EA6E21" w14:paraId="2DC3988F" w14:textId="77777777" w:rsidTr="00EE6371">
        <w:tc>
          <w:tcPr>
            <w:tcW w:w="1555" w:type="dxa"/>
          </w:tcPr>
          <w:p w14:paraId="6D249636" w14:textId="4AD95B38" w:rsidR="00EA6E21" w:rsidRDefault="00EA6E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461" w:type="dxa"/>
          </w:tcPr>
          <w:p w14:paraId="2FA37B72" w14:textId="3CF20762" w:rsidR="00EA6E21" w:rsidRPr="00136348" w:rsidRDefault="00EA6E21">
            <w:pPr>
              <w:rPr>
                <w:rFonts w:ascii="Arial" w:hAnsi="Arial" w:cs="Arial"/>
                <w:sz w:val="24"/>
                <w:szCs w:val="24"/>
              </w:rPr>
            </w:pPr>
            <w:r w:rsidRPr="00136348">
              <w:rPr>
                <w:rFonts w:ascii="Arial" w:hAnsi="Arial" w:cs="Arial"/>
                <w:sz w:val="24"/>
                <w:szCs w:val="24"/>
              </w:rPr>
              <w:t>IMBs welcome the use of electronic translation devices, but the WIFI coverage in some IRC sites can hinder their use</w:t>
            </w:r>
            <w:r w:rsidR="00524992">
              <w:rPr>
                <w:rFonts w:ascii="Arial" w:hAnsi="Arial" w:cs="Arial"/>
                <w:sz w:val="24"/>
                <w:szCs w:val="24"/>
              </w:rPr>
              <w:t>, so this may not always be possible</w:t>
            </w:r>
            <w:r w:rsidRPr="00136348">
              <w:rPr>
                <w:rFonts w:ascii="Arial" w:hAnsi="Arial" w:cs="Arial"/>
                <w:sz w:val="24"/>
                <w:szCs w:val="24"/>
              </w:rPr>
              <w:t>. H</w:t>
            </w:r>
            <w:r w:rsidR="00524992">
              <w:rPr>
                <w:rFonts w:ascii="Arial" w:hAnsi="Arial" w:cs="Arial"/>
                <w:sz w:val="24"/>
                <w:szCs w:val="24"/>
              </w:rPr>
              <w:t>ave alternatives been explored?</w:t>
            </w:r>
          </w:p>
        </w:tc>
      </w:tr>
      <w:tr w:rsidR="00EE6371" w14:paraId="5B141DFC" w14:textId="77777777" w:rsidTr="00EE6371">
        <w:tc>
          <w:tcPr>
            <w:tcW w:w="1555" w:type="dxa"/>
          </w:tcPr>
          <w:p w14:paraId="2486E53E" w14:textId="01F193C2" w:rsidR="00EE6371" w:rsidRDefault="00EE63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461" w:type="dxa"/>
          </w:tcPr>
          <w:p w14:paraId="661552BE" w14:textId="46D62CAB" w:rsidR="00EE6371" w:rsidRPr="00136348" w:rsidRDefault="00EE6371">
            <w:pPr>
              <w:rPr>
                <w:rFonts w:ascii="Arial" w:hAnsi="Arial" w:cs="Arial"/>
                <w:sz w:val="24"/>
                <w:szCs w:val="24"/>
              </w:rPr>
            </w:pPr>
            <w:r w:rsidRPr="00136348">
              <w:rPr>
                <w:rFonts w:ascii="Arial" w:hAnsi="Arial" w:cs="Arial"/>
                <w:sz w:val="24"/>
                <w:szCs w:val="24"/>
              </w:rPr>
              <w:t xml:space="preserve">This appears to suggest that supplier staff should not be </w:t>
            </w:r>
            <w:r w:rsidR="00524992">
              <w:rPr>
                <w:rFonts w:ascii="Arial" w:hAnsi="Arial" w:cs="Arial"/>
                <w:sz w:val="24"/>
                <w:szCs w:val="24"/>
              </w:rPr>
              <w:t xml:space="preserve">used </w:t>
            </w:r>
            <w:r w:rsidR="00EA6E21" w:rsidRPr="00136348">
              <w:rPr>
                <w:rFonts w:ascii="Arial" w:hAnsi="Arial" w:cs="Arial"/>
                <w:sz w:val="24"/>
                <w:szCs w:val="24"/>
              </w:rPr>
              <w:t>for translation purposes due to confidentiality issues. In the IMBs</w:t>
            </w:r>
            <w:r w:rsidR="008506FC">
              <w:rPr>
                <w:rFonts w:ascii="Arial" w:hAnsi="Arial" w:cs="Arial"/>
                <w:sz w:val="24"/>
                <w:szCs w:val="24"/>
              </w:rPr>
              <w:t>’</w:t>
            </w:r>
            <w:r w:rsidR="00EA6E21" w:rsidRPr="00136348">
              <w:rPr>
                <w:rFonts w:ascii="Arial" w:hAnsi="Arial" w:cs="Arial"/>
                <w:sz w:val="24"/>
                <w:szCs w:val="24"/>
              </w:rPr>
              <w:t xml:space="preserve"> experience, supplier staff can and do translate, which can be useful in de-escalating situations where detainees are struggling to communicate. </w:t>
            </w:r>
          </w:p>
        </w:tc>
      </w:tr>
      <w:tr w:rsidR="00EE6371" w14:paraId="45D30205" w14:textId="77777777" w:rsidTr="00EE6371">
        <w:tc>
          <w:tcPr>
            <w:tcW w:w="1555" w:type="dxa"/>
          </w:tcPr>
          <w:p w14:paraId="1067F639" w14:textId="7739F8A7" w:rsidR="00EE6371" w:rsidRDefault="00EE63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461" w:type="dxa"/>
          </w:tcPr>
          <w:p w14:paraId="7F5DA013" w14:textId="11E2662C" w:rsidR="00EE6371" w:rsidRPr="00136348" w:rsidRDefault="004565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IMBs suggest phrasing the question </w:t>
            </w:r>
            <w:r w:rsidR="00EE6371" w:rsidRPr="00136348">
              <w:rPr>
                <w:rFonts w:ascii="Arial" w:hAnsi="Arial" w:cs="Arial"/>
                <w:sz w:val="24"/>
                <w:szCs w:val="24"/>
              </w:rPr>
              <w:t>"How is your level of English?"</w:t>
            </w:r>
            <w:r w:rsidR="006245CF">
              <w:rPr>
                <w:rFonts w:ascii="Arial" w:hAnsi="Arial" w:cs="Arial"/>
                <w:sz w:val="24"/>
                <w:szCs w:val="24"/>
              </w:rPr>
              <w:t xml:space="preserve"> more clearly</w:t>
            </w:r>
            <w:r>
              <w:rPr>
                <w:rFonts w:ascii="Arial" w:hAnsi="Arial" w:cs="Arial"/>
                <w:sz w:val="24"/>
                <w:szCs w:val="24"/>
              </w:rPr>
              <w:t xml:space="preserve">, as it </w:t>
            </w:r>
            <w:r w:rsidR="006245CF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ould potentially be difficult even for a fluent English speaker to understand.</w:t>
            </w:r>
            <w:r w:rsidR="00EE6371" w:rsidRPr="0013634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E6371" w14:paraId="00304D0B" w14:textId="77777777" w:rsidTr="00EE6371">
        <w:tc>
          <w:tcPr>
            <w:tcW w:w="1555" w:type="dxa"/>
          </w:tcPr>
          <w:p w14:paraId="4B01633D" w14:textId="665B3AE2" w:rsidR="00EE6371" w:rsidRDefault="00EE63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 A</w:t>
            </w:r>
          </w:p>
        </w:tc>
        <w:tc>
          <w:tcPr>
            <w:tcW w:w="7461" w:type="dxa"/>
          </w:tcPr>
          <w:p w14:paraId="0F490ACE" w14:textId="62765F37" w:rsidR="00EE6371" w:rsidRPr="00136348" w:rsidRDefault="00EE6371">
            <w:pPr>
              <w:rPr>
                <w:rFonts w:ascii="Arial" w:hAnsi="Arial" w:cs="Arial"/>
                <w:sz w:val="24"/>
                <w:szCs w:val="24"/>
              </w:rPr>
            </w:pPr>
            <w:r w:rsidRPr="00136348">
              <w:rPr>
                <w:rFonts w:ascii="Arial" w:hAnsi="Arial" w:cs="Arial"/>
                <w:sz w:val="24"/>
                <w:szCs w:val="24"/>
              </w:rPr>
              <w:t xml:space="preserve">The Charter Returns booklet </w:t>
            </w:r>
            <w:r w:rsidR="00EA6E21" w:rsidRPr="00136348">
              <w:rPr>
                <w:rFonts w:ascii="Arial" w:hAnsi="Arial" w:cs="Arial"/>
                <w:sz w:val="24"/>
                <w:szCs w:val="24"/>
              </w:rPr>
              <w:t>should also appear in Annex A</w:t>
            </w:r>
            <w:r w:rsidR="00524992">
              <w:rPr>
                <w:rFonts w:ascii="Arial" w:hAnsi="Arial" w:cs="Arial"/>
                <w:sz w:val="24"/>
                <w:szCs w:val="24"/>
              </w:rPr>
              <w:t>, as it also applies to IRCs</w:t>
            </w:r>
            <w:r w:rsidR="00EA6E21" w:rsidRPr="001363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6348">
              <w:rPr>
                <w:rFonts w:ascii="Arial" w:hAnsi="Arial" w:cs="Arial"/>
                <w:sz w:val="24"/>
                <w:szCs w:val="24"/>
              </w:rPr>
              <w:t>in preparation for removal.  The CFMT ha</w:t>
            </w:r>
            <w:r w:rsidR="00524992">
              <w:rPr>
                <w:rFonts w:ascii="Arial" w:hAnsi="Arial" w:cs="Arial"/>
                <w:sz w:val="24"/>
                <w:szCs w:val="24"/>
              </w:rPr>
              <w:t>d</w:t>
            </w:r>
            <w:r w:rsidRPr="00136348">
              <w:rPr>
                <w:rFonts w:ascii="Arial" w:hAnsi="Arial" w:cs="Arial"/>
                <w:sz w:val="24"/>
                <w:szCs w:val="24"/>
              </w:rPr>
              <w:t xml:space="preserve"> been assured that it is available in </w:t>
            </w:r>
            <w:r w:rsidR="00524992">
              <w:rPr>
                <w:rFonts w:ascii="Arial" w:hAnsi="Arial" w:cs="Arial"/>
                <w:sz w:val="24"/>
                <w:szCs w:val="24"/>
              </w:rPr>
              <w:t>IRCs</w:t>
            </w:r>
            <w:r w:rsidRPr="00136348">
              <w:rPr>
                <w:rFonts w:ascii="Arial" w:hAnsi="Arial" w:cs="Arial"/>
                <w:sz w:val="24"/>
                <w:szCs w:val="24"/>
              </w:rPr>
              <w:t xml:space="preserve"> and th</w:t>
            </w:r>
            <w:r w:rsidR="00524992">
              <w:rPr>
                <w:rFonts w:ascii="Arial" w:hAnsi="Arial" w:cs="Arial"/>
                <w:sz w:val="24"/>
                <w:szCs w:val="24"/>
              </w:rPr>
              <w:t>at the</w:t>
            </w:r>
            <w:r w:rsidRPr="00136348">
              <w:rPr>
                <w:rFonts w:ascii="Arial" w:hAnsi="Arial" w:cs="Arial"/>
                <w:sz w:val="24"/>
                <w:szCs w:val="24"/>
              </w:rPr>
              <w:t xml:space="preserve"> local DETs will distribute it in advance of charter removal.</w:t>
            </w:r>
          </w:p>
        </w:tc>
      </w:tr>
    </w:tbl>
    <w:p w14:paraId="017D41DF" w14:textId="77777777" w:rsidR="00EE6371" w:rsidRDefault="00EE6371">
      <w:pPr>
        <w:rPr>
          <w:rFonts w:ascii="Arial" w:hAnsi="Arial" w:cs="Arial"/>
          <w:sz w:val="24"/>
          <w:szCs w:val="24"/>
        </w:rPr>
      </w:pPr>
    </w:p>
    <w:p w14:paraId="1602B8DD" w14:textId="77777777" w:rsidR="000039F9" w:rsidRDefault="000039F9" w:rsidP="000039F9"/>
    <w:p w14:paraId="3FFFCFEB" w14:textId="77777777" w:rsidR="000039F9" w:rsidRPr="000039F9" w:rsidRDefault="000039F9">
      <w:pPr>
        <w:rPr>
          <w:rFonts w:ascii="Arial" w:hAnsi="Arial" w:cs="Arial"/>
          <w:sz w:val="24"/>
          <w:szCs w:val="24"/>
        </w:rPr>
      </w:pPr>
    </w:p>
    <w:sectPr w:rsidR="000039F9" w:rsidRPr="000039F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27CE" w14:textId="77777777" w:rsidR="009A0EC0" w:rsidRDefault="009A0EC0" w:rsidP="009A0EC0">
      <w:pPr>
        <w:spacing w:after="0" w:line="240" w:lineRule="auto"/>
      </w:pPr>
      <w:r>
        <w:separator/>
      </w:r>
    </w:p>
  </w:endnote>
  <w:endnote w:type="continuationSeparator" w:id="0">
    <w:p w14:paraId="06475EEC" w14:textId="77777777" w:rsidR="009A0EC0" w:rsidRDefault="009A0EC0" w:rsidP="009A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5818" w14:textId="77777777" w:rsidR="009A0EC0" w:rsidRDefault="009A0EC0" w:rsidP="009A0EC0">
      <w:pPr>
        <w:spacing w:after="0" w:line="240" w:lineRule="auto"/>
      </w:pPr>
      <w:r>
        <w:separator/>
      </w:r>
    </w:p>
  </w:footnote>
  <w:footnote w:type="continuationSeparator" w:id="0">
    <w:p w14:paraId="60A91802" w14:textId="77777777" w:rsidR="009A0EC0" w:rsidRDefault="009A0EC0" w:rsidP="009A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3302" w14:textId="18FA813F" w:rsidR="009A0EC0" w:rsidRPr="009A0EC0" w:rsidRDefault="009A0EC0">
    <w:pPr>
      <w:pStyle w:val="Header"/>
      <w:rPr>
        <w:rFonts w:ascii="Arial" w:hAnsi="Arial" w:cs="Arial"/>
      </w:rPr>
    </w:pPr>
    <w:r w:rsidRPr="009A0EC0">
      <w:rPr>
        <w:rFonts w:ascii="Arial" w:hAnsi="Arial" w:cs="Arial"/>
      </w:rPr>
      <w:t>August 2021</w:t>
    </w:r>
  </w:p>
  <w:p w14:paraId="5D3D1B10" w14:textId="77777777" w:rsidR="009A0EC0" w:rsidRDefault="009A0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49"/>
    <w:rsid w:val="000039F9"/>
    <w:rsid w:val="00136348"/>
    <w:rsid w:val="001A010A"/>
    <w:rsid w:val="004565AC"/>
    <w:rsid w:val="004B1FA9"/>
    <w:rsid w:val="00524992"/>
    <w:rsid w:val="006245CF"/>
    <w:rsid w:val="007141E3"/>
    <w:rsid w:val="00782E40"/>
    <w:rsid w:val="008506FC"/>
    <w:rsid w:val="009A0EC0"/>
    <w:rsid w:val="00B07DAB"/>
    <w:rsid w:val="00EA6E21"/>
    <w:rsid w:val="00EE6371"/>
    <w:rsid w:val="00F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C02A"/>
  <w15:chartTrackingRefBased/>
  <w15:docId w15:val="{F3632BC2-C548-4623-8567-2ED2A59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9F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EE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0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0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C0"/>
  </w:style>
  <w:style w:type="paragraph" w:styleId="Footer">
    <w:name w:val="footer"/>
    <w:basedOn w:val="Normal"/>
    <w:link w:val="FooterChar"/>
    <w:uiPriority w:val="99"/>
    <w:unhideWhenUsed/>
    <w:rsid w:val="009A0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AE479F3B68D43B42460F048DFF94C" ma:contentTypeVersion="12" ma:contentTypeDescription="Create a new document." ma:contentTypeScope="" ma:versionID="d8fe4b466669e7ce2e3ea00812d46fc2">
  <xsd:schema xmlns:xsd="http://www.w3.org/2001/XMLSchema" xmlns:xs="http://www.w3.org/2001/XMLSchema" xmlns:p="http://schemas.microsoft.com/office/2006/metadata/properties" xmlns:ns3="b605508c-0c79-4846-9587-97dee1dca166" xmlns:ns4="6e50c193-6c00-432b-82a6-43688c44d96e" targetNamespace="http://schemas.microsoft.com/office/2006/metadata/properties" ma:root="true" ma:fieldsID="599709f256372c2a8d588611e04f666a" ns3:_="" ns4:_="">
    <xsd:import namespace="b605508c-0c79-4846-9587-97dee1dca166"/>
    <xsd:import namespace="6e50c193-6c00-432b-82a6-43688c44d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508c-0c79-4846-9587-97dee1dca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0c193-6c00-432b-82a6-43688c44d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313EE-F127-450A-AE1D-C178FF8E2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B4B54-5DD7-4FDD-9982-F7FED265B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E5CED-48C6-4EF8-ACBA-1DDA12B1D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5508c-0c79-4846-9587-97dee1dca166"/>
    <ds:schemaRef ds:uri="6e50c193-6c00-432b-82a6-43688c44d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Catherine</dc:creator>
  <cp:keywords/>
  <dc:description/>
  <cp:lastModifiedBy>George, Catherine</cp:lastModifiedBy>
  <cp:revision>3</cp:revision>
  <dcterms:created xsi:type="dcterms:W3CDTF">2021-08-25T09:05:00Z</dcterms:created>
  <dcterms:modified xsi:type="dcterms:W3CDTF">2021-08-26T17:19:00Z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0x0101002C8AE479F3B68D43B42460F048DFF94C</vt:lpwstr>
  </property>
</Properties>
</file>