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7F1A7" w14:textId="7DAB5394" w:rsidR="00B21E40" w:rsidRDefault="00B21E40" w:rsidP="00233BC2"/>
    <w:p w14:paraId="30B23F64" w14:textId="7CDED3EF" w:rsidR="00DD0317" w:rsidRDefault="00DD0317" w:rsidP="00233BC2"/>
    <w:p w14:paraId="0B757B1A" w14:textId="1E3BE40D" w:rsidR="00DD0317" w:rsidRDefault="00DD0317" w:rsidP="00233BC2"/>
    <w:p w14:paraId="7AA89B8A" w14:textId="3163EEA7" w:rsidR="00DD0317" w:rsidRDefault="00DD0317" w:rsidP="00233BC2"/>
    <w:p w14:paraId="71C93900" w14:textId="6AE209F7" w:rsidR="0044659B" w:rsidRDefault="008A344F" w:rsidP="00233BC2">
      <w:pPr>
        <w:pStyle w:val="Heading1"/>
        <w:jc w:val="center"/>
        <w:rPr>
          <w:sz w:val="72"/>
          <w:szCs w:val="72"/>
        </w:rPr>
      </w:pPr>
      <w:r w:rsidRPr="008A344F">
        <w:rPr>
          <w:sz w:val="72"/>
          <w:szCs w:val="72"/>
        </w:rPr>
        <w:t xml:space="preserve">Immigration </w:t>
      </w:r>
      <w:r w:rsidR="00251A06">
        <w:rPr>
          <w:sz w:val="72"/>
          <w:szCs w:val="72"/>
        </w:rPr>
        <w:t>and</w:t>
      </w:r>
      <w:r w:rsidRPr="008A344F">
        <w:rPr>
          <w:sz w:val="72"/>
          <w:szCs w:val="72"/>
        </w:rPr>
        <w:t xml:space="preserve"> Asylum Key</w:t>
      </w:r>
      <w:r w:rsidR="008C3092">
        <w:rPr>
          <w:sz w:val="72"/>
          <w:szCs w:val="72"/>
        </w:rPr>
        <w:t xml:space="preserve"> </w:t>
      </w:r>
      <w:r w:rsidRPr="008A344F">
        <w:rPr>
          <w:sz w:val="72"/>
          <w:szCs w:val="72"/>
        </w:rPr>
        <w:t xml:space="preserve">card </w:t>
      </w:r>
      <w:r w:rsidR="0061383F">
        <w:rPr>
          <w:sz w:val="72"/>
          <w:szCs w:val="72"/>
        </w:rPr>
        <w:t>2</w:t>
      </w:r>
    </w:p>
    <w:p w14:paraId="31873BF9" w14:textId="01196303" w:rsidR="00415668" w:rsidRDefault="008E5985" w:rsidP="00233BC2">
      <w:pPr>
        <w:pStyle w:val="Heading1"/>
        <w:jc w:val="center"/>
        <w:rPr>
          <w:sz w:val="72"/>
          <w:szCs w:val="72"/>
        </w:rPr>
      </w:pPr>
      <w:r>
        <w:rPr>
          <w:sz w:val="72"/>
          <w:szCs w:val="72"/>
        </w:rPr>
        <w:t xml:space="preserve">Nationality and Borders Act </w:t>
      </w:r>
      <w:r w:rsidR="00E00F94">
        <w:rPr>
          <w:sz w:val="72"/>
          <w:szCs w:val="72"/>
        </w:rPr>
        <w:t>2022</w:t>
      </w:r>
      <w:r w:rsidR="0016357E">
        <w:rPr>
          <w:sz w:val="72"/>
          <w:szCs w:val="72"/>
        </w:rPr>
        <w:t>:</w:t>
      </w:r>
    </w:p>
    <w:p w14:paraId="0F73989A" w14:textId="65196974" w:rsidR="008A344F" w:rsidRPr="008A344F" w:rsidRDefault="00415668" w:rsidP="00233BC2">
      <w:pPr>
        <w:pStyle w:val="Heading1"/>
        <w:jc w:val="center"/>
        <w:rPr>
          <w:sz w:val="72"/>
          <w:szCs w:val="72"/>
        </w:rPr>
      </w:pPr>
      <w:r>
        <w:rPr>
          <w:sz w:val="72"/>
          <w:szCs w:val="72"/>
        </w:rPr>
        <w:t>20</w:t>
      </w:r>
      <w:r w:rsidR="00FC3B74">
        <w:rPr>
          <w:sz w:val="72"/>
          <w:szCs w:val="72"/>
        </w:rPr>
        <w:t>24</w:t>
      </w:r>
      <w:r>
        <w:rPr>
          <w:sz w:val="72"/>
          <w:szCs w:val="72"/>
        </w:rPr>
        <w:t xml:space="preserve"> Standard Civil </w:t>
      </w:r>
      <w:r w:rsidR="006D33F6">
        <w:rPr>
          <w:sz w:val="72"/>
          <w:szCs w:val="72"/>
        </w:rPr>
        <w:t xml:space="preserve">Contract </w:t>
      </w:r>
      <w:r w:rsidR="000C3AE1">
        <w:rPr>
          <w:sz w:val="72"/>
          <w:szCs w:val="72"/>
        </w:rPr>
        <w:t>Changes</w:t>
      </w:r>
    </w:p>
    <w:tbl>
      <w:tblPr>
        <w:tblStyle w:val="TableGrid"/>
        <w:tblpPr w:leftFromText="180" w:rightFromText="180" w:vertAnchor="text" w:horzAnchor="page" w:tblpX="2749" w:tblpY="322"/>
        <w:tblW w:w="0" w:type="auto"/>
        <w:tblLook w:val="04A0" w:firstRow="1" w:lastRow="0" w:firstColumn="1" w:lastColumn="0" w:noHBand="0" w:noVBand="1"/>
      </w:tblPr>
      <w:tblGrid>
        <w:gridCol w:w="1925"/>
        <w:gridCol w:w="1925"/>
        <w:gridCol w:w="1926"/>
        <w:gridCol w:w="1926"/>
        <w:gridCol w:w="2925"/>
      </w:tblGrid>
      <w:tr w:rsidR="00FC3B74" w14:paraId="1847C877" w14:textId="77777777" w:rsidTr="00FC3B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687D3479" w14:textId="77777777" w:rsidR="00FC3B74" w:rsidRDefault="00FC3B74" w:rsidP="00FC3B74">
            <w:pPr>
              <w:pStyle w:val="BodyText"/>
              <w:spacing w:after="0"/>
            </w:pPr>
            <w:r>
              <w:t>Version</w:t>
            </w:r>
          </w:p>
        </w:tc>
        <w:tc>
          <w:tcPr>
            <w:tcW w:w="1925" w:type="dxa"/>
          </w:tcPr>
          <w:p w14:paraId="2652FC45" w14:textId="77777777" w:rsidR="00FC3B74" w:rsidRDefault="00FC3B74" w:rsidP="00FC3B74">
            <w:pPr>
              <w:pStyle w:val="BodyText"/>
              <w:spacing w:after="0"/>
              <w:cnfStyle w:val="100000000000" w:firstRow="1" w:lastRow="0" w:firstColumn="0" w:lastColumn="0" w:oddVBand="0" w:evenVBand="0" w:oddHBand="0" w:evenHBand="0" w:firstRowFirstColumn="0" w:firstRowLastColumn="0" w:lastRowFirstColumn="0" w:lastRowLastColumn="0"/>
            </w:pPr>
            <w:r>
              <w:t>Issue date</w:t>
            </w:r>
          </w:p>
        </w:tc>
        <w:tc>
          <w:tcPr>
            <w:tcW w:w="1926" w:type="dxa"/>
          </w:tcPr>
          <w:p w14:paraId="58A4B5A3" w14:textId="77777777" w:rsidR="00FC3B74" w:rsidRDefault="00FC3B74" w:rsidP="00FC3B74">
            <w:pPr>
              <w:pStyle w:val="BodyText"/>
              <w:spacing w:after="0"/>
              <w:cnfStyle w:val="100000000000" w:firstRow="1" w:lastRow="0" w:firstColumn="0" w:lastColumn="0" w:oddVBand="0" w:evenVBand="0" w:oddHBand="0" w:evenHBand="0" w:firstRowFirstColumn="0" w:firstRowLastColumn="0" w:lastRowFirstColumn="0" w:lastRowLastColumn="0"/>
            </w:pPr>
            <w:r>
              <w:t>Last review date</w:t>
            </w:r>
          </w:p>
        </w:tc>
        <w:tc>
          <w:tcPr>
            <w:tcW w:w="1926" w:type="dxa"/>
          </w:tcPr>
          <w:p w14:paraId="41D90E7F" w14:textId="77777777" w:rsidR="00FC3B74" w:rsidRDefault="00FC3B74" w:rsidP="00FC3B74">
            <w:pPr>
              <w:pStyle w:val="BodyText"/>
              <w:spacing w:after="0"/>
              <w:cnfStyle w:val="100000000000" w:firstRow="1" w:lastRow="0" w:firstColumn="0" w:lastColumn="0" w:oddVBand="0" w:evenVBand="0" w:oddHBand="0" w:evenHBand="0" w:firstRowFirstColumn="0" w:firstRowLastColumn="0" w:lastRowFirstColumn="0" w:lastRowLastColumn="0"/>
            </w:pPr>
            <w:r>
              <w:t>Owned by</w:t>
            </w:r>
          </w:p>
        </w:tc>
        <w:tc>
          <w:tcPr>
            <w:tcW w:w="2925" w:type="dxa"/>
          </w:tcPr>
          <w:p w14:paraId="3F0E07A3" w14:textId="77777777" w:rsidR="00FC3B74" w:rsidRDefault="00FC3B74" w:rsidP="00FC3B74">
            <w:pPr>
              <w:pStyle w:val="BodyText"/>
              <w:spacing w:after="0"/>
              <w:cnfStyle w:val="100000000000" w:firstRow="1" w:lastRow="0" w:firstColumn="0" w:lastColumn="0" w:oddVBand="0" w:evenVBand="0" w:oddHBand="0" w:evenHBand="0" w:firstRowFirstColumn="0" w:firstRowLastColumn="0" w:lastRowFirstColumn="0" w:lastRowLastColumn="0"/>
            </w:pPr>
            <w:r>
              <w:t>Reviewed by</w:t>
            </w:r>
          </w:p>
        </w:tc>
      </w:tr>
      <w:tr w:rsidR="00FC3B74" w14:paraId="2467D7D8" w14:textId="77777777" w:rsidTr="00FC3B74">
        <w:tc>
          <w:tcPr>
            <w:cnfStyle w:val="001000000000" w:firstRow="0" w:lastRow="0" w:firstColumn="1" w:lastColumn="0" w:oddVBand="0" w:evenVBand="0" w:oddHBand="0" w:evenHBand="0" w:firstRowFirstColumn="0" w:firstRowLastColumn="0" w:lastRowFirstColumn="0" w:lastRowLastColumn="0"/>
            <w:tcW w:w="1925" w:type="dxa"/>
          </w:tcPr>
          <w:p w14:paraId="14E24550" w14:textId="77777777" w:rsidR="00FC3B74" w:rsidRDefault="00FC3B74" w:rsidP="00FC3B74">
            <w:pPr>
              <w:pStyle w:val="BodyText"/>
              <w:spacing w:after="0"/>
            </w:pPr>
            <w:r>
              <w:t>1.0</w:t>
            </w:r>
          </w:p>
        </w:tc>
        <w:tc>
          <w:tcPr>
            <w:tcW w:w="1925" w:type="dxa"/>
            <w:shd w:val="clear" w:color="auto" w:fill="auto"/>
          </w:tcPr>
          <w:p w14:paraId="4789DDDC" w14:textId="77777777" w:rsidR="00FC3B74" w:rsidRPr="0092721D" w:rsidRDefault="00FC3B74" w:rsidP="00FC3B74">
            <w:pPr>
              <w:pStyle w:val="BodyText"/>
              <w:spacing w:after="0"/>
              <w:cnfStyle w:val="000000000000" w:firstRow="0" w:lastRow="0" w:firstColumn="0" w:lastColumn="0" w:oddVBand="0" w:evenVBand="0" w:oddHBand="0" w:evenHBand="0" w:firstRowFirstColumn="0" w:firstRowLastColumn="0" w:lastRowFirstColumn="0" w:lastRowLastColumn="0"/>
            </w:pPr>
            <w:r>
              <w:t>01/07/2024</w:t>
            </w:r>
          </w:p>
        </w:tc>
        <w:tc>
          <w:tcPr>
            <w:tcW w:w="1926" w:type="dxa"/>
            <w:shd w:val="clear" w:color="auto" w:fill="auto"/>
          </w:tcPr>
          <w:p w14:paraId="0F112BEC" w14:textId="77777777" w:rsidR="00FC3B74" w:rsidRPr="0092721D" w:rsidRDefault="00FC3B74" w:rsidP="00FC3B74">
            <w:pPr>
              <w:pStyle w:val="BodyText"/>
              <w:spacing w:after="0"/>
              <w:cnfStyle w:val="000000000000" w:firstRow="0" w:lastRow="0" w:firstColumn="0" w:lastColumn="0" w:oddVBand="0" w:evenVBand="0" w:oddHBand="0" w:evenHBand="0" w:firstRowFirstColumn="0" w:firstRowLastColumn="0" w:lastRowFirstColumn="0" w:lastRowLastColumn="0"/>
            </w:pPr>
            <w:r>
              <w:t>01/07/2024</w:t>
            </w:r>
          </w:p>
        </w:tc>
        <w:tc>
          <w:tcPr>
            <w:tcW w:w="1926" w:type="dxa"/>
          </w:tcPr>
          <w:p w14:paraId="20CEBEE6" w14:textId="77777777" w:rsidR="00FC3B74" w:rsidRDefault="00FC3B74" w:rsidP="00FC3B74">
            <w:pPr>
              <w:pStyle w:val="BodyText"/>
              <w:spacing w:after="0"/>
              <w:cnfStyle w:val="000000000000" w:firstRow="0" w:lastRow="0" w:firstColumn="0" w:lastColumn="0" w:oddVBand="0" w:evenVBand="0" w:oddHBand="0" w:evenHBand="0" w:firstRowFirstColumn="0" w:firstRowLastColumn="0" w:lastRowFirstColumn="0" w:lastRowLastColumn="0"/>
            </w:pPr>
            <w:r>
              <w:t>Contract Management &amp; Assurance (CMA)</w:t>
            </w:r>
          </w:p>
        </w:tc>
        <w:tc>
          <w:tcPr>
            <w:tcW w:w="2925" w:type="dxa"/>
          </w:tcPr>
          <w:p w14:paraId="367E3FF1" w14:textId="77777777" w:rsidR="00FC3B74" w:rsidRDefault="00FC3B74" w:rsidP="00FC3B74">
            <w:pPr>
              <w:pStyle w:val="BodyText"/>
              <w:spacing w:after="0"/>
              <w:cnfStyle w:val="000000000000" w:firstRow="0" w:lastRow="0" w:firstColumn="0" w:lastColumn="0" w:oddVBand="0" w:evenVBand="0" w:oddHBand="0" w:evenHBand="0" w:firstRowFirstColumn="0" w:firstRowLastColumn="0" w:lastRowFirstColumn="0" w:lastRowLastColumn="0"/>
            </w:pPr>
            <w:r>
              <w:t>Contract Management &amp; Assurance (CMA) &amp; Service Development</w:t>
            </w:r>
          </w:p>
        </w:tc>
      </w:tr>
      <w:tr w:rsidR="00FC3B74" w14:paraId="689DF6A1" w14:textId="77777777" w:rsidTr="00FC3B74">
        <w:tc>
          <w:tcPr>
            <w:cnfStyle w:val="001000000000" w:firstRow="0" w:lastRow="0" w:firstColumn="1" w:lastColumn="0" w:oddVBand="0" w:evenVBand="0" w:oddHBand="0" w:evenHBand="0" w:firstRowFirstColumn="0" w:firstRowLastColumn="0" w:lastRowFirstColumn="0" w:lastRowLastColumn="0"/>
            <w:tcW w:w="1925" w:type="dxa"/>
          </w:tcPr>
          <w:p w14:paraId="3ED04466" w14:textId="77777777" w:rsidR="00FC3B74" w:rsidRDefault="00FC3B74" w:rsidP="00FC3B74">
            <w:pPr>
              <w:pStyle w:val="BodyText"/>
              <w:spacing w:after="0"/>
            </w:pPr>
            <w:r>
              <w:t>2.0</w:t>
            </w:r>
          </w:p>
        </w:tc>
        <w:tc>
          <w:tcPr>
            <w:tcW w:w="1925" w:type="dxa"/>
            <w:shd w:val="clear" w:color="auto" w:fill="auto"/>
          </w:tcPr>
          <w:p w14:paraId="56DCC91B" w14:textId="2479C617" w:rsidR="00FC3B74" w:rsidRDefault="00FC3B74" w:rsidP="00FC3B74">
            <w:pPr>
              <w:pStyle w:val="BodyText"/>
              <w:spacing w:after="0"/>
              <w:cnfStyle w:val="000000000000" w:firstRow="0" w:lastRow="0" w:firstColumn="0" w:lastColumn="0" w:oddVBand="0" w:evenVBand="0" w:oddHBand="0" w:evenHBand="0" w:firstRowFirstColumn="0" w:firstRowLastColumn="0" w:lastRowFirstColumn="0" w:lastRowLastColumn="0"/>
            </w:pPr>
            <w:r>
              <w:t xml:space="preserve">  </w:t>
            </w:r>
            <w:r w:rsidR="00541CC7">
              <w:t>04/</w:t>
            </w:r>
            <w:r>
              <w:t>10/2024</w:t>
            </w:r>
          </w:p>
        </w:tc>
        <w:tc>
          <w:tcPr>
            <w:tcW w:w="1926" w:type="dxa"/>
            <w:shd w:val="clear" w:color="auto" w:fill="auto"/>
          </w:tcPr>
          <w:p w14:paraId="6F1BF8A8" w14:textId="77777777" w:rsidR="00FC3B74" w:rsidRDefault="00FC3B74" w:rsidP="00FC3B74">
            <w:pPr>
              <w:pStyle w:val="BodyText"/>
              <w:spacing w:after="0"/>
              <w:cnfStyle w:val="000000000000" w:firstRow="0" w:lastRow="0" w:firstColumn="0" w:lastColumn="0" w:oddVBand="0" w:evenVBand="0" w:oddHBand="0" w:evenHBand="0" w:firstRowFirstColumn="0" w:firstRowLastColumn="0" w:lastRowFirstColumn="0" w:lastRowLastColumn="0"/>
            </w:pPr>
            <w:r>
              <w:t>01/10/2024</w:t>
            </w:r>
          </w:p>
        </w:tc>
        <w:tc>
          <w:tcPr>
            <w:tcW w:w="1926" w:type="dxa"/>
          </w:tcPr>
          <w:p w14:paraId="1F1F3BCC" w14:textId="77777777" w:rsidR="00FC3B74" w:rsidRDefault="00FC3B74" w:rsidP="00FC3B74">
            <w:pPr>
              <w:pStyle w:val="BodyText"/>
              <w:spacing w:after="0"/>
              <w:cnfStyle w:val="000000000000" w:firstRow="0" w:lastRow="0" w:firstColumn="0" w:lastColumn="0" w:oddVBand="0" w:evenVBand="0" w:oddHBand="0" w:evenHBand="0" w:firstRowFirstColumn="0" w:firstRowLastColumn="0" w:lastRowFirstColumn="0" w:lastRowLastColumn="0"/>
            </w:pPr>
            <w:r>
              <w:t>Contract Management &amp; Assurance (CMA)</w:t>
            </w:r>
          </w:p>
        </w:tc>
        <w:tc>
          <w:tcPr>
            <w:tcW w:w="2925" w:type="dxa"/>
          </w:tcPr>
          <w:p w14:paraId="0C45B0D8" w14:textId="77777777" w:rsidR="00FC3B74" w:rsidRDefault="00FC3B74" w:rsidP="00FC3B74">
            <w:pPr>
              <w:pStyle w:val="BodyText"/>
              <w:spacing w:after="0"/>
              <w:cnfStyle w:val="000000000000" w:firstRow="0" w:lastRow="0" w:firstColumn="0" w:lastColumn="0" w:oddVBand="0" w:evenVBand="0" w:oddHBand="0" w:evenHBand="0" w:firstRowFirstColumn="0" w:firstRowLastColumn="0" w:lastRowFirstColumn="0" w:lastRowLastColumn="0"/>
            </w:pPr>
            <w:r>
              <w:t>Contract Management &amp; Assurance (CMA) &amp; Service Development</w:t>
            </w:r>
          </w:p>
        </w:tc>
      </w:tr>
    </w:tbl>
    <w:p w14:paraId="61C73756" w14:textId="79FBA5F1" w:rsidR="00DD0317" w:rsidRDefault="00DD0317" w:rsidP="00233BC2"/>
    <w:p w14:paraId="461A02C4" w14:textId="77777777" w:rsidR="00E03B88" w:rsidRDefault="00E03B88" w:rsidP="00A73572">
      <w:pPr>
        <w:jc w:val="center"/>
      </w:pPr>
    </w:p>
    <w:p w14:paraId="1A7D3A8D" w14:textId="77777777" w:rsidR="00FC3B74" w:rsidRDefault="00FC3B74" w:rsidP="0081292D">
      <w:pPr>
        <w:pStyle w:val="Heading1"/>
        <w:rPr>
          <w:sz w:val="32"/>
        </w:rPr>
      </w:pPr>
    </w:p>
    <w:p w14:paraId="14D533F7" w14:textId="77777777" w:rsidR="00FC3B74" w:rsidRPr="00FC3B74" w:rsidRDefault="00FC3B74" w:rsidP="00FC3B74">
      <w:pPr>
        <w:pStyle w:val="BodyText"/>
      </w:pPr>
    </w:p>
    <w:p w14:paraId="53E6525B" w14:textId="60906EC3" w:rsidR="0081292D" w:rsidRDefault="0081292D" w:rsidP="0081292D">
      <w:pPr>
        <w:pStyle w:val="Heading1"/>
        <w:rPr>
          <w:sz w:val="32"/>
        </w:rPr>
      </w:pPr>
      <w:r>
        <w:rPr>
          <w:sz w:val="32"/>
        </w:rPr>
        <w:lastRenderedPageBreak/>
        <w:t>Scope and purpose</w:t>
      </w:r>
    </w:p>
    <w:p w14:paraId="45F23D4F" w14:textId="154BED47" w:rsidR="0081292D" w:rsidRDefault="0081292D" w:rsidP="0081292D">
      <w:pPr>
        <w:pStyle w:val="BodyText"/>
      </w:pPr>
      <w:r>
        <w:t xml:space="preserve">This </w:t>
      </w:r>
      <w:r w:rsidR="002740E1">
        <w:t>k</w:t>
      </w:r>
      <w:r>
        <w:t>ey</w:t>
      </w:r>
      <w:r w:rsidR="00251A06">
        <w:t xml:space="preserve"> </w:t>
      </w:r>
      <w:r>
        <w:t xml:space="preserve">card is designed to bring together the key information from existing regulations, </w:t>
      </w:r>
      <w:r w:rsidR="002740E1">
        <w:t>c</w:t>
      </w:r>
      <w:r>
        <w:t xml:space="preserve">ontract terms or guidance, on this topic and act as </w:t>
      </w:r>
      <w:r w:rsidR="00885847">
        <w:t xml:space="preserve">an </w:t>
      </w:r>
      <w:r w:rsidRPr="00347041">
        <w:t>assistance tool to highlight and explain specific elements</w:t>
      </w:r>
      <w:r>
        <w:t>.</w:t>
      </w:r>
    </w:p>
    <w:p w14:paraId="7926C7C7" w14:textId="77777777" w:rsidR="0081292D" w:rsidRDefault="0081292D" w:rsidP="0081292D">
      <w:pPr>
        <w:pStyle w:val="BodyText"/>
      </w:pPr>
      <w:r>
        <w:t>This document does not replace the need for providers to be aware and adhere to the underlying regulations, Contract terms or guidance.</w:t>
      </w:r>
    </w:p>
    <w:p w14:paraId="0E4B2DDC" w14:textId="5B1D7C12" w:rsidR="0051091C" w:rsidRDefault="0051091C" w:rsidP="00233BC2">
      <w:pPr>
        <w:pStyle w:val="Heading1"/>
        <w:rPr>
          <w:sz w:val="32"/>
        </w:rPr>
      </w:pPr>
      <w:r>
        <w:rPr>
          <w:sz w:val="32"/>
        </w:rPr>
        <w:t>Summary of Changes</w:t>
      </w:r>
    </w:p>
    <w:p w14:paraId="0FF26F03" w14:textId="451E84E6" w:rsidR="0051091C" w:rsidRDefault="0051091C" w:rsidP="00233BC2">
      <w:pPr>
        <w:pStyle w:val="BodyText"/>
      </w:pPr>
      <w:r>
        <w:t>Following the implementation of the Nationality and Borders Act 2022 (NAB</w:t>
      </w:r>
      <w:r w:rsidR="00ED4E95">
        <w:t>A</w:t>
      </w:r>
      <w:r>
        <w:t>), the Immigration and Asylum Specification was amended to include the resultant fee changes which commenced on 1 April 2023, to include where additional matters may be opened in relation to the same ‘case’ or ‘asylum application</w:t>
      </w:r>
      <w:r w:rsidR="002740E1">
        <w:t xml:space="preserve"> </w:t>
      </w:r>
      <w:r>
        <w:t>/</w:t>
      </w:r>
      <w:r w:rsidR="002740E1">
        <w:t xml:space="preserve"> </w:t>
      </w:r>
      <w:r>
        <w:t>appeal’. Each may attract different remuneration, may have different requirements in terms of form completion</w:t>
      </w:r>
      <w:r w:rsidR="002740E1">
        <w:t xml:space="preserve"> </w:t>
      </w:r>
      <w:r>
        <w:t>/</w:t>
      </w:r>
      <w:r w:rsidR="002740E1">
        <w:t xml:space="preserve"> </w:t>
      </w:r>
      <w:r>
        <w:t xml:space="preserve">means assessment and coding when reporting a claim for costs. </w:t>
      </w:r>
    </w:p>
    <w:p w14:paraId="5EA20E7D" w14:textId="36BAA1AF" w:rsidR="0051091C" w:rsidRDefault="0051091C" w:rsidP="00233BC2">
      <w:pPr>
        <w:pStyle w:val="BodyText"/>
      </w:pPr>
      <w:r>
        <w:t>Below is a summary to assist with understanding the changes.</w:t>
      </w:r>
    </w:p>
    <w:p w14:paraId="793BC033" w14:textId="398FD9C4" w:rsidR="002E2C0C" w:rsidRDefault="000C3AE1" w:rsidP="00233BC2">
      <w:pPr>
        <w:pStyle w:val="Heading1"/>
        <w:rPr>
          <w:sz w:val="32"/>
        </w:rPr>
      </w:pPr>
      <w:r>
        <w:rPr>
          <w:sz w:val="32"/>
        </w:rPr>
        <w:t>National Referral Mechanism (NRM)</w:t>
      </w:r>
    </w:p>
    <w:p w14:paraId="3E9921FA" w14:textId="1437B70A" w:rsidR="000913E1" w:rsidRPr="000913E1" w:rsidRDefault="000913E1" w:rsidP="00233BC2">
      <w:pPr>
        <w:pStyle w:val="BodyText"/>
        <w:rPr>
          <w:b/>
          <w:bCs/>
        </w:rPr>
      </w:pPr>
      <w:r w:rsidRPr="000913E1">
        <w:rPr>
          <w:b/>
          <w:bCs/>
        </w:rPr>
        <w:t>Background</w:t>
      </w:r>
    </w:p>
    <w:p w14:paraId="747416FF" w14:textId="259193F0" w:rsidR="00041D36" w:rsidRDefault="00180EDD" w:rsidP="00233BC2">
      <w:pPr>
        <w:pStyle w:val="BodyText"/>
      </w:pPr>
      <w:r>
        <w:t xml:space="preserve">The NRM is a framework for identifying and referring potential victims of modern slavery </w:t>
      </w:r>
      <w:r w:rsidR="00514D7C">
        <w:t>and ensuring the</w:t>
      </w:r>
      <w:r w:rsidR="00745280">
        <w:t>y</w:t>
      </w:r>
      <w:r w:rsidR="00514D7C">
        <w:t xml:space="preserve"> receive the appropriate support.</w:t>
      </w:r>
    </w:p>
    <w:p w14:paraId="4E9D07D6" w14:textId="09D71ABE" w:rsidR="00514D7C" w:rsidRDefault="00F84943" w:rsidP="00233BC2">
      <w:pPr>
        <w:pStyle w:val="BodyText"/>
      </w:pPr>
      <w:r>
        <w:t>The term m</w:t>
      </w:r>
      <w:r w:rsidR="00514D7C">
        <w:t>odern slavery</w:t>
      </w:r>
      <w:r>
        <w:t xml:space="preserve"> covers </w:t>
      </w:r>
      <w:r w:rsidR="00AA3D1D">
        <w:t>multiple forms of exploitation including human trafficking, slavery, servitude</w:t>
      </w:r>
      <w:r w:rsidR="00DC3412">
        <w:t xml:space="preserve"> and forced/compulsory labour.</w:t>
      </w:r>
    </w:p>
    <w:p w14:paraId="4DEF7EF4" w14:textId="43C00526" w:rsidR="00C56243" w:rsidRDefault="00C56243" w:rsidP="00233BC2">
      <w:pPr>
        <w:pStyle w:val="BodyText"/>
      </w:pPr>
      <w:r>
        <w:lastRenderedPageBreak/>
        <w:t xml:space="preserve">This is a complex area </w:t>
      </w:r>
      <w:r w:rsidR="00165442">
        <w:t>of law as victims may not be aware that they are being exploited in this way or may have consented to elements of their exploitation.</w:t>
      </w:r>
    </w:p>
    <w:p w14:paraId="17DB805F" w14:textId="484BA768" w:rsidR="000913E1" w:rsidRPr="000913E1" w:rsidRDefault="000913E1" w:rsidP="00233BC2">
      <w:pPr>
        <w:pStyle w:val="BodyText"/>
        <w:rPr>
          <w:b/>
          <w:bCs/>
        </w:rPr>
      </w:pPr>
      <w:r>
        <w:rPr>
          <w:b/>
          <w:bCs/>
        </w:rPr>
        <w:t>Scope</w:t>
      </w:r>
    </w:p>
    <w:p w14:paraId="22D2C690" w14:textId="1ED8E516" w:rsidR="002048BC" w:rsidRDefault="00415668" w:rsidP="00233BC2">
      <w:pPr>
        <w:pStyle w:val="BodyText"/>
      </w:pPr>
      <w:r>
        <w:t>P</w:t>
      </w:r>
      <w:r w:rsidR="00FF7E40">
        <w:t xml:space="preserve">rocedural advice </w:t>
      </w:r>
      <w:r w:rsidR="006C61C7">
        <w:t xml:space="preserve">about the NRM, how it works and how a </w:t>
      </w:r>
      <w:r w:rsidR="00AE693B">
        <w:t>c</w:t>
      </w:r>
      <w:r w:rsidR="006C61C7">
        <w:t>lient is referred</w:t>
      </w:r>
      <w:r>
        <w:t xml:space="preserve"> can be provided</w:t>
      </w:r>
      <w:r w:rsidR="006C61C7">
        <w:t xml:space="preserve">. </w:t>
      </w:r>
      <w:r>
        <w:t>A</w:t>
      </w:r>
      <w:r w:rsidR="006C61C7">
        <w:t xml:space="preserve">dvice </w:t>
      </w:r>
      <w:r>
        <w:t xml:space="preserve">can also be given </w:t>
      </w:r>
      <w:r w:rsidR="006C61C7">
        <w:t xml:space="preserve">to the </w:t>
      </w:r>
      <w:r w:rsidR="00AE693B">
        <w:t>c</w:t>
      </w:r>
      <w:r w:rsidR="006C61C7">
        <w:t xml:space="preserve">lient about </w:t>
      </w:r>
      <w:r w:rsidR="00CB30BF">
        <w:t>the impact entry into the NRM would affect their specific asylum case.</w:t>
      </w:r>
    </w:p>
    <w:p w14:paraId="430E4EF3" w14:textId="5564F73B" w:rsidR="00507390" w:rsidRDefault="00507390" w:rsidP="00233BC2">
      <w:pPr>
        <w:pStyle w:val="BodyText"/>
      </w:pPr>
      <w:r>
        <w:t>Identifying trafficking indicators or ongoing advice through the NRM process are not in scope.</w:t>
      </w:r>
    </w:p>
    <w:p w14:paraId="37636EF2" w14:textId="672B00EB" w:rsidR="00110D99" w:rsidRDefault="00415668" w:rsidP="00233BC2">
      <w:pPr>
        <w:pStyle w:val="BodyText"/>
      </w:pPr>
      <w:r>
        <w:t>The work is claimed as a bolt</w:t>
      </w:r>
      <w:r w:rsidR="00411727">
        <w:t>-</w:t>
      </w:r>
      <w:r>
        <w:t xml:space="preserve">on fee to an existing matter, </w:t>
      </w:r>
      <w:r w:rsidR="000626D0">
        <w:t xml:space="preserve">only claimable </w:t>
      </w:r>
      <w:r w:rsidR="002A4D3E">
        <w:t>for advice prior to the</w:t>
      </w:r>
      <w:r w:rsidR="000626D0">
        <w:t xml:space="preserve"> </w:t>
      </w:r>
      <w:r w:rsidR="007B0749">
        <w:t>c</w:t>
      </w:r>
      <w:r w:rsidR="000626D0">
        <w:t>lient enter</w:t>
      </w:r>
      <w:r w:rsidR="002A4D3E">
        <w:t>ing</w:t>
      </w:r>
      <w:r w:rsidR="000626D0">
        <w:t xml:space="preserve"> the NRM.</w:t>
      </w:r>
    </w:p>
    <w:p w14:paraId="34CE2792" w14:textId="43FBAC1E" w:rsidR="00817798" w:rsidRDefault="00817798" w:rsidP="00233BC2">
      <w:pPr>
        <w:pStyle w:val="BodyText"/>
      </w:pPr>
      <w:r>
        <w:t>The matter to which the bolt on fee is applied can have been opened at any time, but the NRM advice triggering the bolt</w:t>
      </w:r>
      <w:r w:rsidR="00411727">
        <w:t>-</w:t>
      </w:r>
      <w:r>
        <w:t>on</w:t>
      </w:r>
      <w:r w:rsidR="00415668">
        <w:t xml:space="preserve"> fee</w:t>
      </w:r>
      <w:r>
        <w:t xml:space="preserve"> must have been given from </w:t>
      </w:r>
      <w:r w:rsidR="008C3092">
        <w:t>1</w:t>
      </w:r>
      <w:r>
        <w:t xml:space="preserve"> April 2023.</w:t>
      </w:r>
    </w:p>
    <w:p w14:paraId="3BFF4A9B" w14:textId="2B5999D4" w:rsidR="002048BC" w:rsidRPr="002048BC" w:rsidRDefault="002048BC" w:rsidP="00233BC2">
      <w:pPr>
        <w:pStyle w:val="BodyText"/>
        <w:rPr>
          <w:b/>
          <w:bCs/>
        </w:rPr>
      </w:pPr>
      <w:r w:rsidRPr="002048BC">
        <w:rPr>
          <w:b/>
          <w:bCs/>
        </w:rPr>
        <w:t>Claiming</w:t>
      </w:r>
    </w:p>
    <w:p w14:paraId="23A7ABC0" w14:textId="4DE07FAB" w:rsidR="00A478A8" w:rsidRPr="00EF3452" w:rsidRDefault="00A478A8" w:rsidP="00233BC2">
      <w:pPr>
        <w:spacing w:after="0" w:line="240" w:lineRule="auto"/>
        <w:textAlignment w:val="baseline"/>
        <w:rPr>
          <w:rFonts w:ascii="Calibri" w:eastAsia="Times New Roman" w:hAnsi="Calibri" w:cs="Calibri"/>
          <w:color w:val="000000"/>
          <w:lang w:eastAsia="en-GB"/>
        </w:rPr>
      </w:pPr>
      <w:r w:rsidRPr="00EF3452">
        <w:rPr>
          <w:rFonts w:ascii="Arial" w:eastAsia="Times New Roman" w:hAnsi="Arial" w:cs="Arial"/>
          <w:color w:val="000000"/>
          <w:szCs w:val="24"/>
          <w:lang w:eastAsia="en-GB"/>
        </w:rPr>
        <w:t>The</w:t>
      </w:r>
      <w:r>
        <w:rPr>
          <w:rFonts w:ascii="Arial" w:eastAsia="Times New Roman" w:hAnsi="Arial" w:cs="Arial"/>
          <w:color w:val="000000"/>
          <w:szCs w:val="24"/>
          <w:lang w:eastAsia="en-GB"/>
        </w:rPr>
        <w:t xml:space="preserve"> </w:t>
      </w:r>
      <w:r w:rsidRPr="00EF3452">
        <w:rPr>
          <w:rFonts w:ascii="Arial" w:eastAsia="Times New Roman" w:hAnsi="Arial" w:cs="Arial"/>
          <w:color w:val="000000"/>
          <w:szCs w:val="24"/>
          <w:lang w:eastAsia="en-GB"/>
        </w:rPr>
        <w:t xml:space="preserve">provisions of </w:t>
      </w:r>
      <w:r>
        <w:rPr>
          <w:rFonts w:ascii="Arial" w:eastAsia="Times New Roman" w:hAnsi="Arial" w:cs="Arial"/>
          <w:color w:val="000000"/>
          <w:szCs w:val="24"/>
          <w:lang w:eastAsia="en-GB"/>
        </w:rPr>
        <w:t>NABA (s.66 &amp; s.67)</w:t>
      </w:r>
      <w:r w:rsidRPr="00EF3452">
        <w:rPr>
          <w:rFonts w:ascii="Arial" w:eastAsia="Times New Roman" w:hAnsi="Arial" w:cs="Arial"/>
          <w:color w:val="000000"/>
          <w:szCs w:val="24"/>
          <w:lang w:eastAsia="en-GB"/>
        </w:rPr>
        <w:t xml:space="preserve"> that concerned </w:t>
      </w:r>
      <w:r>
        <w:rPr>
          <w:rFonts w:ascii="Arial" w:eastAsia="Times New Roman" w:hAnsi="Arial" w:cs="Arial"/>
          <w:color w:val="000000"/>
          <w:szCs w:val="24"/>
          <w:lang w:eastAsia="en-GB"/>
        </w:rPr>
        <w:t xml:space="preserve">the expansion of s.9 &amp;10 of LASPO to provide add-on services </w:t>
      </w:r>
      <w:r w:rsidRPr="002D40AE">
        <w:rPr>
          <w:rFonts w:ascii="Arial" w:eastAsia="Times New Roman" w:hAnsi="Arial" w:cs="Arial"/>
          <w:b/>
          <w:bCs/>
          <w:color w:val="000000"/>
          <w:szCs w:val="24"/>
          <w:u w:val="single"/>
          <w:lang w:eastAsia="en-GB"/>
        </w:rPr>
        <w:t>have not</w:t>
      </w:r>
      <w:r w:rsidRPr="00EF3452">
        <w:rPr>
          <w:rFonts w:ascii="Arial" w:eastAsia="Times New Roman" w:hAnsi="Arial" w:cs="Arial"/>
          <w:color w:val="000000"/>
          <w:szCs w:val="24"/>
          <w:lang w:eastAsia="en-GB"/>
        </w:rPr>
        <w:t xml:space="preserve"> been commenced and therefore the £150 </w:t>
      </w:r>
      <w:r w:rsidR="00415668">
        <w:rPr>
          <w:rFonts w:ascii="Arial" w:eastAsia="Times New Roman" w:hAnsi="Arial" w:cs="Arial"/>
          <w:color w:val="000000"/>
          <w:szCs w:val="24"/>
          <w:lang w:eastAsia="en-GB"/>
        </w:rPr>
        <w:t>bolt</w:t>
      </w:r>
      <w:r w:rsidR="00411727">
        <w:rPr>
          <w:rFonts w:ascii="Arial" w:eastAsia="Times New Roman" w:hAnsi="Arial" w:cs="Arial"/>
          <w:color w:val="000000"/>
          <w:szCs w:val="24"/>
          <w:lang w:eastAsia="en-GB"/>
        </w:rPr>
        <w:t>-</w:t>
      </w:r>
      <w:r w:rsidR="00415668">
        <w:rPr>
          <w:rFonts w:ascii="Arial" w:eastAsia="Times New Roman" w:hAnsi="Arial" w:cs="Arial"/>
          <w:color w:val="000000"/>
          <w:szCs w:val="24"/>
          <w:lang w:eastAsia="en-GB"/>
        </w:rPr>
        <w:t>on</w:t>
      </w:r>
      <w:r>
        <w:rPr>
          <w:rFonts w:ascii="Arial" w:eastAsia="Times New Roman" w:hAnsi="Arial" w:cs="Arial"/>
          <w:color w:val="000000"/>
          <w:szCs w:val="24"/>
          <w:lang w:eastAsia="en-GB"/>
        </w:rPr>
        <w:t xml:space="preserve"> </w:t>
      </w:r>
      <w:r w:rsidRPr="00EF3452">
        <w:rPr>
          <w:rFonts w:ascii="Arial" w:eastAsia="Times New Roman" w:hAnsi="Arial" w:cs="Arial"/>
          <w:color w:val="000000"/>
          <w:szCs w:val="24"/>
          <w:lang w:eastAsia="en-GB"/>
        </w:rPr>
        <w:t xml:space="preserve">fee for add-on services in relation to the </w:t>
      </w:r>
      <w:r w:rsidR="00415668">
        <w:rPr>
          <w:rFonts w:ascii="Arial" w:eastAsia="Times New Roman" w:hAnsi="Arial" w:cs="Arial"/>
          <w:color w:val="000000"/>
          <w:szCs w:val="24"/>
          <w:lang w:eastAsia="en-GB"/>
        </w:rPr>
        <w:t>NRM</w:t>
      </w:r>
      <w:r w:rsidRPr="00EF3452">
        <w:rPr>
          <w:rFonts w:ascii="Arial" w:eastAsia="Times New Roman" w:hAnsi="Arial" w:cs="Arial"/>
          <w:color w:val="000000"/>
          <w:szCs w:val="24"/>
          <w:lang w:eastAsia="en-GB"/>
        </w:rPr>
        <w:t xml:space="preserve"> </w:t>
      </w:r>
      <w:r w:rsidRPr="002D40AE">
        <w:rPr>
          <w:rFonts w:ascii="Arial" w:eastAsia="Times New Roman" w:hAnsi="Arial" w:cs="Arial"/>
          <w:b/>
          <w:bCs/>
          <w:color w:val="000000"/>
          <w:szCs w:val="24"/>
          <w:u w:val="single"/>
          <w:lang w:eastAsia="en-GB"/>
        </w:rPr>
        <w:t>may not</w:t>
      </w:r>
      <w:r w:rsidRPr="00EF3452">
        <w:rPr>
          <w:rFonts w:ascii="Arial" w:eastAsia="Times New Roman" w:hAnsi="Arial" w:cs="Arial"/>
          <w:color w:val="000000"/>
          <w:szCs w:val="24"/>
          <w:lang w:eastAsia="en-GB"/>
        </w:rPr>
        <w:t xml:space="preserve"> be claimed. </w:t>
      </w:r>
    </w:p>
    <w:p w14:paraId="72749A2C" w14:textId="77777777" w:rsidR="00A478A8" w:rsidRDefault="00A478A8" w:rsidP="00233BC2">
      <w:pPr>
        <w:spacing w:after="0" w:line="240" w:lineRule="auto"/>
        <w:textAlignment w:val="baseline"/>
        <w:rPr>
          <w:rFonts w:ascii="Arial" w:eastAsia="Times New Roman" w:hAnsi="Arial" w:cs="Arial"/>
          <w:color w:val="000000"/>
          <w:szCs w:val="24"/>
          <w:lang w:eastAsia="en-GB"/>
        </w:rPr>
      </w:pPr>
    </w:p>
    <w:p w14:paraId="07B6AAEE" w14:textId="27266A22" w:rsidR="00415668" w:rsidRDefault="00A478A8" w:rsidP="00233BC2">
      <w:pPr>
        <w:spacing w:after="0" w:line="240" w:lineRule="auto"/>
        <w:textAlignment w:val="baseline"/>
        <w:rPr>
          <w:rFonts w:ascii="Arial" w:eastAsia="Times New Roman" w:hAnsi="Arial" w:cs="Arial"/>
          <w:color w:val="000000"/>
          <w:szCs w:val="24"/>
          <w:lang w:eastAsia="en-GB"/>
        </w:rPr>
      </w:pPr>
      <w:r w:rsidRPr="00EF3452">
        <w:rPr>
          <w:rFonts w:ascii="Arial" w:eastAsia="Times New Roman" w:hAnsi="Arial" w:cs="Arial"/>
          <w:color w:val="000000"/>
          <w:szCs w:val="24"/>
          <w:lang w:eastAsia="en-GB"/>
        </w:rPr>
        <w:t>Before this decision was made the LAA delivered training and guidance in relation to claiming this fee during March and since 1</w:t>
      </w:r>
      <w:r w:rsidR="008C3092">
        <w:rPr>
          <w:rFonts w:ascii="Arial" w:eastAsia="Times New Roman" w:hAnsi="Arial" w:cs="Arial"/>
          <w:color w:val="000000"/>
          <w:szCs w:val="24"/>
          <w:vertAlign w:val="superscript"/>
          <w:lang w:eastAsia="en-GB"/>
        </w:rPr>
        <w:t xml:space="preserve"> </w:t>
      </w:r>
      <w:r w:rsidRPr="00EF3452">
        <w:rPr>
          <w:rFonts w:ascii="Arial" w:eastAsia="Times New Roman" w:hAnsi="Arial" w:cs="Arial"/>
          <w:color w:val="000000"/>
          <w:szCs w:val="24"/>
          <w:lang w:eastAsia="en-GB"/>
        </w:rPr>
        <w:t xml:space="preserve">April 2023 we </w:t>
      </w:r>
      <w:r w:rsidR="00415668">
        <w:rPr>
          <w:rFonts w:ascii="Arial" w:eastAsia="Times New Roman" w:hAnsi="Arial" w:cs="Arial"/>
          <w:color w:val="000000"/>
          <w:szCs w:val="24"/>
          <w:lang w:eastAsia="en-GB"/>
        </w:rPr>
        <w:t>were</w:t>
      </w:r>
      <w:r w:rsidRPr="00EF3452">
        <w:rPr>
          <w:rFonts w:ascii="Arial" w:eastAsia="Times New Roman" w:hAnsi="Arial" w:cs="Arial"/>
          <w:color w:val="000000"/>
          <w:szCs w:val="24"/>
          <w:lang w:eastAsia="en-GB"/>
        </w:rPr>
        <w:t xml:space="preserve"> allowing the fee </w:t>
      </w:r>
      <w:r w:rsidR="00415668">
        <w:rPr>
          <w:rFonts w:ascii="Arial" w:eastAsia="Times New Roman" w:hAnsi="Arial" w:cs="Arial"/>
          <w:color w:val="000000"/>
          <w:szCs w:val="24"/>
          <w:lang w:eastAsia="en-GB"/>
        </w:rPr>
        <w:t xml:space="preserve">to be claimed </w:t>
      </w:r>
      <w:r w:rsidRPr="00EF3452">
        <w:rPr>
          <w:rFonts w:ascii="Arial" w:eastAsia="Times New Roman" w:hAnsi="Arial" w:cs="Arial"/>
          <w:color w:val="000000"/>
          <w:szCs w:val="24"/>
          <w:lang w:eastAsia="en-GB"/>
        </w:rPr>
        <w:t>if advice ha</w:t>
      </w:r>
      <w:r w:rsidR="00415668">
        <w:rPr>
          <w:rFonts w:ascii="Arial" w:eastAsia="Times New Roman" w:hAnsi="Arial" w:cs="Arial"/>
          <w:color w:val="000000"/>
          <w:szCs w:val="24"/>
          <w:lang w:eastAsia="en-GB"/>
        </w:rPr>
        <w:t>d</w:t>
      </w:r>
      <w:r w:rsidRPr="00EF3452">
        <w:rPr>
          <w:rFonts w:ascii="Arial" w:eastAsia="Times New Roman" w:hAnsi="Arial" w:cs="Arial"/>
          <w:color w:val="000000"/>
          <w:szCs w:val="24"/>
          <w:lang w:eastAsia="en-GB"/>
        </w:rPr>
        <w:t xml:space="preserve"> been legitimately given to clients. </w:t>
      </w:r>
    </w:p>
    <w:p w14:paraId="734CB495" w14:textId="77777777" w:rsidR="00415668" w:rsidRDefault="00415668" w:rsidP="00233BC2">
      <w:pPr>
        <w:spacing w:after="0" w:line="240" w:lineRule="auto"/>
        <w:textAlignment w:val="baseline"/>
        <w:rPr>
          <w:rFonts w:ascii="Arial" w:eastAsia="Times New Roman" w:hAnsi="Arial" w:cs="Arial"/>
          <w:color w:val="000000"/>
          <w:szCs w:val="24"/>
          <w:lang w:eastAsia="en-GB"/>
        </w:rPr>
      </w:pPr>
    </w:p>
    <w:p w14:paraId="7E4B7760" w14:textId="5687EEDD" w:rsidR="00A478A8" w:rsidRPr="00EF3452" w:rsidRDefault="00415668" w:rsidP="00233BC2">
      <w:pPr>
        <w:spacing w:after="0" w:line="240" w:lineRule="auto"/>
        <w:textAlignment w:val="baseline"/>
        <w:rPr>
          <w:rFonts w:ascii="Calibri" w:eastAsia="Times New Roman" w:hAnsi="Calibri" w:cs="Calibri"/>
          <w:color w:val="000000"/>
          <w:lang w:eastAsia="en-GB"/>
        </w:rPr>
      </w:pPr>
      <w:r>
        <w:rPr>
          <w:rFonts w:ascii="Arial" w:eastAsia="Times New Roman" w:hAnsi="Arial" w:cs="Arial"/>
          <w:color w:val="000000"/>
          <w:szCs w:val="24"/>
          <w:lang w:eastAsia="en-GB"/>
        </w:rPr>
        <w:t>However, t</w:t>
      </w:r>
      <w:r w:rsidR="00A478A8" w:rsidRPr="00EF3452">
        <w:rPr>
          <w:rFonts w:ascii="Arial" w:eastAsia="Times New Roman" w:hAnsi="Arial" w:cs="Arial"/>
          <w:color w:val="000000"/>
          <w:szCs w:val="24"/>
          <w:lang w:eastAsia="en-GB"/>
        </w:rPr>
        <w:t>hese claims cannot</w:t>
      </w:r>
      <w:r>
        <w:rPr>
          <w:rFonts w:ascii="Arial" w:eastAsia="Times New Roman" w:hAnsi="Arial" w:cs="Arial"/>
          <w:color w:val="000000"/>
          <w:szCs w:val="24"/>
          <w:lang w:eastAsia="en-GB"/>
        </w:rPr>
        <w:t xml:space="preserve"> now</w:t>
      </w:r>
      <w:r w:rsidR="00A478A8" w:rsidRPr="00EF3452">
        <w:rPr>
          <w:rFonts w:ascii="Arial" w:eastAsia="Times New Roman" w:hAnsi="Arial" w:cs="Arial"/>
          <w:color w:val="000000"/>
          <w:szCs w:val="24"/>
          <w:lang w:eastAsia="en-GB"/>
        </w:rPr>
        <w:t xml:space="preserve"> be paid under the Contract </w:t>
      </w:r>
      <w:r w:rsidR="00A478A8">
        <w:rPr>
          <w:rFonts w:ascii="Arial" w:eastAsia="Times New Roman" w:hAnsi="Arial" w:cs="Arial"/>
          <w:color w:val="000000"/>
          <w:szCs w:val="24"/>
          <w:lang w:eastAsia="en-GB"/>
        </w:rPr>
        <w:t xml:space="preserve">(and therefore cannot be claimed via CWA) </w:t>
      </w:r>
      <w:r w:rsidR="00A478A8" w:rsidRPr="00EF3452">
        <w:rPr>
          <w:rFonts w:ascii="Arial" w:eastAsia="Times New Roman" w:hAnsi="Arial" w:cs="Arial"/>
          <w:color w:val="000000"/>
          <w:szCs w:val="24"/>
          <w:lang w:eastAsia="en-GB"/>
        </w:rPr>
        <w:t>as they would be irregular payments given the legislative changes never took effect. </w:t>
      </w:r>
    </w:p>
    <w:p w14:paraId="302FA592" w14:textId="77777777" w:rsidR="00A478A8" w:rsidRDefault="00A478A8" w:rsidP="00233BC2">
      <w:pPr>
        <w:spacing w:after="0" w:line="240" w:lineRule="auto"/>
        <w:textAlignment w:val="baseline"/>
        <w:rPr>
          <w:rFonts w:ascii="Arial" w:eastAsia="Times New Roman" w:hAnsi="Arial" w:cs="Arial"/>
          <w:color w:val="000000"/>
          <w:szCs w:val="24"/>
          <w:lang w:eastAsia="en-GB"/>
        </w:rPr>
      </w:pPr>
    </w:p>
    <w:p w14:paraId="2EEFAA15" w14:textId="46A62A5E" w:rsidR="00A478A8" w:rsidRPr="00EF3452" w:rsidRDefault="00A478A8" w:rsidP="00233BC2">
      <w:pPr>
        <w:spacing w:after="0" w:line="240" w:lineRule="auto"/>
        <w:textAlignment w:val="baseline"/>
        <w:rPr>
          <w:rFonts w:ascii="Calibri" w:eastAsia="Times New Roman" w:hAnsi="Calibri" w:cs="Calibri"/>
          <w:color w:val="000000"/>
          <w:lang w:eastAsia="en-GB"/>
        </w:rPr>
      </w:pPr>
      <w:r w:rsidRPr="00EF3452">
        <w:rPr>
          <w:rFonts w:ascii="Arial" w:eastAsia="Times New Roman" w:hAnsi="Arial" w:cs="Arial"/>
          <w:color w:val="000000"/>
          <w:szCs w:val="24"/>
          <w:lang w:eastAsia="en-GB"/>
        </w:rPr>
        <w:t xml:space="preserve">Where </w:t>
      </w:r>
      <w:r>
        <w:rPr>
          <w:rFonts w:ascii="Arial" w:eastAsia="Times New Roman" w:hAnsi="Arial" w:cs="Arial"/>
          <w:color w:val="000000"/>
          <w:szCs w:val="24"/>
          <w:lang w:eastAsia="en-GB"/>
        </w:rPr>
        <w:t>you have</w:t>
      </w:r>
      <w:r w:rsidRPr="00EF3452">
        <w:rPr>
          <w:rFonts w:ascii="Arial" w:eastAsia="Times New Roman" w:hAnsi="Arial" w:cs="Arial"/>
          <w:color w:val="000000"/>
          <w:szCs w:val="24"/>
          <w:lang w:eastAsia="en-GB"/>
        </w:rPr>
        <w:t xml:space="preserve"> legitimately carried out work in reliance on the LAA’s communications between 1 April </w:t>
      </w:r>
      <w:r>
        <w:rPr>
          <w:rFonts w:ascii="Arial" w:eastAsia="Times New Roman" w:hAnsi="Arial" w:cs="Arial"/>
          <w:color w:val="000000"/>
          <w:szCs w:val="24"/>
          <w:lang w:eastAsia="en-GB"/>
        </w:rPr>
        <w:t xml:space="preserve">2023 </w:t>
      </w:r>
      <w:r w:rsidRPr="00EF3452">
        <w:rPr>
          <w:rFonts w:ascii="Arial" w:eastAsia="Times New Roman" w:hAnsi="Arial" w:cs="Arial"/>
          <w:color w:val="000000"/>
          <w:szCs w:val="24"/>
          <w:lang w:eastAsia="en-GB"/>
        </w:rPr>
        <w:t>and the date we communicat</w:t>
      </w:r>
      <w:r>
        <w:rPr>
          <w:rFonts w:ascii="Arial" w:eastAsia="Times New Roman" w:hAnsi="Arial" w:cs="Arial"/>
          <w:color w:val="000000"/>
          <w:szCs w:val="24"/>
          <w:lang w:eastAsia="en-GB"/>
        </w:rPr>
        <w:t>ed to you</w:t>
      </w:r>
      <w:r w:rsidRPr="00EF3452">
        <w:rPr>
          <w:rFonts w:ascii="Arial" w:eastAsia="Times New Roman" w:hAnsi="Arial" w:cs="Arial"/>
          <w:color w:val="000000"/>
          <w:szCs w:val="24"/>
          <w:lang w:eastAsia="en-GB"/>
        </w:rPr>
        <w:t xml:space="preserve"> that such work is not claimable</w:t>
      </w:r>
      <w:r>
        <w:rPr>
          <w:rFonts w:ascii="Arial" w:eastAsia="Times New Roman" w:hAnsi="Arial" w:cs="Arial"/>
          <w:color w:val="000000"/>
          <w:szCs w:val="24"/>
          <w:lang w:eastAsia="en-GB"/>
        </w:rPr>
        <w:t xml:space="preserve">, </w:t>
      </w:r>
      <w:r w:rsidR="00411727">
        <w:rPr>
          <w:rFonts w:ascii="Arial" w:eastAsia="Times New Roman" w:hAnsi="Arial" w:cs="Arial"/>
          <w:color w:val="000000"/>
          <w:szCs w:val="24"/>
          <w:lang w:eastAsia="en-GB"/>
        </w:rPr>
        <w:t xml:space="preserve">(for most organisations this would have been early in August 2023) </w:t>
      </w:r>
      <w:r>
        <w:rPr>
          <w:rFonts w:ascii="Arial" w:eastAsia="Times New Roman" w:hAnsi="Arial" w:cs="Arial"/>
          <w:color w:val="000000"/>
          <w:szCs w:val="24"/>
          <w:lang w:eastAsia="en-GB"/>
        </w:rPr>
        <w:t xml:space="preserve">you may submit </w:t>
      </w:r>
      <w:r w:rsidRPr="00EF3452">
        <w:rPr>
          <w:rFonts w:ascii="Arial" w:eastAsia="Times New Roman" w:hAnsi="Arial" w:cs="Arial"/>
          <w:color w:val="000000"/>
          <w:szCs w:val="24"/>
          <w:lang w:eastAsia="en-GB"/>
        </w:rPr>
        <w:t>an application for an ex-gratia payment.  Full details of the procedure can be found at </w:t>
      </w:r>
      <w:hyperlink r:id="rId8" w:tgtFrame="_blank" w:history="1">
        <w:r w:rsidRPr="00EF3452">
          <w:rPr>
            <w:rFonts w:ascii="Arial" w:eastAsia="Times New Roman" w:hAnsi="Arial" w:cs="Arial"/>
            <w:color w:val="0563C1"/>
            <w:szCs w:val="24"/>
            <w:u w:val="single"/>
            <w:lang w:eastAsia="en-GB"/>
          </w:rPr>
          <w:t>Complaints procedure - Legal Aid Agency - GOV.UK (www.gov.uk)</w:t>
        </w:r>
      </w:hyperlink>
      <w:r w:rsidRPr="00EF3452">
        <w:rPr>
          <w:rFonts w:ascii="Arial" w:eastAsia="Times New Roman" w:hAnsi="Arial" w:cs="Arial"/>
          <w:color w:val="000000"/>
          <w:szCs w:val="24"/>
          <w:lang w:eastAsia="en-GB"/>
        </w:rPr>
        <w:t> </w:t>
      </w:r>
    </w:p>
    <w:p w14:paraId="3B5CAB84" w14:textId="77777777" w:rsidR="00A478A8" w:rsidRDefault="00A478A8" w:rsidP="00233BC2">
      <w:pPr>
        <w:spacing w:after="0" w:line="240" w:lineRule="auto"/>
        <w:textAlignment w:val="baseline"/>
        <w:rPr>
          <w:rFonts w:ascii="Arial" w:eastAsia="Times New Roman" w:hAnsi="Arial" w:cs="Arial"/>
          <w:color w:val="000000"/>
          <w:szCs w:val="24"/>
          <w:lang w:eastAsia="en-GB"/>
        </w:rPr>
      </w:pPr>
    </w:p>
    <w:p w14:paraId="6D2CB028" w14:textId="23F51B2D" w:rsidR="00A478A8" w:rsidRPr="00EF3452" w:rsidRDefault="00A478A8" w:rsidP="00233BC2">
      <w:pPr>
        <w:spacing w:after="0" w:line="240" w:lineRule="auto"/>
        <w:textAlignment w:val="baseline"/>
        <w:rPr>
          <w:rFonts w:ascii="Arial" w:eastAsia="Times New Roman" w:hAnsi="Arial" w:cs="Arial"/>
          <w:color w:val="000000"/>
          <w:szCs w:val="24"/>
          <w:lang w:eastAsia="en-GB"/>
        </w:rPr>
      </w:pPr>
      <w:r>
        <w:rPr>
          <w:rFonts w:ascii="Arial" w:eastAsia="Times New Roman" w:hAnsi="Arial" w:cs="Arial"/>
          <w:color w:val="000000"/>
          <w:szCs w:val="24"/>
          <w:lang w:eastAsia="en-GB"/>
        </w:rPr>
        <w:t>You a</w:t>
      </w:r>
      <w:r w:rsidRPr="00EF3452">
        <w:rPr>
          <w:rFonts w:ascii="Arial" w:eastAsia="Times New Roman" w:hAnsi="Arial" w:cs="Arial"/>
          <w:color w:val="000000"/>
          <w:szCs w:val="24"/>
          <w:lang w:eastAsia="en-GB"/>
        </w:rPr>
        <w:t xml:space="preserve">pplication should specify the reason for the claim and the amount being claimed and </w:t>
      </w:r>
      <w:r>
        <w:rPr>
          <w:rFonts w:ascii="Arial" w:eastAsia="Times New Roman" w:hAnsi="Arial" w:cs="Arial"/>
          <w:color w:val="000000"/>
          <w:szCs w:val="24"/>
          <w:lang w:eastAsia="en-GB"/>
        </w:rPr>
        <w:t>you</w:t>
      </w:r>
      <w:r w:rsidRPr="00EF3452">
        <w:rPr>
          <w:rFonts w:ascii="Arial" w:eastAsia="Times New Roman" w:hAnsi="Arial" w:cs="Arial"/>
          <w:color w:val="000000"/>
          <w:szCs w:val="24"/>
          <w:lang w:eastAsia="en-GB"/>
        </w:rPr>
        <w:t xml:space="preserve"> should attach evidence of </w:t>
      </w:r>
      <w:r>
        <w:rPr>
          <w:rFonts w:ascii="Arial" w:eastAsia="Times New Roman" w:hAnsi="Arial" w:cs="Arial"/>
          <w:color w:val="000000"/>
          <w:szCs w:val="24"/>
          <w:lang w:eastAsia="en-GB"/>
        </w:rPr>
        <w:t>your</w:t>
      </w:r>
      <w:r w:rsidRPr="00EF3452">
        <w:rPr>
          <w:rFonts w:ascii="Arial" w:eastAsia="Times New Roman" w:hAnsi="Arial" w:cs="Arial"/>
          <w:color w:val="000000"/>
          <w:szCs w:val="24"/>
          <w:lang w:eastAsia="en-GB"/>
        </w:rPr>
        <w:t xml:space="preserve"> advice (such as a dated attendance note or letter) to the email so that </w:t>
      </w:r>
      <w:r w:rsidR="00411727">
        <w:rPr>
          <w:rFonts w:ascii="Arial" w:eastAsia="Times New Roman" w:hAnsi="Arial" w:cs="Arial"/>
          <w:color w:val="000000"/>
          <w:szCs w:val="24"/>
          <w:lang w:eastAsia="en-GB"/>
        </w:rPr>
        <w:t>we</w:t>
      </w:r>
      <w:r w:rsidRPr="00EF3452">
        <w:rPr>
          <w:rFonts w:ascii="Arial" w:eastAsia="Times New Roman" w:hAnsi="Arial" w:cs="Arial"/>
          <w:color w:val="000000"/>
          <w:szCs w:val="24"/>
          <w:lang w:eastAsia="en-GB"/>
        </w:rPr>
        <w:t xml:space="preserve"> can verify advice was given on or after 1 April 2023.  </w:t>
      </w:r>
    </w:p>
    <w:p w14:paraId="666EDA20" w14:textId="77777777" w:rsidR="00A478A8" w:rsidRDefault="00A478A8" w:rsidP="00233BC2">
      <w:pPr>
        <w:spacing w:after="0" w:line="240" w:lineRule="auto"/>
        <w:textAlignment w:val="baseline"/>
        <w:rPr>
          <w:rFonts w:ascii="Arial" w:eastAsia="Times New Roman" w:hAnsi="Arial" w:cs="Arial"/>
          <w:color w:val="000000"/>
          <w:szCs w:val="24"/>
          <w:lang w:eastAsia="en-GB"/>
        </w:rPr>
      </w:pPr>
    </w:p>
    <w:p w14:paraId="45B2F789" w14:textId="77777777" w:rsidR="00A478A8" w:rsidRPr="00EF3452" w:rsidRDefault="00A478A8" w:rsidP="00233BC2">
      <w:pPr>
        <w:spacing w:after="0" w:line="240" w:lineRule="auto"/>
        <w:textAlignment w:val="baseline"/>
        <w:rPr>
          <w:rFonts w:ascii="Calibri" w:eastAsia="Times New Roman" w:hAnsi="Calibri" w:cs="Calibri"/>
          <w:color w:val="000000"/>
          <w:lang w:eastAsia="en-GB"/>
        </w:rPr>
      </w:pPr>
      <w:r w:rsidRPr="00EF3452">
        <w:rPr>
          <w:rFonts w:ascii="Arial" w:eastAsia="Times New Roman" w:hAnsi="Arial" w:cs="Arial"/>
          <w:color w:val="000000"/>
          <w:szCs w:val="24"/>
          <w:lang w:eastAsia="en-GB"/>
        </w:rPr>
        <w:lastRenderedPageBreak/>
        <w:t>When considering whether an ex-gratia payment is appropriate assessors will look for evidence of whether the requirements of the scheme had been met. This will include: </w:t>
      </w:r>
    </w:p>
    <w:p w14:paraId="7DCF0A8C" w14:textId="3EBA083C" w:rsidR="00A478A8" w:rsidRPr="00FC3B74" w:rsidRDefault="00A478A8" w:rsidP="00FC3B74">
      <w:pPr>
        <w:pStyle w:val="ListParagraph"/>
        <w:numPr>
          <w:ilvl w:val="0"/>
          <w:numId w:val="24"/>
        </w:numPr>
        <w:spacing w:after="0" w:line="240" w:lineRule="auto"/>
        <w:textAlignment w:val="baseline"/>
        <w:rPr>
          <w:rFonts w:ascii="Calibri" w:eastAsia="Times New Roman" w:hAnsi="Calibri" w:cs="Calibri"/>
          <w:color w:val="000000"/>
          <w:sz w:val="24"/>
          <w:szCs w:val="24"/>
          <w:lang w:eastAsia="en-GB"/>
        </w:rPr>
      </w:pPr>
      <w:r w:rsidRPr="00FC3B74">
        <w:rPr>
          <w:rFonts w:ascii="Arial" w:eastAsia="Times New Roman" w:hAnsi="Arial" w:cs="Arial"/>
          <w:color w:val="000000"/>
          <w:sz w:val="24"/>
          <w:szCs w:val="24"/>
          <w:lang w:eastAsia="en-GB"/>
        </w:rPr>
        <w:t>The advice is given to the client on or after 1 April 2023, regardless of the case start date. </w:t>
      </w:r>
    </w:p>
    <w:p w14:paraId="0AD49D84" w14:textId="324DFA88" w:rsidR="00A478A8" w:rsidRPr="00FC3B74" w:rsidRDefault="00A478A8" w:rsidP="00FC3B74">
      <w:pPr>
        <w:pStyle w:val="ListParagraph"/>
        <w:numPr>
          <w:ilvl w:val="0"/>
          <w:numId w:val="24"/>
        </w:numPr>
        <w:spacing w:after="0" w:line="240" w:lineRule="auto"/>
        <w:textAlignment w:val="baseline"/>
        <w:rPr>
          <w:rFonts w:ascii="Calibri" w:eastAsia="Times New Roman" w:hAnsi="Calibri" w:cs="Calibri"/>
          <w:color w:val="000000"/>
          <w:sz w:val="24"/>
          <w:szCs w:val="24"/>
          <w:lang w:eastAsia="en-GB"/>
        </w:rPr>
      </w:pPr>
      <w:r w:rsidRPr="00FC3B74">
        <w:rPr>
          <w:rFonts w:ascii="Arial" w:eastAsia="Times New Roman" w:hAnsi="Arial" w:cs="Arial"/>
          <w:color w:val="000000"/>
          <w:sz w:val="24"/>
          <w:szCs w:val="24"/>
          <w:lang w:eastAsia="en-GB"/>
        </w:rPr>
        <w:t>The advice is documented (such as a dated attendance note or letter). </w:t>
      </w:r>
    </w:p>
    <w:p w14:paraId="19AB7FC9" w14:textId="3065C265" w:rsidR="00A478A8" w:rsidRPr="00FC3B74" w:rsidRDefault="00A478A8" w:rsidP="00FC3B74">
      <w:pPr>
        <w:pStyle w:val="ListParagraph"/>
        <w:numPr>
          <w:ilvl w:val="0"/>
          <w:numId w:val="24"/>
        </w:numPr>
        <w:spacing w:after="0" w:line="240" w:lineRule="auto"/>
        <w:textAlignment w:val="baseline"/>
        <w:rPr>
          <w:rFonts w:ascii="Calibri" w:eastAsia="Times New Roman" w:hAnsi="Calibri" w:cs="Calibri"/>
          <w:color w:val="000000"/>
          <w:sz w:val="24"/>
          <w:szCs w:val="24"/>
          <w:lang w:eastAsia="en-GB"/>
        </w:rPr>
      </w:pPr>
      <w:r w:rsidRPr="00FC3B74">
        <w:rPr>
          <w:rFonts w:ascii="Arial" w:eastAsia="Times New Roman" w:hAnsi="Arial" w:cs="Arial"/>
          <w:color w:val="000000"/>
          <w:sz w:val="24"/>
          <w:szCs w:val="24"/>
          <w:lang w:eastAsia="en-GB"/>
        </w:rPr>
        <w:t>The bolt-on fee of £150 is claimed in addition to a Legal Help claim for an </w:t>
      </w:r>
      <w:r w:rsidRPr="00FC3B74">
        <w:rPr>
          <w:rFonts w:ascii="Arial" w:eastAsia="Times New Roman" w:hAnsi="Arial" w:cs="Arial"/>
          <w:b/>
          <w:bCs/>
          <w:color w:val="000000"/>
          <w:sz w:val="24"/>
          <w:szCs w:val="24"/>
          <w:u w:val="single"/>
          <w:lang w:eastAsia="en-GB"/>
        </w:rPr>
        <w:t>existing</w:t>
      </w:r>
      <w:r w:rsidRPr="00FC3B74">
        <w:rPr>
          <w:rFonts w:ascii="Arial" w:eastAsia="Times New Roman" w:hAnsi="Arial" w:cs="Arial"/>
          <w:b/>
          <w:bCs/>
          <w:color w:val="000000"/>
          <w:sz w:val="24"/>
          <w:szCs w:val="24"/>
          <w:lang w:eastAsia="en-GB"/>
        </w:rPr>
        <w:t> </w:t>
      </w:r>
      <w:r w:rsidRPr="00FC3B74">
        <w:rPr>
          <w:rFonts w:ascii="Arial" w:eastAsia="Times New Roman" w:hAnsi="Arial" w:cs="Arial"/>
          <w:color w:val="000000"/>
          <w:sz w:val="24"/>
          <w:szCs w:val="24"/>
          <w:lang w:eastAsia="en-GB"/>
        </w:rPr>
        <w:t>client, who is identified as having indicators of trafficking, with procedural and individual advice. The fee covers only the initial advice </w:t>
      </w:r>
      <w:r w:rsidRPr="00FC3B74">
        <w:rPr>
          <w:rFonts w:ascii="Arial" w:eastAsia="Times New Roman" w:hAnsi="Arial" w:cs="Arial"/>
          <w:b/>
          <w:bCs/>
          <w:color w:val="000000"/>
          <w:sz w:val="24"/>
          <w:szCs w:val="24"/>
          <w:u w:val="single"/>
          <w:lang w:eastAsia="en-GB"/>
        </w:rPr>
        <w:t>before</w:t>
      </w:r>
      <w:r w:rsidRPr="00FC3B74">
        <w:rPr>
          <w:rFonts w:ascii="Arial" w:eastAsia="Times New Roman" w:hAnsi="Arial" w:cs="Arial"/>
          <w:color w:val="000000"/>
          <w:sz w:val="24"/>
          <w:szCs w:val="24"/>
          <w:lang w:eastAsia="en-GB"/>
        </w:rPr>
        <w:t> the client has been referred into the NRM.  </w:t>
      </w:r>
    </w:p>
    <w:p w14:paraId="16AF791C" w14:textId="77777777" w:rsidR="00EF40BA" w:rsidRDefault="00EF40BA" w:rsidP="00233BC2">
      <w:pPr>
        <w:pStyle w:val="BodyText"/>
      </w:pPr>
    </w:p>
    <w:p w14:paraId="77195596" w14:textId="28054735" w:rsidR="0016357E" w:rsidRPr="00E62B4B" w:rsidRDefault="006B44FB" w:rsidP="00233BC2">
      <w:pPr>
        <w:pStyle w:val="BodyText"/>
        <w:rPr>
          <w:b/>
          <w:bCs/>
          <w:i/>
          <w:iCs/>
        </w:rPr>
      </w:pPr>
      <w:r w:rsidRPr="00E62B4B">
        <w:rPr>
          <w:b/>
          <w:bCs/>
          <w:i/>
          <w:iCs/>
        </w:rPr>
        <w:t xml:space="preserve">See </w:t>
      </w:r>
      <w:r w:rsidR="00025D02">
        <w:rPr>
          <w:b/>
          <w:bCs/>
          <w:i/>
          <w:iCs/>
        </w:rPr>
        <w:t>20</w:t>
      </w:r>
      <w:r w:rsidR="00FC3B74">
        <w:rPr>
          <w:b/>
          <w:bCs/>
          <w:i/>
          <w:iCs/>
        </w:rPr>
        <w:t>24</w:t>
      </w:r>
      <w:r w:rsidR="00025D02">
        <w:rPr>
          <w:b/>
          <w:bCs/>
          <w:i/>
          <w:iCs/>
        </w:rPr>
        <w:t xml:space="preserve"> </w:t>
      </w:r>
      <w:r w:rsidR="00541BA0" w:rsidRPr="00E62B4B">
        <w:rPr>
          <w:b/>
          <w:bCs/>
          <w:i/>
          <w:iCs/>
        </w:rPr>
        <w:t>Contract Specification 8.36 &amp; 8.56-8.58.</w:t>
      </w:r>
    </w:p>
    <w:p w14:paraId="5D9EC198" w14:textId="58AE035E" w:rsidR="006F31C6" w:rsidRDefault="006F31C6" w:rsidP="00233BC2">
      <w:pPr>
        <w:pStyle w:val="Heading1"/>
        <w:rPr>
          <w:sz w:val="32"/>
        </w:rPr>
      </w:pPr>
      <w:r>
        <w:rPr>
          <w:sz w:val="32"/>
        </w:rPr>
        <w:t>Priority Removal Notices</w:t>
      </w:r>
      <w:r w:rsidR="00806107">
        <w:rPr>
          <w:sz w:val="32"/>
        </w:rPr>
        <w:t xml:space="preserve"> (PRN)</w:t>
      </w:r>
    </w:p>
    <w:p w14:paraId="31FAE536" w14:textId="41689085" w:rsidR="00C2135C" w:rsidRPr="00C2135C" w:rsidRDefault="00C2135C" w:rsidP="00233BC2">
      <w:pPr>
        <w:pStyle w:val="BodyText"/>
        <w:rPr>
          <w:b/>
          <w:bCs/>
        </w:rPr>
      </w:pPr>
      <w:r w:rsidRPr="00C2135C">
        <w:rPr>
          <w:b/>
          <w:bCs/>
        </w:rPr>
        <w:t>Background</w:t>
      </w:r>
    </w:p>
    <w:p w14:paraId="474E2E6F" w14:textId="3F76DA4D" w:rsidR="00A52C39" w:rsidRDefault="0094571D" w:rsidP="00233BC2">
      <w:pPr>
        <w:pStyle w:val="BodyText"/>
      </w:pPr>
      <w:r>
        <w:t>PRN</w:t>
      </w:r>
      <w:r w:rsidR="005E3CCA">
        <w:t>’s</w:t>
      </w:r>
      <w:r>
        <w:t xml:space="preserve"> could be issued to anyone </w:t>
      </w:r>
      <w:r w:rsidR="00647AD1">
        <w:t xml:space="preserve">living in the UK without immigration status. The Notice would require a response to the Home Office </w:t>
      </w:r>
      <w:r w:rsidR="00522271">
        <w:t xml:space="preserve">within a given deadline </w:t>
      </w:r>
      <w:r w:rsidR="003C4A66">
        <w:t xml:space="preserve">giving any new reasons and evidence in relation </w:t>
      </w:r>
      <w:r w:rsidR="005E3CCA">
        <w:t>to their asylum application.</w:t>
      </w:r>
    </w:p>
    <w:p w14:paraId="4B2DFC09" w14:textId="044C3D82" w:rsidR="000C5432" w:rsidRPr="00AC0A88" w:rsidRDefault="00AC0A88" w:rsidP="00233BC2">
      <w:pPr>
        <w:pStyle w:val="BodyText"/>
        <w:rPr>
          <w:b/>
          <w:bCs/>
        </w:rPr>
      </w:pPr>
      <w:r w:rsidRPr="00AC0A88">
        <w:rPr>
          <w:b/>
          <w:bCs/>
        </w:rPr>
        <w:t>Scope</w:t>
      </w:r>
    </w:p>
    <w:p w14:paraId="6D9AEDE8" w14:textId="1133B96A" w:rsidR="006F31C6" w:rsidRDefault="0058338D" w:rsidP="00233BC2">
      <w:pPr>
        <w:pStyle w:val="BodyText"/>
      </w:pPr>
      <w:r>
        <w:t xml:space="preserve">From 1 April 2023 </w:t>
      </w:r>
      <w:r w:rsidR="00025D02">
        <w:t>you may</w:t>
      </w:r>
      <w:r>
        <w:t xml:space="preserve"> claim</w:t>
      </w:r>
      <w:r w:rsidR="000A08E3">
        <w:t xml:space="preserve"> up to 7 hours of non means tested advice to </w:t>
      </w:r>
      <w:r w:rsidR="00E73501">
        <w:t>c</w:t>
      </w:r>
      <w:r w:rsidR="000A08E3">
        <w:t xml:space="preserve">lients who seek advice following </w:t>
      </w:r>
      <w:r w:rsidR="00806107">
        <w:t>receipt of a PRN from the Home Office.</w:t>
      </w:r>
    </w:p>
    <w:p w14:paraId="11BAED51" w14:textId="6B51324D" w:rsidR="00B6616B" w:rsidRDefault="00B6616B" w:rsidP="00233BC2">
      <w:pPr>
        <w:pStyle w:val="BodyText"/>
      </w:pPr>
      <w:r>
        <w:t xml:space="preserve">This work is in scope only up to the point where it is determined that the </w:t>
      </w:r>
      <w:r w:rsidR="00E73501">
        <w:t>c</w:t>
      </w:r>
      <w:r>
        <w:t>lient has a substantive matter. As soon as this point is reached the PRN advice matter should be concluded and a Matter Start opened for the follow on work for the substantive matter.</w:t>
      </w:r>
    </w:p>
    <w:p w14:paraId="20FFDB77" w14:textId="5F524B88" w:rsidR="00B6616B" w:rsidRPr="00B6616B" w:rsidRDefault="00B6616B" w:rsidP="00233BC2">
      <w:pPr>
        <w:pStyle w:val="BodyText"/>
        <w:rPr>
          <w:b/>
          <w:bCs/>
        </w:rPr>
      </w:pPr>
      <w:r w:rsidRPr="00B6616B">
        <w:rPr>
          <w:b/>
          <w:bCs/>
        </w:rPr>
        <w:t>Claiming</w:t>
      </w:r>
    </w:p>
    <w:p w14:paraId="7A87B83B" w14:textId="77777777" w:rsidR="0051091C" w:rsidRDefault="0051091C" w:rsidP="00233BC2">
      <w:pPr>
        <w:pStyle w:val="BodyText"/>
      </w:pPr>
      <w:r>
        <w:t xml:space="preserve">Advice in relation to obligations under a PRN is a separate Matter Start to any associated Immigration or Asylum Matter. </w:t>
      </w:r>
    </w:p>
    <w:p w14:paraId="28C39782" w14:textId="58136147" w:rsidR="000B62A0" w:rsidRDefault="000B62A0" w:rsidP="00233BC2">
      <w:pPr>
        <w:pStyle w:val="BodyText"/>
      </w:pPr>
      <w:r>
        <w:t xml:space="preserve">A CW1 form </w:t>
      </w:r>
      <w:r w:rsidR="003C4B38">
        <w:t>must be completed</w:t>
      </w:r>
      <w:r>
        <w:t xml:space="preserve"> but the means testing sections can be </w:t>
      </w:r>
      <w:r w:rsidR="003C4B38">
        <w:t>left blank.</w:t>
      </w:r>
    </w:p>
    <w:p w14:paraId="0E7781DC" w14:textId="6A4900AE" w:rsidR="00903CE7" w:rsidRPr="006F31C6" w:rsidRDefault="003C38A5" w:rsidP="00233BC2">
      <w:pPr>
        <w:pStyle w:val="BodyText"/>
      </w:pPr>
      <w:r>
        <w:lastRenderedPageBreak/>
        <w:t>The disbursement limit for these matters is £400.</w:t>
      </w:r>
      <w:r w:rsidR="0051091C">
        <w:t xml:space="preserve">The limit cannot be extended. </w:t>
      </w:r>
      <w:r w:rsidR="00903CE7">
        <w:t xml:space="preserve">If 7 hours is reached </w:t>
      </w:r>
      <w:r w:rsidR="003A3C5C">
        <w:t xml:space="preserve">any further work must be considered under </w:t>
      </w:r>
      <w:r w:rsidR="004B443C">
        <w:t xml:space="preserve">other forms of </w:t>
      </w:r>
      <w:r w:rsidR="0018474D">
        <w:t>publicly funded work.</w:t>
      </w:r>
    </w:p>
    <w:p w14:paraId="1605E924" w14:textId="253DDCA9" w:rsidR="000C3AE1" w:rsidRDefault="0018474D" w:rsidP="00233BC2">
      <w:pPr>
        <w:pStyle w:val="BodyText"/>
      </w:pPr>
      <w:r>
        <w:t>The advice</w:t>
      </w:r>
      <w:r w:rsidR="0032088E">
        <w:t>,</w:t>
      </w:r>
      <w:r w:rsidR="0024455B">
        <w:t xml:space="preserve"> as </w:t>
      </w:r>
      <w:r w:rsidR="0032088E">
        <w:t>well as any follow</w:t>
      </w:r>
      <w:r w:rsidR="00755843">
        <w:t>-</w:t>
      </w:r>
      <w:r w:rsidR="0032088E">
        <w:t>on work</w:t>
      </w:r>
      <w:r w:rsidR="008E23F5">
        <w:t>,</w:t>
      </w:r>
      <w:r>
        <w:t xml:space="preserve"> is claimed at hourly rates as a standalone Matter Start.</w:t>
      </w:r>
    </w:p>
    <w:p w14:paraId="474883C1" w14:textId="1999FA4E" w:rsidR="0051091C" w:rsidRDefault="0051091C" w:rsidP="00233BC2">
      <w:pPr>
        <w:pStyle w:val="BodyText"/>
      </w:pPr>
      <w:r>
        <w:t xml:space="preserve">If it is determined that the </w:t>
      </w:r>
      <w:r w:rsidR="00E73501">
        <w:t>c</w:t>
      </w:r>
      <w:r>
        <w:t xml:space="preserve">lient qualifies for another form of Immigration or Asylum Contract Work prior to or at the conclusion of the 7 hours, PRN advice work must cease, and a New Matter commenced accordingly, payable at hourly rates. </w:t>
      </w:r>
    </w:p>
    <w:p w14:paraId="43F35EE7" w14:textId="77777777" w:rsidR="0051091C" w:rsidRDefault="0051091C" w:rsidP="00233BC2">
      <w:pPr>
        <w:pStyle w:val="BodyText"/>
      </w:pPr>
      <w:r>
        <w:t xml:space="preserve">Where follow on work is required which is out of scope necessitating an application for Exceptional Case Funding (ECF), the time taken to complete the ECF application can be included within the 7 hours of work. </w:t>
      </w:r>
    </w:p>
    <w:p w14:paraId="6A8C8AF3" w14:textId="77777777" w:rsidR="0051091C" w:rsidRDefault="0051091C" w:rsidP="00233BC2">
      <w:pPr>
        <w:pStyle w:val="BodyText"/>
      </w:pPr>
      <w:r>
        <w:t xml:space="preserve">The PRN or a copy </w:t>
      </w:r>
      <w:r w:rsidRPr="00641897">
        <w:rPr>
          <w:b/>
          <w:bCs/>
          <w:u w:val="single"/>
        </w:rPr>
        <w:t>must</w:t>
      </w:r>
      <w:r w:rsidRPr="0051091C">
        <w:rPr>
          <w:b/>
          <w:bCs/>
        </w:rPr>
        <w:t xml:space="preserve"> </w:t>
      </w:r>
      <w:r>
        <w:t>be retained on the file to validate the claim.</w:t>
      </w:r>
    </w:p>
    <w:p w14:paraId="1690ACF9" w14:textId="46A42A04" w:rsidR="0051091C" w:rsidRDefault="0051091C" w:rsidP="00233BC2">
      <w:pPr>
        <w:pStyle w:val="BodyText"/>
      </w:pPr>
      <w:r>
        <w:t xml:space="preserve">The work is claimed using the code combination IAXL:IPRN as a Completed Matter Claim in CWA. </w:t>
      </w:r>
    </w:p>
    <w:p w14:paraId="1E4CC981" w14:textId="6C7000FA" w:rsidR="000C3AE1" w:rsidRPr="00E62B4B" w:rsidRDefault="0018474D" w:rsidP="00233BC2">
      <w:pPr>
        <w:pStyle w:val="BodyText"/>
        <w:rPr>
          <w:b/>
          <w:bCs/>
          <w:i/>
          <w:iCs/>
        </w:rPr>
      </w:pPr>
      <w:r w:rsidRPr="00E62B4B">
        <w:rPr>
          <w:b/>
          <w:bCs/>
          <w:i/>
          <w:iCs/>
        </w:rPr>
        <w:t xml:space="preserve">See </w:t>
      </w:r>
      <w:r w:rsidR="002D1B6A">
        <w:rPr>
          <w:b/>
          <w:bCs/>
          <w:i/>
          <w:iCs/>
        </w:rPr>
        <w:t xml:space="preserve">2024 </w:t>
      </w:r>
      <w:r w:rsidRPr="00E62B4B">
        <w:rPr>
          <w:b/>
          <w:bCs/>
          <w:i/>
          <w:iCs/>
        </w:rPr>
        <w:t>Contract Specification 8.31 &amp; 8.59-8.63.</w:t>
      </w:r>
    </w:p>
    <w:p w14:paraId="76BF428E" w14:textId="1BCFFE4F" w:rsidR="00C42922" w:rsidRPr="00C14053" w:rsidRDefault="00C42922" w:rsidP="00233BC2">
      <w:pPr>
        <w:pStyle w:val="Heading1"/>
        <w:rPr>
          <w:sz w:val="32"/>
        </w:rPr>
      </w:pPr>
      <w:r>
        <w:rPr>
          <w:sz w:val="32"/>
        </w:rPr>
        <w:t>Group 2 Refugee Decisions</w:t>
      </w:r>
      <w:r w:rsidR="00251A06">
        <w:rPr>
          <w:sz w:val="32"/>
        </w:rPr>
        <w:t xml:space="preserve">: </w:t>
      </w:r>
      <w:r w:rsidR="005A23FD">
        <w:rPr>
          <w:sz w:val="32"/>
        </w:rPr>
        <w:t xml:space="preserve">Known as </w:t>
      </w:r>
      <w:r>
        <w:rPr>
          <w:sz w:val="32"/>
        </w:rPr>
        <w:t>Differentiation</w:t>
      </w:r>
    </w:p>
    <w:p w14:paraId="5360E4FC" w14:textId="50C01409" w:rsidR="00363D70" w:rsidRPr="00363D70" w:rsidRDefault="00363D70" w:rsidP="00233BC2">
      <w:pPr>
        <w:pStyle w:val="BodyText"/>
        <w:rPr>
          <w:b/>
          <w:bCs/>
        </w:rPr>
      </w:pPr>
      <w:r w:rsidRPr="00363D70">
        <w:rPr>
          <w:b/>
          <w:bCs/>
        </w:rPr>
        <w:t>Background</w:t>
      </w:r>
    </w:p>
    <w:p w14:paraId="4F312214" w14:textId="63198519" w:rsidR="00C5104F" w:rsidRDefault="00ED4E95" w:rsidP="00233BC2">
      <w:pPr>
        <w:rPr>
          <w:rFonts w:ascii="Arial" w:hAnsi="Arial" w:cs="Arial"/>
          <w:szCs w:val="24"/>
        </w:rPr>
      </w:pPr>
      <w:r>
        <w:rPr>
          <w:rFonts w:ascii="Arial" w:hAnsi="Arial" w:cs="Arial"/>
          <w:szCs w:val="24"/>
        </w:rPr>
        <w:t>NABA</w:t>
      </w:r>
      <w:r w:rsidR="00C5104F">
        <w:rPr>
          <w:rFonts w:ascii="Arial" w:hAnsi="Arial" w:cs="Arial"/>
          <w:szCs w:val="24"/>
        </w:rPr>
        <w:t xml:space="preserve"> introduced two groups of refugees for those granted refugee status following asylum applications made on or after 28 June 2022. </w:t>
      </w:r>
      <w:r w:rsidR="00670F81">
        <w:rPr>
          <w:rFonts w:ascii="Arial" w:hAnsi="Arial" w:cs="Arial"/>
          <w:szCs w:val="24"/>
        </w:rPr>
        <w:t xml:space="preserve">Asylum seekers </w:t>
      </w:r>
      <w:r w:rsidR="00C5104F">
        <w:rPr>
          <w:rFonts w:ascii="Arial" w:hAnsi="Arial" w:cs="Arial"/>
          <w:szCs w:val="24"/>
        </w:rPr>
        <w:t xml:space="preserve">who met the relevant criteria </w:t>
      </w:r>
      <w:r w:rsidR="00F5116B">
        <w:rPr>
          <w:rFonts w:ascii="Arial" w:hAnsi="Arial" w:cs="Arial"/>
          <w:szCs w:val="24"/>
        </w:rPr>
        <w:t>were designated</w:t>
      </w:r>
      <w:r w:rsidR="00C5104F">
        <w:rPr>
          <w:rFonts w:ascii="Arial" w:hAnsi="Arial" w:cs="Arial"/>
          <w:szCs w:val="24"/>
        </w:rPr>
        <w:t xml:space="preserve"> as Group 1 refugees and granted refugee permission to stay, normally lasting 5 years. Those who d</w:t>
      </w:r>
      <w:r w:rsidR="00DC7D91">
        <w:rPr>
          <w:rFonts w:ascii="Arial" w:hAnsi="Arial" w:cs="Arial"/>
          <w:szCs w:val="24"/>
        </w:rPr>
        <w:t>id</w:t>
      </w:r>
      <w:r w:rsidR="00C5104F">
        <w:rPr>
          <w:rFonts w:ascii="Arial" w:hAnsi="Arial" w:cs="Arial"/>
          <w:szCs w:val="24"/>
        </w:rPr>
        <w:t xml:space="preserve"> not meet the relevant criteria, </w:t>
      </w:r>
      <w:r w:rsidR="00DC7D91">
        <w:rPr>
          <w:rFonts w:ascii="Arial" w:hAnsi="Arial" w:cs="Arial"/>
          <w:szCs w:val="24"/>
        </w:rPr>
        <w:t>were</w:t>
      </w:r>
      <w:r w:rsidR="00C5104F">
        <w:rPr>
          <w:rFonts w:ascii="Arial" w:hAnsi="Arial" w:cs="Arial"/>
          <w:szCs w:val="24"/>
        </w:rPr>
        <w:t xml:space="preserve"> designated as Group 2 refugees and granted temporary refugee permission to stay, normally lasting 30 months. </w:t>
      </w:r>
    </w:p>
    <w:p w14:paraId="2AF53DF9" w14:textId="2315A782" w:rsidR="00C5104F" w:rsidRDefault="00C5104F" w:rsidP="00233BC2">
      <w:pPr>
        <w:rPr>
          <w:rFonts w:ascii="Arial" w:hAnsi="Arial" w:cs="Arial"/>
          <w:szCs w:val="24"/>
        </w:rPr>
      </w:pPr>
      <w:r>
        <w:rPr>
          <w:rFonts w:ascii="Arial" w:hAnsi="Arial" w:cs="Arial"/>
          <w:szCs w:val="24"/>
        </w:rPr>
        <w:t xml:space="preserve">Where an individual </w:t>
      </w:r>
      <w:r w:rsidR="00DC7D91">
        <w:rPr>
          <w:rFonts w:ascii="Arial" w:hAnsi="Arial" w:cs="Arial"/>
          <w:szCs w:val="24"/>
        </w:rPr>
        <w:t>wa</w:t>
      </w:r>
      <w:r>
        <w:rPr>
          <w:rFonts w:ascii="Arial" w:hAnsi="Arial" w:cs="Arial"/>
          <w:szCs w:val="24"/>
        </w:rPr>
        <w:t>s designated a Group 2 refugee, they ha</w:t>
      </w:r>
      <w:r w:rsidR="00E35A0E">
        <w:rPr>
          <w:rFonts w:ascii="Arial" w:hAnsi="Arial" w:cs="Arial"/>
          <w:szCs w:val="24"/>
        </w:rPr>
        <w:t>d</w:t>
      </w:r>
      <w:r>
        <w:rPr>
          <w:rFonts w:ascii="Arial" w:hAnsi="Arial" w:cs="Arial"/>
          <w:szCs w:val="24"/>
        </w:rPr>
        <w:t xml:space="preserve"> the right to rebut this decision and the work required to deal with the rebuttal is in scope.</w:t>
      </w:r>
    </w:p>
    <w:p w14:paraId="38C73993" w14:textId="0FBDAA22" w:rsidR="00FC6BFA" w:rsidRDefault="00FC6BFA" w:rsidP="00233BC2">
      <w:pPr>
        <w:rPr>
          <w:rFonts w:ascii="Arial" w:hAnsi="Arial" w:cs="Arial"/>
          <w:szCs w:val="24"/>
        </w:rPr>
      </w:pPr>
      <w:r>
        <w:rPr>
          <w:rFonts w:ascii="Arial" w:hAnsi="Arial" w:cs="Arial"/>
          <w:szCs w:val="24"/>
        </w:rPr>
        <w:t>The criteria t</w:t>
      </w:r>
      <w:r w:rsidR="001D101B">
        <w:rPr>
          <w:rFonts w:ascii="Arial" w:hAnsi="Arial" w:cs="Arial"/>
          <w:szCs w:val="24"/>
        </w:rPr>
        <w:t xml:space="preserve">hat must be met for </w:t>
      </w:r>
      <w:r w:rsidR="00621155">
        <w:rPr>
          <w:rFonts w:ascii="Arial" w:hAnsi="Arial" w:cs="Arial"/>
          <w:szCs w:val="24"/>
        </w:rPr>
        <w:t>a refugee</w:t>
      </w:r>
      <w:r w:rsidR="001D101B">
        <w:rPr>
          <w:rFonts w:ascii="Arial" w:hAnsi="Arial" w:cs="Arial"/>
          <w:szCs w:val="24"/>
        </w:rPr>
        <w:t xml:space="preserve"> to be designated </w:t>
      </w:r>
      <w:r w:rsidR="00823FA1">
        <w:rPr>
          <w:rFonts w:ascii="Arial" w:hAnsi="Arial" w:cs="Arial"/>
          <w:szCs w:val="24"/>
        </w:rPr>
        <w:t>in</w:t>
      </w:r>
      <w:r w:rsidR="001D101B">
        <w:rPr>
          <w:rFonts w:ascii="Arial" w:hAnsi="Arial" w:cs="Arial"/>
          <w:szCs w:val="24"/>
        </w:rPr>
        <w:t xml:space="preserve"> Group 1</w:t>
      </w:r>
      <w:r w:rsidR="000F6059">
        <w:rPr>
          <w:rFonts w:ascii="Arial" w:hAnsi="Arial" w:cs="Arial"/>
          <w:szCs w:val="24"/>
        </w:rPr>
        <w:t xml:space="preserve"> is set out in Section 12(2) and 12(3) </w:t>
      </w:r>
      <w:r w:rsidR="002715C8">
        <w:rPr>
          <w:rFonts w:ascii="Arial" w:hAnsi="Arial" w:cs="Arial"/>
          <w:szCs w:val="24"/>
        </w:rPr>
        <w:t>of the 2022 Act</w:t>
      </w:r>
      <w:r w:rsidR="004758ED">
        <w:rPr>
          <w:rFonts w:ascii="Arial" w:hAnsi="Arial" w:cs="Arial"/>
          <w:szCs w:val="24"/>
        </w:rPr>
        <w:t xml:space="preserve"> </w:t>
      </w:r>
      <w:r w:rsidR="009849A1">
        <w:rPr>
          <w:rFonts w:ascii="Arial" w:hAnsi="Arial" w:cs="Arial"/>
          <w:szCs w:val="24"/>
        </w:rPr>
        <w:t xml:space="preserve">and requires that they have come to the UK </w:t>
      </w:r>
      <w:r w:rsidR="005E6A89">
        <w:rPr>
          <w:rFonts w:ascii="Arial" w:hAnsi="Arial" w:cs="Arial"/>
          <w:szCs w:val="24"/>
        </w:rPr>
        <w:t xml:space="preserve">directly from a country or territory where their life or freedom was threatened and that they have presented </w:t>
      </w:r>
      <w:r w:rsidR="005E6A89">
        <w:rPr>
          <w:rFonts w:ascii="Arial" w:hAnsi="Arial" w:cs="Arial"/>
          <w:szCs w:val="24"/>
        </w:rPr>
        <w:lastRenderedPageBreak/>
        <w:t>themselves to the authorities without delay.</w:t>
      </w:r>
      <w:r w:rsidR="00A84A63">
        <w:rPr>
          <w:rFonts w:ascii="Arial" w:hAnsi="Arial" w:cs="Arial"/>
          <w:szCs w:val="24"/>
        </w:rPr>
        <w:t xml:space="preserve"> If the </w:t>
      </w:r>
      <w:r w:rsidR="00823FA1">
        <w:rPr>
          <w:rFonts w:ascii="Arial" w:hAnsi="Arial" w:cs="Arial"/>
          <w:szCs w:val="24"/>
        </w:rPr>
        <w:t>refugee has entered the UK unlawfully</w:t>
      </w:r>
      <w:r w:rsidR="00F5116B">
        <w:rPr>
          <w:rFonts w:ascii="Arial" w:hAnsi="Arial" w:cs="Arial"/>
          <w:szCs w:val="24"/>
        </w:rPr>
        <w:t>,</w:t>
      </w:r>
      <w:r w:rsidR="00823FA1">
        <w:rPr>
          <w:rFonts w:ascii="Arial" w:hAnsi="Arial" w:cs="Arial"/>
          <w:szCs w:val="24"/>
        </w:rPr>
        <w:t xml:space="preserve"> </w:t>
      </w:r>
      <w:r w:rsidR="0077009D">
        <w:rPr>
          <w:rFonts w:ascii="Arial" w:hAnsi="Arial" w:cs="Arial"/>
          <w:szCs w:val="24"/>
        </w:rPr>
        <w:t>they must further show good cause for their unlawful entry or presence.</w:t>
      </w:r>
    </w:p>
    <w:p w14:paraId="70F88F80" w14:textId="0A19D7DE" w:rsidR="00FA45FE" w:rsidRPr="00671C45" w:rsidRDefault="008A3D1C" w:rsidP="00671C45">
      <w:pPr>
        <w:pStyle w:val="BodyText"/>
        <w:pBdr>
          <w:top w:val="single" w:sz="4" w:space="1" w:color="auto"/>
          <w:left w:val="single" w:sz="4" w:space="4" w:color="auto"/>
          <w:bottom w:val="single" w:sz="4" w:space="1" w:color="auto"/>
          <w:right w:val="single" w:sz="4" w:space="4" w:color="auto"/>
        </w:pBdr>
        <w:spacing w:after="0" w:line="240" w:lineRule="auto"/>
        <w:rPr>
          <w:color w:val="000000" w:themeColor="text1"/>
        </w:rPr>
      </w:pPr>
      <w:r w:rsidRPr="00671C45">
        <w:rPr>
          <w:color w:val="000000" w:themeColor="text1"/>
        </w:rPr>
        <w:t>On 17</w:t>
      </w:r>
      <w:r w:rsidR="00F5116B">
        <w:rPr>
          <w:color w:val="000000" w:themeColor="text1"/>
          <w:vertAlign w:val="superscript"/>
        </w:rPr>
        <w:t xml:space="preserve"> </w:t>
      </w:r>
      <w:r w:rsidRPr="00671C45">
        <w:rPr>
          <w:color w:val="000000" w:themeColor="text1"/>
        </w:rPr>
        <w:t>July</w:t>
      </w:r>
      <w:r w:rsidR="002F68A5" w:rsidRPr="00671C45">
        <w:rPr>
          <w:color w:val="000000" w:themeColor="text1"/>
        </w:rPr>
        <w:t xml:space="preserve"> 2023</w:t>
      </w:r>
      <w:r w:rsidRPr="00671C45">
        <w:rPr>
          <w:color w:val="000000" w:themeColor="text1"/>
        </w:rPr>
        <w:t xml:space="preserve">, the Home Office </w:t>
      </w:r>
      <w:r w:rsidR="00C36FBD" w:rsidRPr="00671C45">
        <w:rPr>
          <w:color w:val="000000" w:themeColor="text1"/>
        </w:rPr>
        <w:t>paused</w:t>
      </w:r>
      <w:r w:rsidR="00FA45FE" w:rsidRPr="00671C45">
        <w:rPr>
          <w:color w:val="000000" w:themeColor="text1"/>
        </w:rPr>
        <w:t xml:space="preserve"> the Differentiation Policy, which mean</w:t>
      </w:r>
      <w:r w:rsidR="00C36FBD" w:rsidRPr="00671C45">
        <w:rPr>
          <w:color w:val="000000" w:themeColor="text1"/>
        </w:rPr>
        <w:t>t</w:t>
      </w:r>
      <w:r w:rsidR="00FA45FE" w:rsidRPr="00671C45">
        <w:rPr>
          <w:color w:val="000000" w:themeColor="text1"/>
        </w:rPr>
        <w:t xml:space="preserve"> individuals will no longer be grouped into Group 1 or Group 2, everyone will be placed into Group 1. The change </w:t>
      </w:r>
      <w:r w:rsidR="00C363CE" w:rsidRPr="00671C45">
        <w:rPr>
          <w:color w:val="000000" w:themeColor="text1"/>
        </w:rPr>
        <w:t>was</w:t>
      </w:r>
      <w:r w:rsidR="00FA45FE" w:rsidRPr="00671C45">
        <w:rPr>
          <w:color w:val="000000" w:themeColor="text1"/>
        </w:rPr>
        <w:t xml:space="preserve"> applied retrospectively, so individuals previously placed into Group 2 post 28 June 2022, </w:t>
      </w:r>
      <w:r w:rsidR="00C363CE" w:rsidRPr="00671C45">
        <w:rPr>
          <w:color w:val="000000" w:themeColor="text1"/>
        </w:rPr>
        <w:t>were</w:t>
      </w:r>
      <w:r w:rsidR="00FA45FE" w:rsidRPr="00671C45">
        <w:rPr>
          <w:color w:val="000000" w:themeColor="text1"/>
        </w:rPr>
        <w:t xml:space="preserve"> notified by letter they ha</w:t>
      </w:r>
      <w:r w:rsidR="00E62CC8" w:rsidRPr="00671C45">
        <w:rPr>
          <w:color w:val="000000" w:themeColor="text1"/>
        </w:rPr>
        <w:t>d</w:t>
      </w:r>
      <w:r w:rsidR="00FA45FE" w:rsidRPr="00671C45">
        <w:rPr>
          <w:color w:val="000000" w:themeColor="text1"/>
        </w:rPr>
        <w:t xml:space="preserve"> been afforded Group 1 status.</w:t>
      </w:r>
    </w:p>
    <w:p w14:paraId="0AA60E73" w14:textId="77777777" w:rsidR="00FA45FE" w:rsidRPr="00671C45" w:rsidRDefault="00FA45FE" w:rsidP="00671C45">
      <w:pPr>
        <w:pStyle w:val="BodyText"/>
        <w:pBdr>
          <w:top w:val="single" w:sz="4" w:space="1" w:color="auto"/>
          <w:left w:val="single" w:sz="4" w:space="4" w:color="auto"/>
          <w:bottom w:val="single" w:sz="4" w:space="1" w:color="auto"/>
          <w:right w:val="single" w:sz="4" w:space="4" w:color="auto"/>
        </w:pBdr>
        <w:spacing w:after="0" w:line="240" w:lineRule="auto"/>
        <w:rPr>
          <w:color w:val="000000" w:themeColor="text1"/>
        </w:rPr>
      </w:pPr>
    </w:p>
    <w:p w14:paraId="1F850974" w14:textId="558E7863" w:rsidR="00FA45FE" w:rsidRPr="00671C45" w:rsidRDefault="00E62CC8" w:rsidP="00671C45">
      <w:pPr>
        <w:pStyle w:val="BodyText"/>
        <w:pBdr>
          <w:top w:val="single" w:sz="4" w:space="1" w:color="auto"/>
          <w:left w:val="single" w:sz="4" w:space="4" w:color="auto"/>
          <w:bottom w:val="single" w:sz="4" w:space="1" w:color="auto"/>
          <w:right w:val="single" w:sz="4" w:space="4" w:color="auto"/>
        </w:pBdr>
        <w:spacing w:after="0" w:line="240" w:lineRule="auto"/>
        <w:rPr>
          <w:color w:val="000000" w:themeColor="text1"/>
        </w:rPr>
      </w:pPr>
      <w:r w:rsidRPr="00671C45">
        <w:rPr>
          <w:color w:val="000000" w:themeColor="text1"/>
        </w:rPr>
        <w:t xml:space="preserve">You </w:t>
      </w:r>
      <w:r w:rsidR="00FA45FE" w:rsidRPr="00671C45">
        <w:rPr>
          <w:color w:val="000000" w:themeColor="text1"/>
        </w:rPr>
        <w:t xml:space="preserve">may still claim for the work already carried out to advise and rebut the Group 2 decision, but once the </w:t>
      </w:r>
      <w:r w:rsidR="00F5116B">
        <w:rPr>
          <w:color w:val="000000" w:themeColor="text1"/>
        </w:rPr>
        <w:t>c</w:t>
      </w:r>
      <w:r w:rsidR="00F5116B" w:rsidRPr="00671C45">
        <w:rPr>
          <w:color w:val="000000" w:themeColor="text1"/>
        </w:rPr>
        <w:t>lient received</w:t>
      </w:r>
      <w:r w:rsidR="00FA45FE" w:rsidRPr="00671C45">
        <w:rPr>
          <w:color w:val="000000" w:themeColor="text1"/>
        </w:rPr>
        <w:t xml:space="preserve"> </w:t>
      </w:r>
      <w:proofErr w:type="gramStart"/>
      <w:r w:rsidR="00F5116B" w:rsidRPr="00671C45">
        <w:rPr>
          <w:color w:val="000000" w:themeColor="text1"/>
        </w:rPr>
        <w:t>notice</w:t>
      </w:r>
      <w:proofErr w:type="gramEnd"/>
      <w:r w:rsidR="00FA45FE" w:rsidRPr="00671C45">
        <w:rPr>
          <w:color w:val="000000" w:themeColor="text1"/>
        </w:rPr>
        <w:t xml:space="preserve"> they ha</w:t>
      </w:r>
      <w:r w:rsidRPr="00671C45">
        <w:rPr>
          <w:color w:val="000000" w:themeColor="text1"/>
        </w:rPr>
        <w:t>d</w:t>
      </w:r>
      <w:r w:rsidR="00FA45FE" w:rsidRPr="00671C45">
        <w:rPr>
          <w:color w:val="000000" w:themeColor="text1"/>
        </w:rPr>
        <w:t xml:space="preserve"> been afforded Group 1 status, </w:t>
      </w:r>
      <w:r w:rsidRPr="00671C45">
        <w:rPr>
          <w:color w:val="000000" w:themeColor="text1"/>
        </w:rPr>
        <w:t xml:space="preserve">you </w:t>
      </w:r>
      <w:r w:rsidR="00FA45FE" w:rsidRPr="00671C45">
        <w:rPr>
          <w:color w:val="000000" w:themeColor="text1"/>
        </w:rPr>
        <w:t xml:space="preserve">must close and bill the file. </w:t>
      </w:r>
    </w:p>
    <w:p w14:paraId="10D59C5D" w14:textId="77777777" w:rsidR="00233BC2" w:rsidRPr="00671C45" w:rsidRDefault="00233BC2" w:rsidP="00671C45">
      <w:pPr>
        <w:pStyle w:val="BodyText"/>
        <w:pBdr>
          <w:top w:val="single" w:sz="4" w:space="1" w:color="auto"/>
          <w:left w:val="single" w:sz="4" w:space="4" w:color="auto"/>
          <w:bottom w:val="single" w:sz="4" w:space="1" w:color="auto"/>
          <w:right w:val="single" w:sz="4" w:space="4" w:color="auto"/>
        </w:pBdr>
        <w:spacing w:after="0" w:line="240" w:lineRule="auto"/>
        <w:rPr>
          <w:color w:val="000000" w:themeColor="text1"/>
        </w:rPr>
      </w:pPr>
    </w:p>
    <w:p w14:paraId="2A93538A" w14:textId="289FADA7" w:rsidR="00FA45FE" w:rsidRPr="00671C45" w:rsidRDefault="00FA45FE" w:rsidP="00671C45">
      <w:pPr>
        <w:pStyle w:val="BodyText"/>
        <w:pBdr>
          <w:top w:val="single" w:sz="4" w:space="1" w:color="auto"/>
          <w:left w:val="single" w:sz="4" w:space="4" w:color="auto"/>
          <w:bottom w:val="single" w:sz="4" w:space="1" w:color="auto"/>
          <w:right w:val="single" w:sz="4" w:space="4" w:color="auto"/>
        </w:pBdr>
        <w:spacing w:after="0" w:line="240" w:lineRule="auto"/>
        <w:rPr>
          <w:color w:val="000000" w:themeColor="text1"/>
        </w:rPr>
      </w:pPr>
      <w:r w:rsidRPr="00671C45">
        <w:rPr>
          <w:color w:val="000000" w:themeColor="text1"/>
        </w:rPr>
        <w:t xml:space="preserve">Any advice provided to the </w:t>
      </w:r>
      <w:r w:rsidR="00682F6B" w:rsidRPr="00671C45">
        <w:rPr>
          <w:color w:val="000000" w:themeColor="text1"/>
        </w:rPr>
        <w:t>C</w:t>
      </w:r>
      <w:r w:rsidRPr="00671C45">
        <w:rPr>
          <w:color w:val="000000" w:themeColor="text1"/>
        </w:rPr>
        <w:t xml:space="preserve">lient in connection with the change in status must be claimed under the original substantive matter as this would not be work associated with the rebuttal. </w:t>
      </w:r>
    </w:p>
    <w:p w14:paraId="6DC17AF4" w14:textId="2DCEBBD7" w:rsidR="0051091C" w:rsidRPr="00671C45" w:rsidRDefault="0051091C" w:rsidP="00671C45">
      <w:pPr>
        <w:pStyle w:val="BodyText"/>
        <w:pBdr>
          <w:top w:val="single" w:sz="4" w:space="1" w:color="auto"/>
          <w:left w:val="single" w:sz="4" w:space="4" w:color="auto"/>
          <w:bottom w:val="single" w:sz="4" w:space="1" w:color="auto"/>
          <w:right w:val="single" w:sz="4" w:space="4" w:color="auto"/>
        </w:pBdr>
        <w:spacing w:after="0" w:line="240" w:lineRule="auto"/>
        <w:rPr>
          <w:color w:val="000000" w:themeColor="text1"/>
        </w:rPr>
      </w:pPr>
    </w:p>
    <w:p w14:paraId="743CF524" w14:textId="3C39A1A0" w:rsidR="00043220" w:rsidRPr="00671C45" w:rsidRDefault="00043220" w:rsidP="00671C45">
      <w:pPr>
        <w:pStyle w:val="BodyText"/>
        <w:pBdr>
          <w:top w:val="single" w:sz="4" w:space="1" w:color="auto"/>
          <w:left w:val="single" w:sz="4" w:space="4" w:color="auto"/>
          <w:bottom w:val="single" w:sz="4" w:space="1" w:color="auto"/>
          <w:right w:val="single" w:sz="4" w:space="4" w:color="auto"/>
        </w:pBdr>
        <w:spacing w:after="0"/>
        <w:rPr>
          <w:i/>
          <w:iCs/>
          <w:color w:val="000000" w:themeColor="text1"/>
        </w:rPr>
      </w:pPr>
      <w:r w:rsidRPr="00671C45">
        <w:rPr>
          <w:i/>
          <w:iCs/>
          <w:color w:val="000000" w:themeColor="text1"/>
        </w:rPr>
        <w:t>See Home Office Statement:</w:t>
      </w:r>
    </w:p>
    <w:p w14:paraId="04A597F8" w14:textId="0367468B" w:rsidR="00043220" w:rsidRPr="00A26B2E" w:rsidRDefault="00541CC7" w:rsidP="00671C45">
      <w:pPr>
        <w:pStyle w:val="BodyText"/>
        <w:pBdr>
          <w:top w:val="single" w:sz="4" w:space="1" w:color="auto"/>
          <w:left w:val="single" w:sz="4" w:space="4" w:color="auto"/>
          <w:bottom w:val="single" w:sz="4" w:space="1" w:color="auto"/>
          <w:right w:val="single" w:sz="4" w:space="4" w:color="auto"/>
        </w:pBdr>
        <w:spacing w:after="0"/>
        <w:rPr>
          <w:b/>
          <w:bCs/>
          <w:i/>
          <w:iCs/>
          <w:color w:val="185528" w:themeColor="accent2" w:themeShade="80"/>
        </w:rPr>
      </w:pPr>
      <w:hyperlink r:id="rId9" w:history="1">
        <w:r w:rsidR="00671C45" w:rsidRPr="00B55A65">
          <w:rPr>
            <w:rStyle w:val="Hyperlink"/>
            <w:i/>
            <w:iCs/>
          </w:rPr>
          <w:t>https://questions-statements.parliament.uk/written-statements/detail/2023-06-08/hlws824</w:t>
        </w:r>
      </w:hyperlink>
      <w:r w:rsidR="00671C45">
        <w:rPr>
          <w:i/>
          <w:iCs/>
          <w:color w:val="000000" w:themeColor="text1"/>
        </w:rPr>
        <w:t xml:space="preserve"> </w:t>
      </w:r>
    </w:p>
    <w:p w14:paraId="701F55B0" w14:textId="77777777" w:rsidR="0081431B" w:rsidRDefault="0081431B" w:rsidP="00233BC2">
      <w:pPr>
        <w:pStyle w:val="BodyText"/>
        <w:rPr>
          <w:b/>
          <w:bCs/>
        </w:rPr>
      </w:pPr>
    </w:p>
    <w:p w14:paraId="199B8701" w14:textId="47C1C7EB" w:rsidR="00363D70" w:rsidRPr="00C5104F" w:rsidRDefault="00C5104F" w:rsidP="00233BC2">
      <w:pPr>
        <w:pStyle w:val="BodyText"/>
        <w:rPr>
          <w:b/>
          <w:bCs/>
        </w:rPr>
      </w:pPr>
      <w:r w:rsidRPr="003F18F7">
        <w:rPr>
          <w:b/>
          <w:bCs/>
        </w:rPr>
        <w:t>Scope</w:t>
      </w:r>
    </w:p>
    <w:p w14:paraId="75FD3C8C" w14:textId="19933893" w:rsidR="00E0506A" w:rsidRPr="003C4B38" w:rsidRDefault="00A8664D" w:rsidP="00233BC2">
      <w:pPr>
        <w:pStyle w:val="CommentText"/>
        <w:rPr>
          <w:rFonts w:cstheme="minorHAnsi"/>
          <w:sz w:val="24"/>
          <w:szCs w:val="24"/>
        </w:rPr>
      </w:pPr>
      <w:r w:rsidRPr="003C4B38">
        <w:rPr>
          <w:rFonts w:cstheme="minorHAnsi"/>
          <w:sz w:val="24"/>
          <w:szCs w:val="24"/>
        </w:rPr>
        <w:t xml:space="preserve">From </w:t>
      </w:r>
      <w:r w:rsidR="007B0657" w:rsidRPr="003C4B38">
        <w:rPr>
          <w:rFonts w:cstheme="minorHAnsi"/>
          <w:sz w:val="24"/>
          <w:szCs w:val="24"/>
        </w:rPr>
        <w:t>1 July</w:t>
      </w:r>
      <w:r w:rsidR="00C5104F" w:rsidRPr="003C4B38">
        <w:rPr>
          <w:rFonts w:cstheme="minorHAnsi"/>
          <w:sz w:val="24"/>
          <w:szCs w:val="24"/>
        </w:rPr>
        <w:t xml:space="preserve"> 2022</w:t>
      </w:r>
      <w:r w:rsidRPr="003C4B38">
        <w:rPr>
          <w:rFonts w:cstheme="minorHAnsi"/>
          <w:sz w:val="24"/>
          <w:szCs w:val="24"/>
        </w:rPr>
        <w:t xml:space="preserve"> </w:t>
      </w:r>
      <w:r w:rsidR="0030187E" w:rsidRPr="003C4B38">
        <w:rPr>
          <w:rFonts w:cstheme="minorHAnsi"/>
          <w:sz w:val="24"/>
          <w:szCs w:val="24"/>
        </w:rPr>
        <w:t xml:space="preserve">advice </w:t>
      </w:r>
      <w:r w:rsidR="00C40563" w:rsidRPr="003C4B38">
        <w:rPr>
          <w:rFonts w:cstheme="minorHAnsi"/>
          <w:sz w:val="24"/>
          <w:szCs w:val="24"/>
        </w:rPr>
        <w:t xml:space="preserve">given </w:t>
      </w:r>
      <w:r w:rsidR="0030187E" w:rsidRPr="003C4B38">
        <w:rPr>
          <w:rFonts w:cstheme="minorHAnsi"/>
          <w:sz w:val="24"/>
          <w:szCs w:val="24"/>
        </w:rPr>
        <w:t xml:space="preserve">to clients in relation to </w:t>
      </w:r>
      <w:r w:rsidR="00513AF9" w:rsidRPr="003C4B38">
        <w:rPr>
          <w:rFonts w:cstheme="minorHAnsi"/>
          <w:sz w:val="24"/>
          <w:szCs w:val="24"/>
        </w:rPr>
        <w:t>Differentiation</w:t>
      </w:r>
      <w:r w:rsidR="00353242">
        <w:rPr>
          <w:rFonts w:cstheme="minorHAnsi"/>
          <w:sz w:val="24"/>
          <w:szCs w:val="24"/>
        </w:rPr>
        <w:t xml:space="preserve"> is in scope</w:t>
      </w:r>
      <w:r w:rsidR="00513AF9" w:rsidRPr="003C4B38">
        <w:rPr>
          <w:rFonts w:cstheme="minorHAnsi"/>
          <w:sz w:val="24"/>
          <w:szCs w:val="24"/>
        </w:rPr>
        <w:t xml:space="preserve">. This includes advice on the preliminary Group 2 </w:t>
      </w:r>
      <w:r w:rsidR="005A23FD" w:rsidRPr="003C4B38">
        <w:rPr>
          <w:rFonts w:cstheme="minorHAnsi"/>
          <w:sz w:val="24"/>
          <w:szCs w:val="24"/>
        </w:rPr>
        <w:t xml:space="preserve">Refugee </w:t>
      </w:r>
      <w:r w:rsidR="00513AF9" w:rsidRPr="003C4B38">
        <w:rPr>
          <w:rFonts w:cstheme="minorHAnsi"/>
          <w:sz w:val="24"/>
          <w:szCs w:val="24"/>
        </w:rPr>
        <w:t>decision, rebuttal of that decision and advice on the outcome of the rebuttal</w:t>
      </w:r>
      <w:r w:rsidR="003C4B38">
        <w:rPr>
          <w:rFonts w:cstheme="minorHAnsi"/>
          <w:sz w:val="24"/>
          <w:szCs w:val="24"/>
        </w:rPr>
        <w:t xml:space="preserve">, </w:t>
      </w:r>
      <w:r w:rsidR="003C4B38" w:rsidRPr="003C4B38">
        <w:rPr>
          <w:rFonts w:cstheme="minorHAnsi"/>
          <w:sz w:val="24"/>
          <w:szCs w:val="24"/>
        </w:rPr>
        <w:t>all of which will constitute a separate matter start from advice on the asylum application itself.</w:t>
      </w:r>
    </w:p>
    <w:p w14:paraId="0C802B33" w14:textId="2AD2D95C" w:rsidR="003224ED" w:rsidRDefault="003224ED" w:rsidP="00233BC2">
      <w:pPr>
        <w:pStyle w:val="BodyText"/>
      </w:pPr>
      <w:r>
        <w:t xml:space="preserve">A Differentiation matter can only be opened once the </w:t>
      </w:r>
      <w:r w:rsidR="00F5116B">
        <w:t>c</w:t>
      </w:r>
      <w:r>
        <w:t>lient has been notified of a preliminary decision by the Home Office.</w:t>
      </w:r>
    </w:p>
    <w:p w14:paraId="4B19B939" w14:textId="3FC28365" w:rsidR="00BB4EC6" w:rsidRDefault="00EB717D" w:rsidP="00233BC2">
      <w:pPr>
        <w:pStyle w:val="BodyText"/>
      </w:pPr>
      <w:r>
        <w:t xml:space="preserve">The Differentiation LH matter and the substantive asylum LH matter can both remain open </w:t>
      </w:r>
      <w:r w:rsidR="005D16AB">
        <w:t>concurrently</w:t>
      </w:r>
      <w:r>
        <w:t>.</w:t>
      </w:r>
    </w:p>
    <w:p w14:paraId="601EE98C" w14:textId="70DC363D" w:rsidR="003224ED" w:rsidRPr="003224ED" w:rsidRDefault="003224ED" w:rsidP="00233BC2">
      <w:pPr>
        <w:pStyle w:val="BodyText"/>
        <w:rPr>
          <w:b/>
          <w:bCs/>
        </w:rPr>
      </w:pPr>
      <w:r w:rsidRPr="003224ED">
        <w:rPr>
          <w:b/>
          <w:bCs/>
        </w:rPr>
        <w:t>Claiming</w:t>
      </w:r>
    </w:p>
    <w:p w14:paraId="09F8C045" w14:textId="39DAC493" w:rsidR="003224ED" w:rsidRDefault="005A23FD" w:rsidP="00233BC2">
      <w:pPr>
        <w:pStyle w:val="BodyText"/>
      </w:pPr>
      <w:r>
        <w:t xml:space="preserve">This work is claimed as a separate </w:t>
      </w:r>
      <w:r w:rsidR="00120721">
        <w:t xml:space="preserve">LH </w:t>
      </w:r>
      <w:r>
        <w:t>Matter Start</w:t>
      </w:r>
      <w:r w:rsidR="00F60051">
        <w:t xml:space="preserve"> and paid at hourly rates</w:t>
      </w:r>
      <w:r w:rsidR="002D3C03">
        <w:t xml:space="preserve"> </w:t>
      </w:r>
      <w:r w:rsidR="009F224C">
        <w:t>under the asylum cost limits of £800 for profit costs and £400 for disbursements.</w:t>
      </w:r>
      <w:r w:rsidR="007654BE">
        <w:t xml:space="preserve"> </w:t>
      </w:r>
    </w:p>
    <w:p w14:paraId="6796367A" w14:textId="56346559" w:rsidR="006C5269" w:rsidRDefault="006C5269" w:rsidP="00233BC2">
      <w:pPr>
        <w:pStyle w:val="BodyText"/>
      </w:pPr>
      <w:r>
        <w:lastRenderedPageBreak/>
        <w:t xml:space="preserve">Rebuttal matters </w:t>
      </w:r>
      <w:r w:rsidR="00FB7FA0">
        <w:t>can be claimed between 29 June 2022 when the provisions became law and 17 July 2023 when the government announced they would be suspended, using Mat</w:t>
      </w:r>
      <w:r>
        <w:t>ter Type combination IAXL:IDIF</w:t>
      </w:r>
      <w:r w:rsidR="00FB7FA0">
        <w:t>.</w:t>
      </w:r>
    </w:p>
    <w:p w14:paraId="588D2EB2" w14:textId="04651825" w:rsidR="0042192D" w:rsidRDefault="0042192D" w:rsidP="00233BC2">
      <w:pPr>
        <w:rPr>
          <w:rFonts w:ascii="Arial" w:hAnsi="Arial" w:cs="Arial"/>
          <w:b/>
          <w:bCs/>
          <w:szCs w:val="24"/>
        </w:rPr>
      </w:pPr>
      <w:r>
        <w:rPr>
          <w:rFonts w:ascii="Arial" w:hAnsi="Arial" w:cs="Arial"/>
          <w:b/>
          <w:bCs/>
          <w:szCs w:val="24"/>
        </w:rPr>
        <w:t>Guidance with regards to the completion of a means test for the opening of a new matter start to rebut a provisional Group 2 Refugee decision</w:t>
      </w:r>
    </w:p>
    <w:p w14:paraId="3B453D41" w14:textId="58B0C36D" w:rsidR="0042192D" w:rsidRDefault="0042192D" w:rsidP="00233BC2">
      <w:pPr>
        <w:rPr>
          <w:rFonts w:ascii="Arial" w:hAnsi="Arial" w:cs="Arial"/>
          <w:szCs w:val="24"/>
        </w:rPr>
      </w:pPr>
      <w:r>
        <w:rPr>
          <w:rFonts w:ascii="Arial" w:hAnsi="Arial" w:cs="Arial"/>
          <w:szCs w:val="24"/>
        </w:rPr>
        <w:t xml:space="preserve">Where a </w:t>
      </w:r>
      <w:r w:rsidR="000821B7">
        <w:rPr>
          <w:rFonts w:ascii="Arial" w:hAnsi="Arial" w:cs="Arial"/>
          <w:szCs w:val="24"/>
        </w:rPr>
        <w:t>c</w:t>
      </w:r>
      <w:r>
        <w:rPr>
          <w:rFonts w:ascii="Arial" w:hAnsi="Arial" w:cs="Arial"/>
          <w:szCs w:val="24"/>
        </w:rPr>
        <w:t>lient with an open asylum matter receive</w:t>
      </w:r>
      <w:r w:rsidR="00AD7782">
        <w:rPr>
          <w:rFonts w:ascii="Arial" w:hAnsi="Arial" w:cs="Arial"/>
          <w:szCs w:val="24"/>
        </w:rPr>
        <w:t>d</w:t>
      </w:r>
      <w:r>
        <w:rPr>
          <w:rFonts w:ascii="Arial" w:hAnsi="Arial" w:cs="Arial"/>
          <w:szCs w:val="24"/>
        </w:rPr>
        <w:t xml:space="preserve"> notification from the Home Office of a provisional Group 2 Refugee decision, a separate new matter to deal with the work related to the rebuttal</w:t>
      </w:r>
      <w:r w:rsidR="007C0672">
        <w:rPr>
          <w:rFonts w:ascii="Arial" w:hAnsi="Arial" w:cs="Arial"/>
          <w:szCs w:val="24"/>
        </w:rPr>
        <w:t xml:space="preserve"> can be opened</w:t>
      </w:r>
      <w:r w:rsidR="00C46CE1">
        <w:rPr>
          <w:rFonts w:ascii="Arial" w:hAnsi="Arial" w:cs="Arial"/>
          <w:szCs w:val="24"/>
        </w:rPr>
        <w:t>.</w:t>
      </w:r>
      <w:r>
        <w:rPr>
          <w:rFonts w:ascii="Arial" w:hAnsi="Arial" w:cs="Arial"/>
          <w:szCs w:val="24"/>
        </w:rPr>
        <w:t xml:space="preserve"> </w:t>
      </w:r>
      <w:r w:rsidR="000821B7">
        <w:rPr>
          <w:rFonts w:ascii="Arial" w:hAnsi="Arial" w:cs="Arial"/>
          <w:szCs w:val="24"/>
        </w:rPr>
        <w:t>However,</w:t>
      </w:r>
      <w:r>
        <w:rPr>
          <w:rFonts w:ascii="Arial" w:hAnsi="Arial" w:cs="Arial"/>
          <w:szCs w:val="24"/>
        </w:rPr>
        <w:t xml:space="preserve"> in funding terms</w:t>
      </w:r>
      <w:r w:rsidR="007C0672">
        <w:rPr>
          <w:rFonts w:ascii="Arial" w:hAnsi="Arial" w:cs="Arial"/>
          <w:szCs w:val="24"/>
        </w:rPr>
        <w:t>,</w:t>
      </w:r>
      <w:r>
        <w:rPr>
          <w:rFonts w:ascii="Arial" w:hAnsi="Arial" w:cs="Arial"/>
          <w:szCs w:val="24"/>
        </w:rPr>
        <w:t xml:space="preserve"> this will fall under the same financial determination as the main file owing to the connected nature of this work with the ongoing asylum matter, as well as the timescales set out by the Home Office for response to the provisional Group 2 decision. </w:t>
      </w:r>
      <w:r w:rsidR="007C0672">
        <w:rPr>
          <w:rFonts w:ascii="Arial" w:hAnsi="Arial" w:cs="Arial"/>
          <w:szCs w:val="24"/>
        </w:rPr>
        <w:t>A</w:t>
      </w:r>
      <w:r>
        <w:rPr>
          <w:rFonts w:ascii="Arial" w:hAnsi="Arial" w:cs="Arial"/>
          <w:szCs w:val="24"/>
        </w:rPr>
        <w:t xml:space="preserve"> copy of the relevant CW1 form and copies of the means evidence </w:t>
      </w:r>
      <w:r w:rsidR="007C0672">
        <w:rPr>
          <w:rFonts w:ascii="Arial" w:hAnsi="Arial" w:cs="Arial"/>
          <w:szCs w:val="24"/>
        </w:rPr>
        <w:t xml:space="preserve">should be </w:t>
      </w:r>
      <w:r>
        <w:rPr>
          <w:rFonts w:ascii="Arial" w:hAnsi="Arial" w:cs="Arial"/>
          <w:szCs w:val="24"/>
        </w:rPr>
        <w:t xml:space="preserve">retained on the rebuttal matter file and a note made of the UFN of the linked asylum claim. </w:t>
      </w:r>
    </w:p>
    <w:p w14:paraId="6A4BB13D" w14:textId="77777777" w:rsidR="0042192D" w:rsidRDefault="0042192D" w:rsidP="00233BC2">
      <w:pPr>
        <w:rPr>
          <w:rFonts w:ascii="Arial" w:hAnsi="Arial" w:cs="Arial"/>
          <w:b/>
          <w:bCs/>
          <w:szCs w:val="24"/>
        </w:rPr>
      </w:pPr>
      <w:r>
        <w:rPr>
          <w:rFonts w:ascii="Arial" w:hAnsi="Arial" w:cs="Arial"/>
          <w:b/>
          <w:bCs/>
          <w:szCs w:val="24"/>
        </w:rPr>
        <w:t>Change of circumstances since the original determination</w:t>
      </w:r>
    </w:p>
    <w:p w14:paraId="74DB6E10" w14:textId="04CE51E8" w:rsidR="0042192D" w:rsidRDefault="0042192D" w:rsidP="00233BC2">
      <w:pPr>
        <w:rPr>
          <w:rFonts w:ascii="Arial" w:hAnsi="Arial" w:cs="Arial"/>
          <w:szCs w:val="24"/>
        </w:rPr>
      </w:pPr>
      <w:r>
        <w:rPr>
          <w:rFonts w:ascii="Arial" w:hAnsi="Arial" w:cs="Arial"/>
          <w:szCs w:val="24"/>
        </w:rPr>
        <w:t xml:space="preserve">If the </w:t>
      </w:r>
      <w:r w:rsidR="000821B7">
        <w:rPr>
          <w:rFonts w:ascii="Arial" w:hAnsi="Arial" w:cs="Arial"/>
          <w:szCs w:val="24"/>
        </w:rPr>
        <w:t>c</w:t>
      </w:r>
      <w:r>
        <w:rPr>
          <w:rFonts w:ascii="Arial" w:hAnsi="Arial" w:cs="Arial"/>
          <w:szCs w:val="24"/>
        </w:rPr>
        <w:t xml:space="preserve">lient advised that a change in </w:t>
      </w:r>
      <w:r w:rsidR="000821B7">
        <w:rPr>
          <w:rFonts w:ascii="Arial" w:hAnsi="Arial" w:cs="Arial"/>
          <w:szCs w:val="24"/>
        </w:rPr>
        <w:t>circumstances occurred</w:t>
      </w:r>
      <w:r>
        <w:rPr>
          <w:rFonts w:ascii="Arial" w:hAnsi="Arial" w:cs="Arial"/>
          <w:szCs w:val="24"/>
        </w:rPr>
        <w:t xml:space="preserve"> since the original assessment which may affect their eligibility, apply the guidance in section 11 of the Lord Chancellor’s Guidance to determine if a reassessment is required on the open asylum matter. If a reassessment is not </w:t>
      </w:r>
      <w:r w:rsidR="00007C5C">
        <w:rPr>
          <w:rFonts w:ascii="Arial" w:hAnsi="Arial" w:cs="Arial"/>
          <w:szCs w:val="24"/>
        </w:rPr>
        <w:t>required,</w:t>
      </w:r>
      <w:r>
        <w:rPr>
          <w:rFonts w:ascii="Arial" w:hAnsi="Arial" w:cs="Arial"/>
          <w:szCs w:val="24"/>
        </w:rPr>
        <w:t xml:space="preserve"> then </w:t>
      </w:r>
      <w:r w:rsidR="00007C5C">
        <w:rPr>
          <w:rFonts w:ascii="Arial" w:hAnsi="Arial" w:cs="Arial"/>
          <w:szCs w:val="24"/>
        </w:rPr>
        <w:t>you</w:t>
      </w:r>
      <w:r>
        <w:rPr>
          <w:rFonts w:ascii="Arial" w:hAnsi="Arial" w:cs="Arial"/>
          <w:szCs w:val="24"/>
        </w:rPr>
        <w:t xml:space="preserve"> can also rely on the original assessment for the new matter start (to rebut the provisional Group 2 decision). If a further determination is required on the asylum matter, the result will also apply to the rebuttal matter.</w:t>
      </w:r>
    </w:p>
    <w:p w14:paraId="211A5426" w14:textId="6A353F90" w:rsidR="0042192D" w:rsidRDefault="0042192D" w:rsidP="00233BC2">
      <w:pPr>
        <w:rPr>
          <w:rFonts w:ascii="Arial" w:hAnsi="Arial" w:cs="Arial"/>
          <w:szCs w:val="24"/>
        </w:rPr>
      </w:pPr>
      <w:r>
        <w:rPr>
          <w:rFonts w:ascii="Arial" w:hAnsi="Arial" w:cs="Arial"/>
          <w:szCs w:val="24"/>
        </w:rPr>
        <w:t xml:space="preserve">The above guidance will also apply should a </w:t>
      </w:r>
      <w:r w:rsidR="000821B7">
        <w:rPr>
          <w:rFonts w:ascii="Arial" w:hAnsi="Arial" w:cs="Arial"/>
          <w:szCs w:val="24"/>
        </w:rPr>
        <w:t>c</w:t>
      </w:r>
      <w:r>
        <w:rPr>
          <w:rFonts w:ascii="Arial" w:hAnsi="Arial" w:cs="Arial"/>
          <w:szCs w:val="24"/>
        </w:rPr>
        <w:t xml:space="preserve">lient be transferred from another </w:t>
      </w:r>
      <w:r w:rsidR="000821B7">
        <w:rPr>
          <w:rFonts w:ascii="Arial" w:hAnsi="Arial" w:cs="Arial"/>
          <w:szCs w:val="24"/>
        </w:rPr>
        <w:t>provider,</w:t>
      </w:r>
      <w:r>
        <w:rPr>
          <w:rFonts w:ascii="Arial" w:hAnsi="Arial" w:cs="Arial"/>
          <w:szCs w:val="24"/>
        </w:rPr>
        <w:t xml:space="preserve"> and they then receive the Home Office notification letter. </w:t>
      </w:r>
    </w:p>
    <w:p w14:paraId="4996113C" w14:textId="651A3427" w:rsidR="0042192D" w:rsidRDefault="0042192D" w:rsidP="00233BC2">
      <w:pPr>
        <w:rPr>
          <w:rFonts w:ascii="Arial" w:hAnsi="Arial" w:cs="Arial"/>
          <w:b/>
          <w:bCs/>
          <w:szCs w:val="24"/>
        </w:rPr>
      </w:pPr>
      <w:r>
        <w:rPr>
          <w:rFonts w:ascii="Arial" w:hAnsi="Arial" w:cs="Arial"/>
          <w:b/>
          <w:bCs/>
          <w:szCs w:val="24"/>
        </w:rPr>
        <w:t>New client with no ongoing asylum claim</w:t>
      </w:r>
    </w:p>
    <w:p w14:paraId="3965EBBB" w14:textId="6633F054" w:rsidR="0042192D" w:rsidRPr="0042192D" w:rsidRDefault="0042192D" w:rsidP="00233BC2">
      <w:pPr>
        <w:rPr>
          <w:rFonts w:ascii="Arial" w:hAnsi="Arial" w:cs="Arial"/>
          <w:szCs w:val="24"/>
        </w:rPr>
      </w:pPr>
      <w:r>
        <w:rPr>
          <w:rFonts w:ascii="Arial" w:hAnsi="Arial" w:cs="Arial"/>
          <w:szCs w:val="24"/>
        </w:rPr>
        <w:t xml:space="preserve">If a new </w:t>
      </w:r>
      <w:r w:rsidR="000821B7">
        <w:rPr>
          <w:rFonts w:ascii="Arial" w:hAnsi="Arial" w:cs="Arial"/>
          <w:szCs w:val="24"/>
        </w:rPr>
        <w:t>c</w:t>
      </w:r>
      <w:r>
        <w:rPr>
          <w:rFonts w:ascii="Arial" w:hAnsi="Arial" w:cs="Arial"/>
          <w:szCs w:val="24"/>
        </w:rPr>
        <w:t xml:space="preserve">lient, with no ongoing asylum claim, present themselves at the point that the rebuttal letter is received then a financial determination must be carried out, with the requisite evidence of means in line with the Lord Chancellor’s guidance. As is the case beyond these matters, should the </w:t>
      </w:r>
      <w:r w:rsidR="000821B7">
        <w:rPr>
          <w:rFonts w:ascii="Arial" w:hAnsi="Arial" w:cs="Arial"/>
          <w:szCs w:val="24"/>
        </w:rPr>
        <w:t>c</w:t>
      </w:r>
      <w:r>
        <w:rPr>
          <w:rFonts w:ascii="Arial" w:hAnsi="Arial" w:cs="Arial"/>
          <w:szCs w:val="24"/>
        </w:rPr>
        <w:t xml:space="preserve">lient present themselves with an S.95 letter more than 6 months old, this can be used alongside more recent evidence of a payment received within the calculation period in order to complete the means test.  </w:t>
      </w:r>
    </w:p>
    <w:p w14:paraId="15E5E14B" w14:textId="681AB17F" w:rsidR="00EB717D" w:rsidRPr="00EB717D" w:rsidRDefault="00EB717D" w:rsidP="00233BC2">
      <w:pPr>
        <w:pStyle w:val="BodyText"/>
        <w:rPr>
          <w:b/>
          <w:bCs/>
        </w:rPr>
      </w:pPr>
      <w:r w:rsidRPr="00EB717D">
        <w:rPr>
          <w:b/>
          <w:bCs/>
        </w:rPr>
        <w:t xml:space="preserve">Home Office </w:t>
      </w:r>
      <w:r>
        <w:rPr>
          <w:b/>
          <w:bCs/>
        </w:rPr>
        <w:t>information</w:t>
      </w:r>
    </w:p>
    <w:p w14:paraId="68A71884" w14:textId="6DF61DE6" w:rsidR="000C3AE1" w:rsidRDefault="00E846CD" w:rsidP="00233BC2">
      <w:pPr>
        <w:pStyle w:val="BodyText"/>
      </w:pPr>
      <w:r>
        <w:t xml:space="preserve">For further detailed information this is the link to the Home Office </w:t>
      </w:r>
      <w:r w:rsidR="008C2535">
        <w:t>guide to Differentiation:</w:t>
      </w:r>
    </w:p>
    <w:p w14:paraId="1F768434" w14:textId="10C6D0AA" w:rsidR="00366836" w:rsidRPr="00C2135C" w:rsidRDefault="00541CC7" w:rsidP="00233BC2">
      <w:pPr>
        <w:pStyle w:val="BodyText"/>
        <w:rPr>
          <w:rFonts w:cstheme="minorHAnsi"/>
          <w:color w:val="000000"/>
          <w:szCs w:val="24"/>
          <w:shd w:val="clear" w:color="auto" w:fill="FFFFFF"/>
        </w:rPr>
      </w:pPr>
      <w:hyperlink r:id="rId10" w:tgtFrame="_blank" w:history="1">
        <w:r w:rsidR="008C2535" w:rsidRPr="008C2535">
          <w:rPr>
            <w:rStyle w:val="normaltextrun"/>
            <w:rFonts w:cstheme="minorHAnsi"/>
            <w:color w:val="0563C1"/>
            <w:szCs w:val="24"/>
            <w:u w:val="single"/>
            <w:shd w:val="clear" w:color="auto" w:fill="FFFFFF"/>
          </w:rPr>
          <w:t>Assessing credibility and refugee status post 28 June 2022 (publishing.service.gov.uk)</w:t>
        </w:r>
      </w:hyperlink>
      <w:r w:rsidR="008C2535" w:rsidRPr="008C2535">
        <w:rPr>
          <w:rStyle w:val="eop"/>
          <w:rFonts w:cstheme="minorHAnsi"/>
          <w:color w:val="000000"/>
          <w:szCs w:val="24"/>
          <w:shd w:val="clear" w:color="auto" w:fill="FFFFFF"/>
        </w:rPr>
        <w:t> </w:t>
      </w:r>
    </w:p>
    <w:p w14:paraId="6FB896CD" w14:textId="592FE928" w:rsidR="00233BC2" w:rsidRDefault="00366836" w:rsidP="00233BC2">
      <w:pPr>
        <w:pStyle w:val="BodyText"/>
        <w:rPr>
          <w:b/>
          <w:bCs/>
          <w:i/>
          <w:iCs/>
        </w:rPr>
      </w:pPr>
      <w:r w:rsidRPr="00E62B4B">
        <w:rPr>
          <w:b/>
          <w:bCs/>
          <w:i/>
          <w:iCs/>
        </w:rPr>
        <w:t xml:space="preserve">See </w:t>
      </w:r>
      <w:r w:rsidR="00A33E67">
        <w:rPr>
          <w:b/>
          <w:bCs/>
          <w:i/>
          <w:iCs/>
        </w:rPr>
        <w:t xml:space="preserve">2024 </w:t>
      </w:r>
      <w:r w:rsidRPr="00E62B4B">
        <w:rPr>
          <w:b/>
          <w:bCs/>
          <w:i/>
          <w:iCs/>
        </w:rPr>
        <w:t xml:space="preserve">Contract Specification </w:t>
      </w:r>
      <w:r w:rsidR="00CA67CA" w:rsidRPr="00E62B4B">
        <w:rPr>
          <w:b/>
          <w:bCs/>
          <w:i/>
          <w:iCs/>
        </w:rPr>
        <w:t>8.2</w:t>
      </w:r>
      <w:r w:rsidR="00940C3E" w:rsidRPr="00E62B4B">
        <w:rPr>
          <w:b/>
          <w:bCs/>
          <w:i/>
          <w:iCs/>
        </w:rPr>
        <w:t>7</w:t>
      </w:r>
      <w:r w:rsidR="00BD4041" w:rsidRPr="00E62B4B">
        <w:rPr>
          <w:b/>
          <w:bCs/>
          <w:i/>
          <w:iCs/>
        </w:rPr>
        <w:t xml:space="preserve"> &amp; 8.</w:t>
      </w:r>
      <w:r w:rsidR="00940C3E" w:rsidRPr="00E62B4B">
        <w:rPr>
          <w:b/>
          <w:bCs/>
          <w:i/>
          <w:iCs/>
        </w:rPr>
        <w:t>101</w:t>
      </w:r>
      <w:r w:rsidR="00BD4041" w:rsidRPr="00E62B4B">
        <w:rPr>
          <w:b/>
          <w:bCs/>
          <w:i/>
          <w:iCs/>
        </w:rPr>
        <w:t>(q)</w:t>
      </w:r>
    </w:p>
    <w:p w14:paraId="5F2706A0" w14:textId="77777777" w:rsidR="00233BC2" w:rsidRPr="00E62B4B" w:rsidRDefault="00233BC2" w:rsidP="00233BC2">
      <w:pPr>
        <w:pStyle w:val="BodyText"/>
        <w:rPr>
          <w:b/>
          <w:bCs/>
          <w:i/>
          <w:iCs/>
        </w:rPr>
      </w:pPr>
    </w:p>
    <w:p w14:paraId="18E4D0ED" w14:textId="6251FC67" w:rsidR="0016357E" w:rsidRPr="00157194" w:rsidRDefault="0016357E" w:rsidP="00233BC2">
      <w:pPr>
        <w:pStyle w:val="Heading1"/>
        <w:rPr>
          <w:sz w:val="32"/>
        </w:rPr>
      </w:pPr>
      <w:r>
        <w:rPr>
          <w:sz w:val="32"/>
        </w:rPr>
        <w:t>Controlled Legal Representation, (CLR) and associated Legal Help</w:t>
      </w:r>
    </w:p>
    <w:p w14:paraId="0B9805DD" w14:textId="455449B1" w:rsidR="0016357E" w:rsidRDefault="0016357E" w:rsidP="00233BC2">
      <w:pPr>
        <w:pStyle w:val="BodyText"/>
      </w:pPr>
      <w:bookmarkStart w:id="0" w:name="_Hlk138668583"/>
      <w:r>
        <w:t>All CLR cases from 1</w:t>
      </w:r>
      <w:r w:rsidR="000821B7">
        <w:rPr>
          <w:vertAlign w:val="superscript"/>
        </w:rPr>
        <w:t xml:space="preserve"> </w:t>
      </w:r>
      <w:r>
        <w:t xml:space="preserve">April 2023 will be claimed under one of two new Standard Fee Scheme rates, replacing the Interim Online Appeals Hourly Rate. </w:t>
      </w:r>
    </w:p>
    <w:p w14:paraId="6225AA67" w14:textId="77777777" w:rsidR="0016357E" w:rsidRDefault="0016357E" w:rsidP="00233BC2">
      <w:pPr>
        <w:pStyle w:val="BodyText"/>
      </w:pPr>
      <w:bookmarkStart w:id="1" w:name="_Hlk138668632"/>
      <w:bookmarkEnd w:id="0"/>
      <w:r>
        <w:t>The Standard Fees are:</w:t>
      </w:r>
    </w:p>
    <w:p w14:paraId="5A071752" w14:textId="77777777" w:rsidR="0016357E" w:rsidRDefault="0016357E" w:rsidP="00233BC2">
      <w:pPr>
        <w:pStyle w:val="BodyText"/>
        <w:spacing w:after="0" w:line="240" w:lineRule="auto"/>
      </w:pPr>
      <w:r>
        <w:t>2(d) – where there has been no substantive hearing</w:t>
      </w:r>
    </w:p>
    <w:p w14:paraId="5D167FD3" w14:textId="4309FDD8" w:rsidR="0016357E" w:rsidRDefault="0016357E" w:rsidP="00233BC2">
      <w:pPr>
        <w:pStyle w:val="BodyText"/>
        <w:spacing w:after="0" w:line="240" w:lineRule="auto"/>
      </w:pPr>
      <w:r>
        <w:t>2(e) – where a substantive hearing has taken place</w:t>
      </w:r>
    </w:p>
    <w:p w14:paraId="715C22A7" w14:textId="77777777" w:rsidR="0016357E" w:rsidRDefault="0016357E" w:rsidP="00233BC2">
      <w:pPr>
        <w:pStyle w:val="BodyText"/>
        <w:spacing w:after="0" w:line="240" w:lineRule="auto"/>
      </w:pPr>
    </w:p>
    <w:bookmarkEnd w:id="1"/>
    <w:p w14:paraId="4332B617" w14:textId="02CD3088" w:rsidR="0016357E" w:rsidRDefault="0016357E" w:rsidP="00233BC2">
      <w:pPr>
        <w:pStyle w:val="BodyText"/>
        <w:spacing w:after="0" w:line="240" w:lineRule="auto"/>
      </w:pPr>
      <w:r>
        <w:t xml:space="preserve">The Escape Fee Threshold reduced from 3x the Standard Fee to 2x the Standard Fee. </w:t>
      </w:r>
      <w:bookmarkStart w:id="2" w:name="_Hlk138668680"/>
      <w:r>
        <w:t>CWA has been automated to calculate the correct escape fee rate depending upon the grant date that has been entered (3x SF prior to 1 April, 2x SF from 1 April onwards.)</w:t>
      </w:r>
    </w:p>
    <w:bookmarkEnd w:id="2"/>
    <w:p w14:paraId="0B80748A" w14:textId="77777777" w:rsidR="0016357E" w:rsidRDefault="0016357E" w:rsidP="00233BC2">
      <w:pPr>
        <w:pStyle w:val="BodyText"/>
        <w:spacing w:after="0" w:line="240" w:lineRule="auto"/>
      </w:pPr>
    </w:p>
    <w:p w14:paraId="5A037FFD" w14:textId="7067AB1C" w:rsidR="0016357E" w:rsidRDefault="0016357E" w:rsidP="00233BC2">
      <w:pPr>
        <w:pStyle w:val="BodyText"/>
        <w:spacing w:after="0" w:line="240" w:lineRule="auto"/>
      </w:pPr>
      <w:bookmarkStart w:id="3" w:name="_Hlk138668411"/>
      <w:r>
        <w:t>CLR Stage and its associated Legal Help Stage will constitute 2 separate matters where EITHER is granted on or after 1 April. The escape fee threshold will therefore be calculated separately for each claim at 2x the Standard Fee so either claim could escape separately, or both could escape.</w:t>
      </w:r>
    </w:p>
    <w:bookmarkEnd w:id="3"/>
    <w:p w14:paraId="5351ED0B" w14:textId="77777777" w:rsidR="0016357E" w:rsidRDefault="0016357E" w:rsidP="00233BC2">
      <w:pPr>
        <w:pStyle w:val="BodyText"/>
        <w:spacing w:after="0" w:line="240" w:lineRule="auto"/>
      </w:pPr>
    </w:p>
    <w:p w14:paraId="2B20CE9B" w14:textId="77777777" w:rsidR="00EC127C" w:rsidRDefault="0016357E" w:rsidP="00233BC2">
      <w:pPr>
        <w:pStyle w:val="BodyText"/>
        <w:spacing w:after="0" w:line="240" w:lineRule="auto"/>
      </w:pPr>
      <w:bookmarkStart w:id="4" w:name="_Hlk138668540"/>
      <w:r>
        <w:t>CLR cases will be claimed using one of 4 Matter Type1 Codes</w:t>
      </w:r>
      <w:r w:rsidR="00EC127C">
        <w:t>:</w:t>
      </w:r>
    </w:p>
    <w:p w14:paraId="75260BB4" w14:textId="394F44B3" w:rsidR="00EC127C" w:rsidRDefault="00EC127C" w:rsidP="00233BC2">
      <w:pPr>
        <w:pStyle w:val="BodyText"/>
        <w:spacing w:after="0" w:line="240" w:lineRule="auto"/>
      </w:pPr>
    </w:p>
    <w:p w14:paraId="1DA89675" w14:textId="77777777" w:rsidR="000858B5" w:rsidRDefault="000858B5" w:rsidP="00233BC2">
      <w:pPr>
        <w:pStyle w:val="BodyText"/>
        <w:spacing w:after="0" w:line="240" w:lineRule="auto"/>
      </w:pPr>
      <w:r>
        <w:t>Asylum</w:t>
      </w:r>
    </w:p>
    <w:p w14:paraId="58C8083A" w14:textId="291E74F3" w:rsidR="000858B5" w:rsidRDefault="0016357E" w:rsidP="00233BC2">
      <w:pPr>
        <w:pStyle w:val="BodyText"/>
        <w:spacing w:after="0" w:line="240" w:lineRule="auto"/>
      </w:pPr>
      <w:r>
        <w:t>IACE</w:t>
      </w:r>
      <w:r w:rsidR="000821B7">
        <w:t xml:space="preserve">: </w:t>
      </w:r>
      <w:r w:rsidR="000858B5">
        <w:t>no substantive hearing</w:t>
      </w:r>
    </w:p>
    <w:p w14:paraId="09FA9175" w14:textId="5F96811A" w:rsidR="001054F4" w:rsidRDefault="0016357E" w:rsidP="00233BC2">
      <w:pPr>
        <w:pStyle w:val="BodyText"/>
        <w:spacing w:after="0" w:line="240" w:lineRule="auto"/>
      </w:pPr>
      <w:r>
        <w:t>IACF</w:t>
      </w:r>
      <w:r w:rsidR="000821B7">
        <w:t xml:space="preserve">: </w:t>
      </w:r>
      <w:r w:rsidR="001054F4">
        <w:t>substantive hearing</w:t>
      </w:r>
    </w:p>
    <w:p w14:paraId="34905289" w14:textId="77777777" w:rsidR="001054F4" w:rsidRDefault="001054F4" w:rsidP="00233BC2">
      <w:pPr>
        <w:pStyle w:val="BodyText"/>
        <w:spacing w:after="0" w:line="240" w:lineRule="auto"/>
      </w:pPr>
    </w:p>
    <w:p w14:paraId="0A8CE7DF" w14:textId="39CA4789" w:rsidR="00EC127C" w:rsidRDefault="001054F4" w:rsidP="00233BC2">
      <w:pPr>
        <w:pStyle w:val="BodyText"/>
        <w:spacing w:after="0" w:line="240" w:lineRule="auto"/>
      </w:pPr>
      <w:r>
        <w:t>Immigration</w:t>
      </w:r>
      <w:r w:rsidR="0016357E">
        <w:t xml:space="preserve"> </w:t>
      </w:r>
    </w:p>
    <w:p w14:paraId="320CE66C" w14:textId="42809323" w:rsidR="007C3799" w:rsidRDefault="0016357E" w:rsidP="00233BC2">
      <w:pPr>
        <w:pStyle w:val="BodyText"/>
        <w:spacing w:after="0" w:line="240" w:lineRule="auto"/>
      </w:pPr>
      <w:r>
        <w:t>IMCE</w:t>
      </w:r>
      <w:r w:rsidR="000821B7">
        <w:t xml:space="preserve">: </w:t>
      </w:r>
      <w:r w:rsidR="001054F4">
        <w:t xml:space="preserve">no </w:t>
      </w:r>
      <w:r w:rsidR="007C3799">
        <w:t>substantive hearing</w:t>
      </w:r>
    </w:p>
    <w:p w14:paraId="300DBCDF" w14:textId="401D7749" w:rsidR="00EC127C" w:rsidRDefault="0016357E" w:rsidP="00233BC2">
      <w:pPr>
        <w:pStyle w:val="BodyText"/>
        <w:spacing w:after="0" w:line="240" w:lineRule="auto"/>
      </w:pPr>
      <w:r>
        <w:t>IMCF</w:t>
      </w:r>
      <w:r w:rsidR="000821B7">
        <w:t xml:space="preserve">: </w:t>
      </w:r>
      <w:r w:rsidR="007C3799">
        <w:t>substantive hearing</w:t>
      </w:r>
      <w:r>
        <w:t xml:space="preserve"> </w:t>
      </w:r>
    </w:p>
    <w:p w14:paraId="4522CC68" w14:textId="77777777" w:rsidR="00EC127C" w:rsidRDefault="00EC127C" w:rsidP="00233BC2">
      <w:pPr>
        <w:pStyle w:val="BodyText"/>
        <w:spacing w:after="0" w:line="240" w:lineRule="auto"/>
      </w:pPr>
    </w:p>
    <w:p w14:paraId="08FF9A90" w14:textId="40EC526C" w:rsidR="0016357E" w:rsidRDefault="0016357E" w:rsidP="00233BC2">
      <w:pPr>
        <w:pStyle w:val="BodyText"/>
        <w:spacing w:after="0" w:line="240" w:lineRule="auto"/>
      </w:pPr>
      <w:r>
        <w:t xml:space="preserve">with the appropriate Matter Type2 Code. </w:t>
      </w:r>
    </w:p>
    <w:p w14:paraId="50D93870" w14:textId="77777777" w:rsidR="0016357E" w:rsidRDefault="0016357E" w:rsidP="00233BC2">
      <w:pPr>
        <w:pStyle w:val="BodyText"/>
        <w:spacing w:after="0" w:line="240" w:lineRule="auto"/>
      </w:pPr>
    </w:p>
    <w:p w14:paraId="38570E62" w14:textId="6EA44DB5" w:rsidR="0016357E" w:rsidRDefault="0016357E" w:rsidP="00233BC2">
      <w:pPr>
        <w:pStyle w:val="BodyText"/>
        <w:spacing w:after="0" w:line="240" w:lineRule="auto"/>
      </w:pPr>
      <w:r>
        <w:t xml:space="preserve">The Associated Legal Help claim </w:t>
      </w:r>
      <w:r w:rsidRPr="00CC24CA">
        <w:rPr>
          <w:b/>
          <w:bCs/>
        </w:rPr>
        <w:t>must</w:t>
      </w:r>
      <w:r>
        <w:t xml:space="preserve"> be submitted as a Completed Claim using the Outcome Code IE and can be claimed as soon as this level of work has concluded, irrespective of whether the CLR work has concluded. </w:t>
      </w:r>
    </w:p>
    <w:p w14:paraId="3045F8D0" w14:textId="39C8F8D3" w:rsidR="0016357E" w:rsidRDefault="0016357E" w:rsidP="00233BC2">
      <w:pPr>
        <w:pStyle w:val="BodyText"/>
        <w:spacing w:after="0" w:line="240" w:lineRule="auto"/>
      </w:pPr>
    </w:p>
    <w:p w14:paraId="6DFE8BB2" w14:textId="258B9863" w:rsidR="0016357E" w:rsidRPr="009D3F35" w:rsidRDefault="0016357E" w:rsidP="00233BC2">
      <w:pPr>
        <w:pStyle w:val="BodyText"/>
        <w:spacing w:after="0" w:line="240" w:lineRule="auto"/>
        <w:rPr>
          <w:b/>
          <w:bCs/>
        </w:rPr>
      </w:pPr>
      <w:r w:rsidRPr="009D3F35">
        <w:rPr>
          <w:b/>
          <w:bCs/>
        </w:rPr>
        <w:t>For more detail on CLR and LH changes see Keycard 4</w:t>
      </w:r>
    </w:p>
    <w:bookmarkEnd w:id="4"/>
    <w:p w14:paraId="7ECF9C71" w14:textId="77777777" w:rsidR="0016357E" w:rsidRDefault="0016357E" w:rsidP="00233BC2">
      <w:pPr>
        <w:pStyle w:val="BodyText"/>
        <w:spacing w:after="0" w:line="240" w:lineRule="auto"/>
      </w:pPr>
    </w:p>
    <w:p w14:paraId="7DB188E4" w14:textId="22B0EA08" w:rsidR="0016357E" w:rsidRPr="00E62B4B" w:rsidRDefault="0016357E" w:rsidP="00233BC2">
      <w:pPr>
        <w:pStyle w:val="BodyText"/>
        <w:rPr>
          <w:b/>
          <w:bCs/>
          <w:i/>
          <w:iCs/>
        </w:rPr>
      </w:pPr>
      <w:r w:rsidRPr="00E62B4B">
        <w:rPr>
          <w:b/>
          <w:bCs/>
          <w:i/>
          <w:iCs/>
        </w:rPr>
        <w:t xml:space="preserve">See </w:t>
      </w:r>
      <w:r w:rsidR="00DC0797">
        <w:rPr>
          <w:b/>
          <w:bCs/>
          <w:i/>
          <w:iCs/>
        </w:rPr>
        <w:t xml:space="preserve">2024 </w:t>
      </w:r>
      <w:r w:rsidRPr="00E62B4B">
        <w:rPr>
          <w:b/>
          <w:bCs/>
          <w:i/>
          <w:iCs/>
        </w:rPr>
        <w:t xml:space="preserve">Contract Specification Para’s 8.25, 8.32, 8.72, 8.86 and 8.94-8.100. </w:t>
      </w:r>
    </w:p>
    <w:p w14:paraId="06A6C7F9" w14:textId="77777777" w:rsidR="0016357E" w:rsidRPr="000F13D9" w:rsidRDefault="0016357E" w:rsidP="00233BC2">
      <w:pPr>
        <w:pStyle w:val="Heading1"/>
        <w:rPr>
          <w:sz w:val="32"/>
        </w:rPr>
      </w:pPr>
      <w:r>
        <w:rPr>
          <w:sz w:val="32"/>
        </w:rPr>
        <w:t>Summary of new work types</w:t>
      </w:r>
    </w:p>
    <w:tbl>
      <w:tblPr>
        <w:tblStyle w:val="TableGrid"/>
        <w:tblW w:w="14596" w:type="dxa"/>
        <w:tblLook w:val="04A0" w:firstRow="1" w:lastRow="0" w:firstColumn="1" w:lastColumn="0" w:noHBand="0" w:noVBand="1"/>
      </w:tblPr>
      <w:tblGrid>
        <w:gridCol w:w="1762"/>
        <w:gridCol w:w="12834"/>
      </w:tblGrid>
      <w:tr w:rsidR="0016357E" w14:paraId="369A7030" w14:textId="77777777" w:rsidTr="008143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Align w:val="center"/>
          </w:tcPr>
          <w:p w14:paraId="47525813" w14:textId="77777777" w:rsidR="0016357E" w:rsidRDefault="0016357E" w:rsidP="00233BC2">
            <w:r>
              <w:t>New in scope work</w:t>
            </w:r>
          </w:p>
        </w:tc>
        <w:tc>
          <w:tcPr>
            <w:tcW w:w="12683" w:type="dxa"/>
            <w:vAlign w:val="center"/>
          </w:tcPr>
          <w:p w14:paraId="3D09A8B8" w14:textId="77777777" w:rsidR="0016357E" w:rsidRDefault="0016357E" w:rsidP="00233BC2">
            <w:pPr>
              <w:cnfStyle w:val="100000000000" w:firstRow="1" w:lastRow="0" w:firstColumn="0" w:lastColumn="0" w:oddVBand="0" w:evenVBand="0" w:oddHBand="0" w:evenHBand="0" w:firstRowFirstColumn="0" w:firstRowLastColumn="0" w:lastRowFirstColumn="0" w:lastRowLastColumn="0"/>
            </w:pPr>
            <w:r>
              <w:t>How is it claimed?</w:t>
            </w:r>
          </w:p>
        </w:tc>
      </w:tr>
      <w:tr w:rsidR="0016357E" w14:paraId="2CB46EDB" w14:textId="77777777" w:rsidTr="0081431B">
        <w:tc>
          <w:tcPr>
            <w:cnfStyle w:val="001000000000" w:firstRow="0" w:lastRow="0" w:firstColumn="1" w:lastColumn="0" w:oddVBand="0" w:evenVBand="0" w:oddHBand="0" w:evenHBand="0" w:firstRowFirstColumn="0" w:firstRowLastColumn="0" w:lastRowFirstColumn="0" w:lastRowLastColumn="0"/>
            <w:tcW w:w="0" w:type="dxa"/>
          </w:tcPr>
          <w:p w14:paraId="5DCEB701" w14:textId="77777777" w:rsidR="0016357E" w:rsidRDefault="0016357E" w:rsidP="00233BC2">
            <w:r>
              <w:t xml:space="preserve">NRM </w:t>
            </w:r>
          </w:p>
        </w:tc>
        <w:tc>
          <w:tcPr>
            <w:tcW w:w="12683" w:type="dxa"/>
          </w:tcPr>
          <w:p w14:paraId="61DA1E7C" w14:textId="2C9F1F7B" w:rsidR="0016357E" w:rsidRDefault="00D65D2E" w:rsidP="00233BC2">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4"/>
                <w:lang w:eastAsia="en-GB"/>
              </w:rPr>
            </w:pPr>
            <w:r>
              <w:rPr>
                <w:rFonts w:ascii="Arial" w:eastAsia="Times New Roman" w:hAnsi="Arial" w:cs="Arial"/>
                <w:color w:val="000000"/>
                <w:szCs w:val="24"/>
                <w:lang w:eastAsia="en-GB"/>
              </w:rPr>
              <w:t>B</w:t>
            </w:r>
            <w:r w:rsidR="00CD75AF" w:rsidRPr="00EF3452">
              <w:rPr>
                <w:rFonts w:ascii="Arial" w:eastAsia="Times New Roman" w:hAnsi="Arial" w:cs="Arial"/>
                <w:color w:val="000000"/>
                <w:szCs w:val="24"/>
                <w:lang w:eastAsia="en-GB"/>
              </w:rPr>
              <w:t>etween 1</w:t>
            </w:r>
            <w:r w:rsidR="00CD75AF">
              <w:rPr>
                <w:rFonts w:ascii="Arial" w:eastAsia="Times New Roman" w:hAnsi="Arial" w:cs="Arial"/>
                <w:color w:val="000000"/>
                <w:szCs w:val="24"/>
                <w:lang w:eastAsia="en-GB"/>
              </w:rPr>
              <w:t>st</w:t>
            </w:r>
            <w:r w:rsidR="00CD75AF" w:rsidRPr="00EF3452">
              <w:rPr>
                <w:rFonts w:ascii="Arial" w:eastAsia="Times New Roman" w:hAnsi="Arial" w:cs="Arial"/>
                <w:color w:val="000000"/>
                <w:szCs w:val="24"/>
                <w:lang w:eastAsia="en-GB"/>
              </w:rPr>
              <w:t xml:space="preserve"> April </w:t>
            </w:r>
            <w:r w:rsidR="00CD75AF">
              <w:rPr>
                <w:rFonts w:ascii="Arial" w:eastAsia="Times New Roman" w:hAnsi="Arial" w:cs="Arial"/>
                <w:color w:val="000000"/>
                <w:szCs w:val="24"/>
                <w:lang w:eastAsia="en-GB"/>
              </w:rPr>
              <w:t xml:space="preserve">2023 </w:t>
            </w:r>
            <w:r w:rsidR="00CD75AF" w:rsidRPr="00EF3452">
              <w:rPr>
                <w:rFonts w:ascii="Arial" w:eastAsia="Times New Roman" w:hAnsi="Arial" w:cs="Arial"/>
                <w:color w:val="000000"/>
                <w:szCs w:val="24"/>
                <w:lang w:eastAsia="en-GB"/>
              </w:rPr>
              <w:t xml:space="preserve">and the date </w:t>
            </w:r>
            <w:r w:rsidR="000B1CC9">
              <w:rPr>
                <w:rFonts w:ascii="Arial" w:eastAsia="Times New Roman" w:hAnsi="Arial" w:cs="Arial"/>
                <w:color w:val="000000"/>
                <w:szCs w:val="24"/>
                <w:lang w:eastAsia="en-GB"/>
              </w:rPr>
              <w:t>we</w:t>
            </w:r>
            <w:r w:rsidR="004012CC">
              <w:rPr>
                <w:rFonts w:ascii="Arial" w:eastAsia="Times New Roman" w:hAnsi="Arial" w:cs="Arial"/>
                <w:color w:val="000000"/>
                <w:szCs w:val="24"/>
                <w:lang w:eastAsia="en-GB"/>
              </w:rPr>
              <w:t xml:space="preserve"> sent written confirmation that NRM advice work is not claimable applications may be submitted for an ex-gratia payment.</w:t>
            </w:r>
            <w:r w:rsidR="00CD75AF" w:rsidRPr="00EF3452">
              <w:rPr>
                <w:rFonts w:ascii="Arial" w:eastAsia="Times New Roman" w:hAnsi="Arial" w:cs="Arial"/>
                <w:color w:val="000000"/>
                <w:szCs w:val="24"/>
                <w:lang w:eastAsia="en-GB"/>
              </w:rPr>
              <w:t xml:space="preserve"> Full details of the procedure can be found at </w:t>
            </w:r>
            <w:hyperlink r:id="rId11" w:tgtFrame="_blank" w:history="1">
              <w:r w:rsidR="00CD75AF" w:rsidRPr="00EF3452">
                <w:rPr>
                  <w:rFonts w:ascii="Arial" w:eastAsia="Times New Roman" w:hAnsi="Arial" w:cs="Arial"/>
                  <w:color w:val="0563C1"/>
                  <w:szCs w:val="24"/>
                  <w:u w:val="single"/>
                  <w:lang w:eastAsia="en-GB"/>
                </w:rPr>
                <w:t>Complaints procedure - Legal Aid Agency - GOV.UK (www.gov.uk)</w:t>
              </w:r>
            </w:hyperlink>
            <w:r w:rsidR="00CD75AF" w:rsidRPr="00EF3452">
              <w:rPr>
                <w:rFonts w:ascii="Arial" w:eastAsia="Times New Roman" w:hAnsi="Arial" w:cs="Arial"/>
                <w:color w:val="000000"/>
                <w:szCs w:val="24"/>
                <w:lang w:eastAsia="en-GB"/>
              </w:rPr>
              <w:t> </w:t>
            </w:r>
          </w:p>
          <w:p w14:paraId="5E4F8BD6" w14:textId="60C788DB" w:rsidR="0081431B" w:rsidRPr="0081431B" w:rsidRDefault="0081431B" w:rsidP="00233BC2">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r>
      <w:tr w:rsidR="0016357E" w14:paraId="39C49412" w14:textId="77777777" w:rsidTr="0081431B">
        <w:tc>
          <w:tcPr>
            <w:cnfStyle w:val="001000000000" w:firstRow="0" w:lastRow="0" w:firstColumn="1" w:lastColumn="0" w:oddVBand="0" w:evenVBand="0" w:oddHBand="0" w:evenHBand="0" w:firstRowFirstColumn="0" w:firstRowLastColumn="0" w:lastRowFirstColumn="0" w:lastRowLastColumn="0"/>
            <w:tcW w:w="0" w:type="dxa"/>
          </w:tcPr>
          <w:p w14:paraId="210D806E" w14:textId="77777777" w:rsidR="0016357E" w:rsidRDefault="0016357E" w:rsidP="00233BC2">
            <w:r>
              <w:t>PRN</w:t>
            </w:r>
          </w:p>
        </w:tc>
        <w:tc>
          <w:tcPr>
            <w:tcW w:w="12683" w:type="dxa"/>
          </w:tcPr>
          <w:p w14:paraId="1E04D0A2" w14:textId="77777777" w:rsidR="0016357E" w:rsidRDefault="0016357E" w:rsidP="00233BC2">
            <w:pPr>
              <w:cnfStyle w:val="000000000000" w:firstRow="0" w:lastRow="0" w:firstColumn="0" w:lastColumn="0" w:oddVBand="0" w:evenVBand="0" w:oddHBand="0" w:evenHBand="0" w:firstRowFirstColumn="0" w:firstRowLastColumn="0" w:lastRowFirstColumn="0" w:lastRowLastColumn="0"/>
            </w:pPr>
            <w:r>
              <w:t>Hourly rates up to 7 hours. Claimed as a separate LH Matter Start using the codes: IAXL:IPRN</w:t>
            </w:r>
          </w:p>
        </w:tc>
      </w:tr>
      <w:tr w:rsidR="0016357E" w14:paraId="2312499A" w14:textId="77777777" w:rsidTr="0081431B">
        <w:tc>
          <w:tcPr>
            <w:cnfStyle w:val="001000000000" w:firstRow="0" w:lastRow="0" w:firstColumn="1" w:lastColumn="0" w:oddVBand="0" w:evenVBand="0" w:oddHBand="0" w:evenHBand="0" w:firstRowFirstColumn="0" w:firstRowLastColumn="0" w:lastRowFirstColumn="0" w:lastRowLastColumn="0"/>
            <w:tcW w:w="0" w:type="dxa"/>
          </w:tcPr>
          <w:p w14:paraId="45713960" w14:textId="77777777" w:rsidR="0016357E" w:rsidRDefault="0016357E" w:rsidP="00233BC2">
            <w:r>
              <w:t>PRN (follow on work)</w:t>
            </w:r>
          </w:p>
        </w:tc>
        <w:tc>
          <w:tcPr>
            <w:tcW w:w="12683" w:type="dxa"/>
          </w:tcPr>
          <w:p w14:paraId="23B2F29D" w14:textId="7EFAD339" w:rsidR="0016357E" w:rsidRDefault="0016357E" w:rsidP="00233BC2">
            <w:pPr>
              <w:cnfStyle w:val="000000000000" w:firstRow="0" w:lastRow="0" w:firstColumn="0" w:lastColumn="0" w:oddVBand="0" w:evenVBand="0" w:oddHBand="0" w:evenHBand="0" w:firstRowFirstColumn="0" w:firstRowLastColumn="0" w:lastRowFirstColumn="0" w:lastRowLastColumn="0"/>
            </w:pPr>
            <w:r>
              <w:t xml:space="preserve">Hourly rates as a separate Matter Start using the codes IAXL and the most appropriate Matter Type 2 code. The profit cost limit is </w:t>
            </w:r>
            <w:r w:rsidR="008634C8">
              <w:t>£800,</w:t>
            </w:r>
            <w:r>
              <w:t xml:space="preserve"> and the disbursement limit is £400.</w:t>
            </w:r>
          </w:p>
        </w:tc>
      </w:tr>
      <w:tr w:rsidR="0016357E" w14:paraId="4E965E87" w14:textId="77777777" w:rsidTr="0081431B">
        <w:tc>
          <w:tcPr>
            <w:cnfStyle w:val="001000000000" w:firstRow="0" w:lastRow="0" w:firstColumn="1" w:lastColumn="0" w:oddVBand="0" w:evenVBand="0" w:oddHBand="0" w:evenHBand="0" w:firstRowFirstColumn="0" w:firstRowLastColumn="0" w:lastRowFirstColumn="0" w:lastRowLastColumn="0"/>
            <w:tcW w:w="0" w:type="dxa"/>
          </w:tcPr>
          <w:p w14:paraId="0F9E6740" w14:textId="77777777" w:rsidR="0016357E" w:rsidRDefault="0016357E" w:rsidP="00233BC2">
            <w:r>
              <w:t>Differentiation</w:t>
            </w:r>
          </w:p>
        </w:tc>
        <w:tc>
          <w:tcPr>
            <w:tcW w:w="12683" w:type="dxa"/>
          </w:tcPr>
          <w:p w14:paraId="4AEBAE9B" w14:textId="7AF2D29B" w:rsidR="0016357E" w:rsidRDefault="00C47323" w:rsidP="00233BC2">
            <w:pPr>
              <w:cnfStyle w:val="000000000000" w:firstRow="0" w:lastRow="0" w:firstColumn="0" w:lastColumn="0" w:oddVBand="0" w:evenVBand="0" w:oddHBand="0" w:evenHBand="0" w:firstRowFirstColumn="0" w:firstRowLastColumn="0" w:lastRowFirstColumn="0" w:lastRowLastColumn="0"/>
            </w:pPr>
            <w:r>
              <w:t>Between 29 June 2022 and 17 July 2023</w:t>
            </w:r>
            <w:r w:rsidR="001D0DB9">
              <w:t xml:space="preserve"> - </w:t>
            </w:r>
            <w:r w:rsidR="0016357E">
              <w:t xml:space="preserve">Hourly rates as a separate LH Matter Start using the code combination IAXL:IDIF. The profit cost limit is </w:t>
            </w:r>
            <w:r w:rsidR="008634C8">
              <w:t>£800,</w:t>
            </w:r>
            <w:r w:rsidR="0016357E">
              <w:t xml:space="preserve"> and the disbursement limit is £400.</w:t>
            </w:r>
          </w:p>
        </w:tc>
      </w:tr>
    </w:tbl>
    <w:p w14:paraId="6AD1798F" w14:textId="79B5424C" w:rsidR="00C2135C" w:rsidRDefault="00C2135C" w:rsidP="00233BC2">
      <w:pPr>
        <w:pStyle w:val="BodyText"/>
      </w:pPr>
    </w:p>
    <w:p w14:paraId="39BD54F9" w14:textId="2F719592" w:rsidR="0016357E" w:rsidRDefault="0016357E" w:rsidP="00233BC2">
      <w:pPr>
        <w:pStyle w:val="BodyText"/>
      </w:pPr>
    </w:p>
    <w:p w14:paraId="420B8CF4" w14:textId="77777777" w:rsidR="0016357E" w:rsidRDefault="0016357E" w:rsidP="00233BC2">
      <w:pPr>
        <w:pStyle w:val="Heading1"/>
        <w:rPr>
          <w:sz w:val="32"/>
        </w:rPr>
      </w:pPr>
      <w:r>
        <w:rPr>
          <w:sz w:val="32"/>
        </w:rPr>
        <w:lastRenderedPageBreak/>
        <w:t>Table of Additional New Matters</w:t>
      </w:r>
    </w:p>
    <w:tbl>
      <w:tblPr>
        <w:tblStyle w:val="TableGrid"/>
        <w:tblW w:w="15352" w:type="dxa"/>
        <w:tblLook w:val="04A0" w:firstRow="1" w:lastRow="0" w:firstColumn="1" w:lastColumn="0" w:noHBand="0" w:noVBand="1"/>
      </w:tblPr>
      <w:tblGrid>
        <w:gridCol w:w="2405"/>
        <w:gridCol w:w="2268"/>
        <w:gridCol w:w="2693"/>
        <w:gridCol w:w="2868"/>
        <w:gridCol w:w="2559"/>
        <w:gridCol w:w="2559"/>
      </w:tblGrid>
      <w:tr w:rsidR="0016357E" w14:paraId="6CB4B4C6" w14:textId="77777777" w:rsidTr="00DB2B38">
        <w:trPr>
          <w:cnfStyle w:val="100000000000" w:firstRow="1" w:lastRow="0" w:firstColumn="0" w:lastColumn="0" w:oddVBand="0" w:evenVBand="0" w:oddHBand="0" w:evenHBand="0" w:firstRowFirstColumn="0" w:firstRowLastColumn="0" w:lastRowFirstColumn="0" w:lastRowLastColumn="0"/>
          <w:trHeight w:val="923"/>
          <w:tblHeader/>
        </w:trPr>
        <w:tc>
          <w:tcPr>
            <w:cnfStyle w:val="001000000000" w:firstRow="0" w:lastRow="0" w:firstColumn="1" w:lastColumn="0" w:oddVBand="0" w:evenVBand="0" w:oddHBand="0" w:evenHBand="0" w:firstRowFirstColumn="0" w:firstRowLastColumn="0" w:lastRowFirstColumn="0" w:lastRowLastColumn="0"/>
            <w:tcW w:w="2405" w:type="dxa"/>
          </w:tcPr>
          <w:p w14:paraId="502B346C" w14:textId="77777777" w:rsidR="0016357E" w:rsidRPr="00233BC2" w:rsidRDefault="0016357E" w:rsidP="00233BC2">
            <w:pPr>
              <w:pStyle w:val="BodyText"/>
              <w:rPr>
                <w:rFonts w:ascii="Arial" w:hAnsi="Arial" w:cs="Arial"/>
                <w:szCs w:val="24"/>
              </w:rPr>
            </w:pPr>
          </w:p>
        </w:tc>
        <w:tc>
          <w:tcPr>
            <w:tcW w:w="2268" w:type="dxa"/>
          </w:tcPr>
          <w:p w14:paraId="2486ED86" w14:textId="77777777" w:rsidR="0016357E" w:rsidRPr="00233BC2" w:rsidRDefault="0016357E" w:rsidP="00233BC2">
            <w:pPr>
              <w:pStyle w:val="BodyText"/>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bCs/>
                <w:color w:val="F2F2F2" w:themeColor="background1" w:themeShade="F2"/>
                <w:szCs w:val="24"/>
              </w:rPr>
              <w:t>Priority Removal Notice</w:t>
            </w:r>
          </w:p>
        </w:tc>
        <w:tc>
          <w:tcPr>
            <w:tcW w:w="2693" w:type="dxa"/>
          </w:tcPr>
          <w:p w14:paraId="675302CC" w14:textId="77777777" w:rsidR="0016357E" w:rsidRPr="00233BC2" w:rsidRDefault="0016357E" w:rsidP="00233BC2">
            <w:pPr>
              <w:pStyle w:val="BodyText"/>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bCs/>
                <w:color w:val="F2F2F2" w:themeColor="background1" w:themeShade="F2"/>
                <w:szCs w:val="24"/>
              </w:rPr>
              <w:t>Substantive asylum matter (application stage)</w:t>
            </w:r>
          </w:p>
        </w:tc>
        <w:tc>
          <w:tcPr>
            <w:tcW w:w="2868" w:type="dxa"/>
          </w:tcPr>
          <w:p w14:paraId="769F3322" w14:textId="23008348" w:rsidR="0016357E" w:rsidRPr="00233BC2" w:rsidRDefault="0016357E" w:rsidP="00233BC2">
            <w:pPr>
              <w:pStyle w:val="BodyText"/>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bCs/>
                <w:color w:val="F2F2F2" w:themeColor="background1" w:themeShade="F2"/>
                <w:szCs w:val="24"/>
              </w:rPr>
              <w:t>Differentiation Rebuttal matter (from 29</w:t>
            </w:r>
            <w:r w:rsidRPr="00233BC2">
              <w:rPr>
                <w:rFonts w:ascii="Arial" w:hAnsi="Arial" w:cs="Arial"/>
                <w:bCs/>
                <w:color w:val="F2F2F2" w:themeColor="background1" w:themeShade="F2"/>
                <w:szCs w:val="24"/>
                <w:vertAlign w:val="superscript"/>
              </w:rPr>
              <w:t>th</w:t>
            </w:r>
            <w:r w:rsidRPr="00233BC2">
              <w:rPr>
                <w:rFonts w:ascii="Arial" w:hAnsi="Arial" w:cs="Arial"/>
                <w:bCs/>
                <w:color w:val="F2F2F2" w:themeColor="background1" w:themeShade="F2"/>
                <w:szCs w:val="24"/>
              </w:rPr>
              <w:t xml:space="preserve"> June 2022 –</w:t>
            </w:r>
            <w:r w:rsidR="006B6B77" w:rsidRPr="00233BC2">
              <w:rPr>
                <w:rFonts w:ascii="Arial" w:hAnsi="Arial" w:cs="Arial"/>
                <w:bCs/>
                <w:color w:val="F2F2F2" w:themeColor="background1" w:themeShade="F2"/>
                <w:szCs w:val="24"/>
              </w:rPr>
              <w:t xml:space="preserve"> 17th</w:t>
            </w:r>
            <w:r w:rsidRPr="00233BC2">
              <w:rPr>
                <w:rFonts w:ascii="Arial" w:hAnsi="Arial" w:cs="Arial"/>
                <w:bCs/>
                <w:color w:val="F2F2F2" w:themeColor="background1" w:themeShade="F2"/>
                <w:szCs w:val="24"/>
              </w:rPr>
              <w:t xml:space="preserve"> July 2023)</w:t>
            </w:r>
          </w:p>
        </w:tc>
        <w:tc>
          <w:tcPr>
            <w:tcW w:w="2559" w:type="dxa"/>
          </w:tcPr>
          <w:p w14:paraId="54799630" w14:textId="77777777" w:rsidR="0016357E" w:rsidRPr="00233BC2" w:rsidRDefault="0016357E" w:rsidP="00233BC2">
            <w:pPr>
              <w:pStyle w:val="BodyText"/>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bCs/>
                <w:color w:val="F2F2F2" w:themeColor="background1" w:themeShade="F2"/>
                <w:szCs w:val="24"/>
              </w:rPr>
              <w:t>Substantive appeal matter</w:t>
            </w:r>
          </w:p>
        </w:tc>
        <w:tc>
          <w:tcPr>
            <w:tcW w:w="2559" w:type="dxa"/>
          </w:tcPr>
          <w:p w14:paraId="57838C92" w14:textId="77777777" w:rsidR="0016357E" w:rsidRPr="00233BC2" w:rsidRDefault="0016357E" w:rsidP="00233BC2">
            <w:pPr>
              <w:pStyle w:val="BodyText"/>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bCs/>
                <w:color w:val="F2F2F2" w:themeColor="background1" w:themeShade="F2"/>
                <w:szCs w:val="24"/>
              </w:rPr>
              <w:t>Remitted appeal to the First Tier Tribunal</w:t>
            </w:r>
          </w:p>
        </w:tc>
      </w:tr>
      <w:tr w:rsidR="0016357E" w14:paraId="45459B75" w14:textId="77777777" w:rsidTr="00DB2B38">
        <w:trPr>
          <w:trHeight w:val="427"/>
        </w:trPr>
        <w:tc>
          <w:tcPr>
            <w:cnfStyle w:val="001000000000" w:firstRow="0" w:lastRow="0" w:firstColumn="1" w:lastColumn="0" w:oddVBand="0" w:evenVBand="0" w:oddHBand="0" w:evenHBand="0" w:firstRowFirstColumn="0" w:firstRowLastColumn="0" w:lastRowFirstColumn="0" w:lastRowLastColumn="0"/>
            <w:tcW w:w="2405" w:type="dxa"/>
          </w:tcPr>
          <w:p w14:paraId="6B87F3CF" w14:textId="77777777" w:rsidR="0016357E" w:rsidRPr="00233BC2" w:rsidRDefault="0016357E" w:rsidP="00233BC2">
            <w:pPr>
              <w:pStyle w:val="BodyText"/>
              <w:rPr>
                <w:rFonts w:ascii="Arial" w:hAnsi="Arial" w:cs="Arial"/>
                <w:szCs w:val="24"/>
              </w:rPr>
            </w:pPr>
            <w:r w:rsidRPr="00233BC2">
              <w:rPr>
                <w:rFonts w:ascii="Arial" w:hAnsi="Arial" w:cs="Arial"/>
                <w:szCs w:val="24"/>
              </w:rPr>
              <w:t>New matter start</w:t>
            </w:r>
          </w:p>
        </w:tc>
        <w:tc>
          <w:tcPr>
            <w:tcW w:w="2268" w:type="dxa"/>
          </w:tcPr>
          <w:p w14:paraId="59A12AFB" w14:textId="77777777" w:rsidR="0016357E" w:rsidRPr="00233BC2" w:rsidRDefault="0016357E" w:rsidP="00233BC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Yes</w:t>
            </w:r>
          </w:p>
        </w:tc>
        <w:tc>
          <w:tcPr>
            <w:tcW w:w="2693" w:type="dxa"/>
          </w:tcPr>
          <w:p w14:paraId="16FAD6D9" w14:textId="77777777" w:rsidR="0016357E" w:rsidRPr="00233BC2" w:rsidRDefault="0016357E" w:rsidP="00233BC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Yes</w:t>
            </w:r>
          </w:p>
        </w:tc>
        <w:tc>
          <w:tcPr>
            <w:tcW w:w="2868" w:type="dxa"/>
          </w:tcPr>
          <w:p w14:paraId="3010F962" w14:textId="77777777" w:rsidR="0016357E" w:rsidRPr="00233BC2" w:rsidRDefault="0016357E" w:rsidP="00233BC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Yes</w:t>
            </w:r>
          </w:p>
        </w:tc>
        <w:tc>
          <w:tcPr>
            <w:tcW w:w="2559" w:type="dxa"/>
          </w:tcPr>
          <w:p w14:paraId="163BE112" w14:textId="77777777" w:rsidR="0016357E" w:rsidRPr="00233BC2" w:rsidRDefault="0016357E" w:rsidP="00233BC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Yes</w:t>
            </w:r>
          </w:p>
        </w:tc>
        <w:tc>
          <w:tcPr>
            <w:tcW w:w="2559" w:type="dxa"/>
          </w:tcPr>
          <w:p w14:paraId="1236396C" w14:textId="77777777" w:rsidR="0016357E" w:rsidRPr="00233BC2" w:rsidRDefault="0016357E" w:rsidP="00233BC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Yes</w:t>
            </w:r>
          </w:p>
        </w:tc>
      </w:tr>
      <w:tr w:rsidR="0016357E" w14:paraId="2C868F7E" w14:textId="77777777" w:rsidTr="00DB2B38">
        <w:trPr>
          <w:trHeight w:val="437"/>
        </w:trPr>
        <w:tc>
          <w:tcPr>
            <w:cnfStyle w:val="001000000000" w:firstRow="0" w:lastRow="0" w:firstColumn="1" w:lastColumn="0" w:oddVBand="0" w:evenVBand="0" w:oddHBand="0" w:evenHBand="0" w:firstRowFirstColumn="0" w:firstRowLastColumn="0" w:lastRowFirstColumn="0" w:lastRowLastColumn="0"/>
            <w:tcW w:w="2405" w:type="dxa"/>
          </w:tcPr>
          <w:p w14:paraId="1A69AC53" w14:textId="77777777" w:rsidR="0016357E" w:rsidRPr="00233BC2" w:rsidRDefault="0016357E" w:rsidP="00233BC2">
            <w:pPr>
              <w:pStyle w:val="BodyText"/>
              <w:rPr>
                <w:rFonts w:ascii="Arial" w:hAnsi="Arial" w:cs="Arial"/>
                <w:szCs w:val="24"/>
              </w:rPr>
            </w:pPr>
            <w:r w:rsidRPr="00233BC2">
              <w:rPr>
                <w:rFonts w:ascii="Arial" w:hAnsi="Arial" w:cs="Arial"/>
                <w:szCs w:val="24"/>
              </w:rPr>
              <w:t>Form of service</w:t>
            </w:r>
          </w:p>
        </w:tc>
        <w:tc>
          <w:tcPr>
            <w:tcW w:w="2268" w:type="dxa"/>
          </w:tcPr>
          <w:p w14:paraId="6304B74E" w14:textId="77777777" w:rsidR="0016357E" w:rsidRPr="00233BC2" w:rsidRDefault="0016357E" w:rsidP="00233BC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Legal Help</w:t>
            </w:r>
          </w:p>
        </w:tc>
        <w:tc>
          <w:tcPr>
            <w:tcW w:w="2693" w:type="dxa"/>
          </w:tcPr>
          <w:p w14:paraId="46F90C4B" w14:textId="77777777" w:rsidR="0016357E" w:rsidRPr="00233BC2" w:rsidRDefault="0016357E" w:rsidP="00233BC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Legal Help</w:t>
            </w:r>
          </w:p>
        </w:tc>
        <w:tc>
          <w:tcPr>
            <w:tcW w:w="2868" w:type="dxa"/>
          </w:tcPr>
          <w:p w14:paraId="5B5974BB" w14:textId="77777777" w:rsidR="0016357E" w:rsidRPr="00233BC2" w:rsidRDefault="0016357E" w:rsidP="00233BC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Legal Help</w:t>
            </w:r>
          </w:p>
        </w:tc>
        <w:tc>
          <w:tcPr>
            <w:tcW w:w="2559" w:type="dxa"/>
          </w:tcPr>
          <w:p w14:paraId="11E021D2" w14:textId="77777777" w:rsidR="0016357E" w:rsidRPr="00233BC2" w:rsidRDefault="0016357E" w:rsidP="00233BC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CLR</w:t>
            </w:r>
          </w:p>
        </w:tc>
        <w:tc>
          <w:tcPr>
            <w:tcW w:w="2559" w:type="dxa"/>
          </w:tcPr>
          <w:p w14:paraId="5E7E40BE" w14:textId="77777777" w:rsidR="0016357E" w:rsidRPr="00233BC2" w:rsidRDefault="0016357E" w:rsidP="00233BC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CLR</w:t>
            </w:r>
          </w:p>
        </w:tc>
      </w:tr>
      <w:tr w:rsidR="0016357E" w14:paraId="725E9E66" w14:textId="77777777" w:rsidTr="00DB2B38">
        <w:trPr>
          <w:trHeight w:val="527"/>
        </w:trPr>
        <w:tc>
          <w:tcPr>
            <w:cnfStyle w:val="001000000000" w:firstRow="0" w:lastRow="0" w:firstColumn="1" w:lastColumn="0" w:oddVBand="0" w:evenVBand="0" w:oddHBand="0" w:evenHBand="0" w:firstRowFirstColumn="0" w:firstRowLastColumn="0" w:lastRowFirstColumn="0" w:lastRowLastColumn="0"/>
            <w:tcW w:w="2405" w:type="dxa"/>
          </w:tcPr>
          <w:p w14:paraId="413B9FC7" w14:textId="77777777" w:rsidR="0016357E" w:rsidRPr="00233BC2" w:rsidRDefault="0016357E" w:rsidP="00233BC2">
            <w:pPr>
              <w:pStyle w:val="BodyText"/>
              <w:rPr>
                <w:rFonts w:ascii="Arial" w:hAnsi="Arial" w:cs="Arial"/>
                <w:szCs w:val="24"/>
              </w:rPr>
            </w:pPr>
            <w:r w:rsidRPr="00233BC2">
              <w:rPr>
                <w:rFonts w:ascii="Arial" w:hAnsi="Arial" w:cs="Arial"/>
                <w:szCs w:val="24"/>
              </w:rPr>
              <w:t>CW form to be completed</w:t>
            </w:r>
          </w:p>
        </w:tc>
        <w:tc>
          <w:tcPr>
            <w:tcW w:w="2268" w:type="dxa"/>
          </w:tcPr>
          <w:p w14:paraId="276D6851" w14:textId="77777777" w:rsidR="0016357E" w:rsidRPr="00233BC2" w:rsidRDefault="0016357E" w:rsidP="00233BC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Yes – CW1</w:t>
            </w:r>
          </w:p>
        </w:tc>
        <w:tc>
          <w:tcPr>
            <w:tcW w:w="2693" w:type="dxa"/>
          </w:tcPr>
          <w:p w14:paraId="2B47A8CB" w14:textId="77777777" w:rsidR="0016357E" w:rsidRPr="00233BC2" w:rsidRDefault="0016357E" w:rsidP="00233BC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Yes – CW1</w:t>
            </w:r>
          </w:p>
        </w:tc>
        <w:tc>
          <w:tcPr>
            <w:tcW w:w="2868" w:type="dxa"/>
          </w:tcPr>
          <w:p w14:paraId="77234484" w14:textId="77777777" w:rsidR="0016357E" w:rsidRPr="00233BC2" w:rsidRDefault="0016357E" w:rsidP="00233BC2">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No, if substantive matter is already open and there has been no change in circumstances since that initial assessment.</w:t>
            </w:r>
          </w:p>
          <w:p w14:paraId="1F0874D1" w14:textId="77777777" w:rsidR="0016357E" w:rsidRPr="00233BC2" w:rsidRDefault="0016357E" w:rsidP="00233BC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Yes, if substantive matter has not already been opened or if circumstances have changed since that initial assessment</w:t>
            </w:r>
          </w:p>
        </w:tc>
        <w:tc>
          <w:tcPr>
            <w:tcW w:w="2559" w:type="dxa"/>
          </w:tcPr>
          <w:p w14:paraId="227628F4" w14:textId="77777777" w:rsidR="0016357E" w:rsidRPr="00233BC2" w:rsidRDefault="0016357E" w:rsidP="00233BC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Yes, CW2 Imm</w:t>
            </w:r>
          </w:p>
        </w:tc>
        <w:tc>
          <w:tcPr>
            <w:tcW w:w="2559" w:type="dxa"/>
          </w:tcPr>
          <w:p w14:paraId="2A0DE6DE" w14:textId="77777777" w:rsidR="0016357E" w:rsidRPr="00233BC2" w:rsidRDefault="0016357E" w:rsidP="00233BC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Yes, CW2 Imm</w:t>
            </w:r>
          </w:p>
        </w:tc>
      </w:tr>
      <w:tr w:rsidR="0016357E" w14:paraId="27B86EEE" w14:textId="77777777" w:rsidTr="00DB2B38">
        <w:trPr>
          <w:trHeight w:val="911"/>
        </w:trPr>
        <w:tc>
          <w:tcPr>
            <w:cnfStyle w:val="001000000000" w:firstRow="0" w:lastRow="0" w:firstColumn="1" w:lastColumn="0" w:oddVBand="0" w:evenVBand="0" w:oddHBand="0" w:evenHBand="0" w:firstRowFirstColumn="0" w:firstRowLastColumn="0" w:lastRowFirstColumn="0" w:lastRowLastColumn="0"/>
            <w:tcW w:w="2405" w:type="dxa"/>
          </w:tcPr>
          <w:p w14:paraId="32EFA165" w14:textId="77777777" w:rsidR="0016357E" w:rsidRPr="00233BC2" w:rsidRDefault="0016357E" w:rsidP="00233BC2">
            <w:pPr>
              <w:pStyle w:val="BodyText"/>
              <w:rPr>
                <w:rFonts w:ascii="Arial" w:hAnsi="Arial" w:cs="Arial"/>
                <w:szCs w:val="24"/>
              </w:rPr>
            </w:pPr>
            <w:r w:rsidRPr="00233BC2">
              <w:rPr>
                <w:rFonts w:ascii="Arial" w:hAnsi="Arial" w:cs="Arial"/>
                <w:szCs w:val="24"/>
              </w:rPr>
              <w:t>Case Start date (which will form the UFN)</w:t>
            </w:r>
          </w:p>
        </w:tc>
        <w:tc>
          <w:tcPr>
            <w:tcW w:w="2268" w:type="dxa"/>
          </w:tcPr>
          <w:p w14:paraId="2E0F80BA" w14:textId="77777777" w:rsidR="0016357E" w:rsidRPr="00233BC2" w:rsidRDefault="0016357E" w:rsidP="00233BC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Date this matter is opened</w:t>
            </w:r>
          </w:p>
        </w:tc>
        <w:tc>
          <w:tcPr>
            <w:tcW w:w="2693" w:type="dxa"/>
          </w:tcPr>
          <w:p w14:paraId="23CA1BAA" w14:textId="77777777" w:rsidR="0016357E" w:rsidRPr="00233BC2" w:rsidRDefault="0016357E" w:rsidP="00233BC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Date this matter is opened</w:t>
            </w:r>
          </w:p>
        </w:tc>
        <w:tc>
          <w:tcPr>
            <w:tcW w:w="2868" w:type="dxa"/>
          </w:tcPr>
          <w:p w14:paraId="1B941629" w14:textId="77777777" w:rsidR="0016357E" w:rsidRPr="00233BC2" w:rsidRDefault="0016357E" w:rsidP="00233BC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Date this matter is opened</w:t>
            </w:r>
          </w:p>
        </w:tc>
        <w:tc>
          <w:tcPr>
            <w:tcW w:w="2559" w:type="dxa"/>
          </w:tcPr>
          <w:p w14:paraId="1B22EEB9" w14:textId="77777777" w:rsidR="0016357E" w:rsidRPr="00233BC2" w:rsidRDefault="0016357E" w:rsidP="00233BC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Date this matter is opened</w:t>
            </w:r>
          </w:p>
        </w:tc>
        <w:tc>
          <w:tcPr>
            <w:tcW w:w="2559" w:type="dxa"/>
          </w:tcPr>
          <w:p w14:paraId="262D0228" w14:textId="77777777" w:rsidR="0016357E" w:rsidRPr="00233BC2" w:rsidRDefault="0016357E" w:rsidP="00233BC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Date this matter is opened</w:t>
            </w:r>
          </w:p>
        </w:tc>
      </w:tr>
      <w:tr w:rsidR="0016357E" w14:paraId="24AAB866" w14:textId="77777777" w:rsidTr="00DB2B38">
        <w:trPr>
          <w:trHeight w:val="1884"/>
        </w:trPr>
        <w:tc>
          <w:tcPr>
            <w:cnfStyle w:val="001000000000" w:firstRow="0" w:lastRow="0" w:firstColumn="1" w:lastColumn="0" w:oddVBand="0" w:evenVBand="0" w:oddHBand="0" w:evenHBand="0" w:firstRowFirstColumn="0" w:firstRowLastColumn="0" w:lastRowFirstColumn="0" w:lastRowLastColumn="0"/>
            <w:tcW w:w="2405" w:type="dxa"/>
          </w:tcPr>
          <w:p w14:paraId="6984755A" w14:textId="77777777" w:rsidR="0016357E" w:rsidRPr="00233BC2" w:rsidRDefault="0016357E" w:rsidP="00233BC2">
            <w:pPr>
              <w:pStyle w:val="BodyText"/>
              <w:rPr>
                <w:rFonts w:ascii="Arial" w:hAnsi="Arial" w:cs="Arial"/>
                <w:szCs w:val="24"/>
              </w:rPr>
            </w:pPr>
            <w:r w:rsidRPr="00233BC2">
              <w:rPr>
                <w:rFonts w:ascii="Arial" w:hAnsi="Arial" w:cs="Arial"/>
                <w:szCs w:val="24"/>
              </w:rPr>
              <w:lastRenderedPageBreak/>
              <w:t>New means assessment</w:t>
            </w:r>
          </w:p>
        </w:tc>
        <w:tc>
          <w:tcPr>
            <w:tcW w:w="2268" w:type="dxa"/>
          </w:tcPr>
          <w:p w14:paraId="1996F62F" w14:textId="77777777" w:rsidR="0016357E" w:rsidRPr="00233BC2" w:rsidRDefault="0016357E" w:rsidP="00233BC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N/A non means tested</w:t>
            </w:r>
          </w:p>
        </w:tc>
        <w:tc>
          <w:tcPr>
            <w:tcW w:w="2693" w:type="dxa"/>
          </w:tcPr>
          <w:p w14:paraId="4F6F1F8C" w14:textId="77777777" w:rsidR="0016357E" w:rsidRPr="00233BC2" w:rsidRDefault="0016357E" w:rsidP="00233BC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Yes</w:t>
            </w:r>
          </w:p>
        </w:tc>
        <w:tc>
          <w:tcPr>
            <w:tcW w:w="2868" w:type="dxa"/>
          </w:tcPr>
          <w:p w14:paraId="751A19B8" w14:textId="77777777" w:rsidR="0016357E" w:rsidRPr="00233BC2" w:rsidRDefault="0016357E" w:rsidP="00233BC2">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No, if substantive asylum matter is already open.</w:t>
            </w:r>
          </w:p>
          <w:p w14:paraId="05599C36" w14:textId="77777777" w:rsidR="0016357E" w:rsidRPr="00233BC2" w:rsidRDefault="0016357E" w:rsidP="00233BC2">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p w14:paraId="59CA7A8A" w14:textId="77777777" w:rsidR="0016357E" w:rsidRPr="00233BC2" w:rsidRDefault="0016357E" w:rsidP="00233BC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Yes, if substantive asylum matter has not already been opened</w:t>
            </w:r>
          </w:p>
        </w:tc>
        <w:tc>
          <w:tcPr>
            <w:tcW w:w="2559" w:type="dxa"/>
          </w:tcPr>
          <w:p w14:paraId="47CBDF71" w14:textId="77777777" w:rsidR="0016357E" w:rsidRPr="00233BC2" w:rsidRDefault="0016357E" w:rsidP="00233BC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Yes</w:t>
            </w:r>
          </w:p>
        </w:tc>
        <w:tc>
          <w:tcPr>
            <w:tcW w:w="2559" w:type="dxa"/>
          </w:tcPr>
          <w:p w14:paraId="7347CDAF" w14:textId="77777777" w:rsidR="0016357E" w:rsidRPr="00233BC2" w:rsidRDefault="0016357E" w:rsidP="00233BC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Yes</w:t>
            </w:r>
          </w:p>
        </w:tc>
      </w:tr>
      <w:tr w:rsidR="0016357E" w14:paraId="5AFC42B5" w14:textId="77777777" w:rsidTr="00DB2B38">
        <w:trPr>
          <w:trHeight w:val="2239"/>
        </w:trPr>
        <w:tc>
          <w:tcPr>
            <w:cnfStyle w:val="001000000000" w:firstRow="0" w:lastRow="0" w:firstColumn="1" w:lastColumn="0" w:oddVBand="0" w:evenVBand="0" w:oddHBand="0" w:evenHBand="0" w:firstRowFirstColumn="0" w:firstRowLastColumn="0" w:lastRowFirstColumn="0" w:lastRowLastColumn="0"/>
            <w:tcW w:w="2405" w:type="dxa"/>
          </w:tcPr>
          <w:p w14:paraId="4470E46A" w14:textId="77777777" w:rsidR="0016357E" w:rsidRPr="00233BC2" w:rsidRDefault="0016357E" w:rsidP="00233BC2">
            <w:pPr>
              <w:pStyle w:val="BodyText"/>
              <w:rPr>
                <w:szCs w:val="24"/>
              </w:rPr>
            </w:pPr>
            <w:r w:rsidRPr="00233BC2">
              <w:rPr>
                <w:szCs w:val="24"/>
              </w:rPr>
              <w:t>Hourly rates/Standard fee</w:t>
            </w:r>
          </w:p>
        </w:tc>
        <w:tc>
          <w:tcPr>
            <w:tcW w:w="2268" w:type="dxa"/>
          </w:tcPr>
          <w:p w14:paraId="39F79BA9" w14:textId="77777777" w:rsidR="0016357E" w:rsidRPr="00233BC2" w:rsidRDefault="0016357E" w:rsidP="00233BC2">
            <w:pPr>
              <w:pStyle w:val="BodyText"/>
              <w:cnfStyle w:val="000000000000" w:firstRow="0" w:lastRow="0" w:firstColumn="0" w:lastColumn="0" w:oddVBand="0" w:evenVBand="0" w:oddHBand="0" w:evenHBand="0" w:firstRowFirstColumn="0" w:firstRowLastColumn="0" w:lastRowFirstColumn="0" w:lastRowLastColumn="0"/>
              <w:rPr>
                <w:szCs w:val="24"/>
              </w:rPr>
            </w:pPr>
            <w:r w:rsidRPr="00233BC2">
              <w:rPr>
                <w:szCs w:val="24"/>
              </w:rPr>
              <w:t>Hourly Rates</w:t>
            </w:r>
          </w:p>
        </w:tc>
        <w:tc>
          <w:tcPr>
            <w:tcW w:w="2693" w:type="dxa"/>
          </w:tcPr>
          <w:p w14:paraId="6B1B8479" w14:textId="77777777" w:rsidR="0016357E" w:rsidRPr="00233BC2" w:rsidRDefault="0016357E" w:rsidP="00233BC2">
            <w:pPr>
              <w:cnfStyle w:val="000000000000" w:firstRow="0" w:lastRow="0" w:firstColumn="0" w:lastColumn="0" w:oddVBand="0" w:evenVBand="0" w:oddHBand="0" w:evenHBand="0" w:firstRowFirstColumn="0" w:firstRowLastColumn="0" w:lastRowFirstColumn="0" w:lastRowLastColumn="0"/>
              <w:rPr>
                <w:szCs w:val="24"/>
              </w:rPr>
            </w:pPr>
            <w:r w:rsidRPr="00233BC2">
              <w:rPr>
                <w:szCs w:val="24"/>
              </w:rPr>
              <w:t>Standard fee, unless exception applies:</w:t>
            </w:r>
          </w:p>
          <w:p w14:paraId="19B60D3F" w14:textId="77777777" w:rsidR="0016357E" w:rsidRPr="00233BC2" w:rsidRDefault="0016357E" w:rsidP="00233BC2">
            <w:pPr>
              <w:pStyle w:val="ListParagraph"/>
              <w:numPr>
                <w:ilvl w:val="0"/>
                <w:numId w:val="22"/>
              </w:numPr>
              <w:spacing w:after="0" w:line="240" w:lineRule="auto"/>
              <w:ind w:left="364" w:hanging="283"/>
              <w:cnfStyle w:val="000000000000" w:firstRow="0" w:lastRow="0" w:firstColumn="0" w:lastColumn="0" w:oddVBand="0" w:evenVBand="0" w:oddHBand="0" w:evenHBand="0" w:firstRowFirstColumn="0" w:firstRowLastColumn="0" w:lastRowFirstColumn="0" w:lastRowLastColumn="0"/>
              <w:rPr>
                <w:sz w:val="24"/>
                <w:szCs w:val="24"/>
              </w:rPr>
            </w:pPr>
            <w:r w:rsidRPr="00233BC2">
              <w:rPr>
                <w:sz w:val="24"/>
                <w:szCs w:val="24"/>
              </w:rPr>
              <w:t>UASC</w:t>
            </w:r>
          </w:p>
          <w:p w14:paraId="7826E3F4" w14:textId="77777777" w:rsidR="0016357E" w:rsidRPr="00233BC2" w:rsidRDefault="0016357E" w:rsidP="00233BC2">
            <w:pPr>
              <w:pStyle w:val="ListParagraph"/>
              <w:numPr>
                <w:ilvl w:val="0"/>
                <w:numId w:val="22"/>
              </w:numPr>
              <w:spacing w:after="0" w:line="240" w:lineRule="auto"/>
              <w:ind w:left="364" w:hanging="283"/>
              <w:cnfStyle w:val="000000000000" w:firstRow="0" w:lastRow="0" w:firstColumn="0" w:lastColumn="0" w:oddVBand="0" w:evenVBand="0" w:oddHBand="0" w:evenHBand="0" w:firstRowFirstColumn="0" w:firstRowLastColumn="0" w:lastRowFirstColumn="0" w:lastRowLastColumn="0"/>
              <w:rPr>
                <w:sz w:val="24"/>
                <w:szCs w:val="24"/>
              </w:rPr>
            </w:pPr>
            <w:r w:rsidRPr="00233BC2">
              <w:rPr>
                <w:sz w:val="24"/>
                <w:szCs w:val="24"/>
              </w:rPr>
              <w:t>Opened as a result of DDAS</w:t>
            </w:r>
          </w:p>
          <w:p w14:paraId="0703FF15" w14:textId="77777777" w:rsidR="0016357E" w:rsidRPr="00233BC2" w:rsidRDefault="0016357E" w:rsidP="00233BC2">
            <w:pPr>
              <w:pStyle w:val="BodyText"/>
              <w:numPr>
                <w:ilvl w:val="0"/>
                <w:numId w:val="22"/>
              </w:numPr>
              <w:ind w:left="364" w:hanging="283"/>
              <w:cnfStyle w:val="000000000000" w:firstRow="0" w:lastRow="0" w:firstColumn="0" w:lastColumn="0" w:oddVBand="0" w:evenVBand="0" w:oddHBand="0" w:evenHBand="0" w:firstRowFirstColumn="0" w:firstRowLastColumn="0" w:lastRowFirstColumn="0" w:lastRowLastColumn="0"/>
              <w:rPr>
                <w:szCs w:val="24"/>
              </w:rPr>
            </w:pPr>
            <w:r w:rsidRPr="00233BC2">
              <w:rPr>
                <w:szCs w:val="24"/>
              </w:rPr>
              <w:t>Opened as a result of PRN matter</w:t>
            </w:r>
          </w:p>
        </w:tc>
        <w:tc>
          <w:tcPr>
            <w:tcW w:w="2868" w:type="dxa"/>
          </w:tcPr>
          <w:p w14:paraId="3F5D6A6C" w14:textId="77777777" w:rsidR="0016357E" w:rsidRPr="00233BC2" w:rsidRDefault="0016357E" w:rsidP="00233BC2">
            <w:pPr>
              <w:pStyle w:val="BodyText"/>
              <w:cnfStyle w:val="000000000000" w:firstRow="0" w:lastRow="0" w:firstColumn="0" w:lastColumn="0" w:oddVBand="0" w:evenVBand="0" w:oddHBand="0" w:evenHBand="0" w:firstRowFirstColumn="0" w:firstRowLastColumn="0" w:lastRowFirstColumn="0" w:lastRowLastColumn="0"/>
              <w:rPr>
                <w:szCs w:val="24"/>
              </w:rPr>
            </w:pPr>
            <w:r w:rsidRPr="00233BC2">
              <w:rPr>
                <w:szCs w:val="24"/>
              </w:rPr>
              <w:t>Hourly Rates</w:t>
            </w:r>
          </w:p>
        </w:tc>
        <w:tc>
          <w:tcPr>
            <w:tcW w:w="2559" w:type="dxa"/>
          </w:tcPr>
          <w:p w14:paraId="7DC887FF" w14:textId="77777777" w:rsidR="0016357E" w:rsidRPr="00233BC2" w:rsidRDefault="0016357E" w:rsidP="00233BC2">
            <w:pPr>
              <w:cnfStyle w:val="000000000000" w:firstRow="0" w:lastRow="0" w:firstColumn="0" w:lastColumn="0" w:oddVBand="0" w:evenVBand="0" w:oddHBand="0" w:evenHBand="0" w:firstRowFirstColumn="0" w:firstRowLastColumn="0" w:lastRowFirstColumn="0" w:lastRowLastColumn="0"/>
              <w:rPr>
                <w:szCs w:val="24"/>
              </w:rPr>
            </w:pPr>
            <w:r w:rsidRPr="00233BC2">
              <w:rPr>
                <w:szCs w:val="24"/>
              </w:rPr>
              <w:t>Standard fee, unless exception applies:</w:t>
            </w:r>
          </w:p>
          <w:p w14:paraId="11164EE1" w14:textId="77777777" w:rsidR="0016357E" w:rsidRPr="00233BC2" w:rsidRDefault="0016357E" w:rsidP="00233BC2">
            <w:pPr>
              <w:pStyle w:val="ListParagraph"/>
              <w:numPr>
                <w:ilvl w:val="0"/>
                <w:numId w:val="22"/>
              </w:numPr>
              <w:spacing w:after="0" w:line="240" w:lineRule="auto"/>
              <w:ind w:left="343" w:hanging="284"/>
              <w:cnfStyle w:val="000000000000" w:firstRow="0" w:lastRow="0" w:firstColumn="0" w:lastColumn="0" w:oddVBand="0" w:evenVBand="0" w:oddHBand="0" w:evenHBand="0" w:firstRowFirstColumn="0" w:firstRowLastColumn="0" w:lastRowFirstColumn="0" w:lastRowLastColumn="0"/>
              <w:rPr>
                <w:sz w:val="24"/>
                <w:szCs w:val="24"/>
              </w:rPr>
            </w:pPr>
            <w:r w:rsidRPr="00233BC2">
              <w:rPr>
                <w:sz w:val="24"/>
                <w:szCs w:val="24"/>
              </w:rPr>
              <w:t>UASC</w:t>
            </w:r>
          </w:p>
          <w:p w14:paraId="1FDCD05A" w14:textId="77777777" w:rsidR="0016357E" w:rsidRPr="00233BC2" w:rsidRDefault="0016357E" w:rsidP="00233BC2">
            <w:pPr>
              <w:pStyle w:val="ListParagraph"/>
              <w:numPr>
                <w:ilvl w:val="0"/>
                <w:numId w:val="22"/>
              </w:numPr>
              <w:spacing w:after="0" w:line="240" w:lineRule="auto"/>
              <w:ind w:left="343" w:hanging="284"/>
              <w:cnfStyle w:val="000000000000" w:firstRow="0" w:lastRow="0" w:firstColumn="0" w:lastColumn="0" w:oddVBand="0" w:evenVBand="0" w:oddHBand="0" w:evenHBand="0" w:firstRowFirstColumn="0" w:firstRowLastColumn="0" w:lastRowFirstColumn="0" w:lastRowLastColumn="0"/>
              <w:rPr>
                <w:sz w:val="24"/>
                <w:szCs w:val="24"/>
              </w:rPr>
            </w:pPr>
            <w:r w:rsidRPr="00233BC2">
              <w:rPr>
                <w:sz w:val="24"/>
                <w:szCs w:val="24"/>
              </w:rPr>
              <w:t>Opened as a result of DDAS</w:t>
            </w:r>
          </w:p>
          <w:p w14:paraId="7531D287" w14:textId="77777777" w:rsidR="0016357E" w:rsidRPr="00233BC2" w:rsidRDefault="0016357E" w:rsidP="00233BC2">
            <w:pPr>
              <w:pStyle w:val="ListParagraph"/>
              <w:numPr>
                <w:ilvl w:val="0"/>
                <w:numId w:val="22"/>
              </w:numPr>
              <w:spacing w:after="0" w:line="240" w:lineRule="auto"/>
              <w:ind w:left="343" w:hanging="284"/>
              <w:cnfStyle w:val="000000000000" w:firstRow="0" w:lastRow="0" w:firstColumn="0" w:lastColumn="0" w:oddVBand="0" w:evenVBand="0" w:oddHBand="0" w:evenHBand="0" w:firstRowFirstColumn="0" w:firstRowLastColumn="0" w:lastRowFirstColumn="0" w:lastRowLastColumn="0"/>
              <w:rPr>
                <w:sz w:val="24"/>
                <w:szCs w:val="24"/>
              </w:rPr>
            </w:pPr>
            <w:r w:rsidRPr="00233BC2">
              <w:rPr>
                <w:sz w:val="24"/>
                <w:szCs w:val="24"/>
              </w:rPr>
              <w:t>Opened as a result of PRN matter</w:t>
            </w:r>
          </w:p>
        </w:tc>
        <w:tc>
          <w:tcPr>
            <w:tcW w:w="2559" w:type="dxa"/>
          </w:tcPr>
          <w:p w14:paraId="136669F9" w14:textId="77777777" w:rsidR="0016357E" w:rsidRPr="00233BC2" w:rsidRDefault="0016357E" w:rsidP="00233BC2">
            <w:pPr>
              <w:pStyle w:val="BodyText"/>
              <w:cnfStyle w:val="000000000000" w:firstRow="0" w:lastRow="0" w:firstColumn="0" w:lastColumn="0" w:oddVBand="0" w:evenVBand="0" w:oddHBand="0" w:evenHBand="0" w:firstRowFirstColumn="0" w:firstRowLastColumn="0" w:lastRowFirstColumn="0" w:lastRowLastColumn="0"/>
              <w:rPr>
                <w:szCs w:val="24"/>
              </w:rPr>
            </w:pPr>
            <w:r w:rsidRPr="00233BC2">
              <w:rPr>
                <w:szCs w:val="24"/>
              </w:rPr>
              <w:t>Hourly Rates</w:t>
            </w:r>
          </w:p>
        </w:tc>
      </w:tr>
      <w:tr w:rsidR="0016357E" w14:paraId="2538CEE3" w14:textId="77777777" w:rsidTr="00DB2B38">
        <w:trPr>
          <w:trHeight w:val="1593"/>
        </w:trPr>
        <w:tc>
          <w:tcPr>
            <w:cnfStyle w:val="001000000000" w:firstRow="0" w:lastRow="0" w:firstColumn="1" w:lastColumn="0" w:oddVBand="0" w:evenVBand="0" w:oddHBand="0" w:evenHBand="0" w:firstRowFirstColumn="0" w:firstRowLastColumn="0" w:lastRowFirstColumn="0" w:lastRowLastColumn="0"/>
            <w:tcW w:w="2405" w:type="dxa"/>
          </w:tcPr>
          <w:p w14:paraId="1A97FE03" w14:textId="77777777" w:rsidR="0016357E" w:rsidRPr="00233BC2" w:rsidRDefault="0016357E" w:rsidP="00233BC2">
            <w:pPr>
              <w:pStyle w:val="BodyText"/>
              <w:rPr>
                <w:szCs w:val="24"/>
              </w:rPr>
            </w:pPr>
            <w:r w:rsidRPr="00233BC2">
              <w:rPr>
                <w:szCs w:val="24"/>
              </w:rPr>
              <w:t>Cost limit</w:t>
            </w:r>
          </w:p>
        </w:tc>
        <w:tc>
          <w:tcPr>
            <w:tcW w:w="2268" w:type="dxa"/>
          </w:tcPr>
          <w:p w14:paraId="53F86DEA" w14:textId="77777777" w:rsidR="0016357E" w:rsidRPr="00233BC2" w:rsidRDefault="0016357E" w:rsidP="00233BC2">
            <w:pPr>
              <w:pStyle w:val="BodyText"/>
              <w:cnfStyle w:val="000000000000" w:firstRow="0" w:lastRow="0" w:firstColumn="0" w:lastColumn="0" w:oddVBand="0" w:evenVBand="0" w:oddHBand="0" w:evenHBand="0" w:firstRowFirstColumn="0" w:firstRowLastColumn="0" w:lastRowFirstColumn="0" w:lastRowLastColumn="0"/>
              <w:rPr>
                <w:szCs w:val="24"/>
              </w:rPr>
            </w:pPr>
            <w:r w:rsidRPr="00233BC2">
              <w:rPr>
                <w:szCs w:val="24"/>
              </w:rPr>
              <w:t>Equal to 7 hours of advice</w:t>
            </w:r>
          </w:p>
        </w:tc>
        <w:tc>
          <w:tcPr>
            <w:tcW w:w="2693" w:type="dxa"/>
          </w:tcPr>
          <w:p w14:paraId="7C9D8604" w14:textId="77777777" w:rsidR="0016357E" w:rsidRPr="00233BC2" w:rsidRDefault="0016357E" w:rsidP="00233BC2">
            <w:pPr>
              <w:cnfStyle w:val="000000000000" w:firstRow="0" w:lastRow="0" w:firstColumn="0" w:lastColumn="0" w:oddVBand="0" w:evenVBand="0" w:oddHBand="0" w:evenHBand="0" w:firstRowFirstColumn="0" w:firstRowLastColumn="0" w:lastRowFirstColumn="0" w:lastRowLastColumn="0"/>
              <w:rPr>
                <w:szCs w:val="24"/>
              </w:rPr>
            </w:pPr>
            <w:r w:rsidRPr="00233BC2">
              <w:rPr>
                <w:szCs w:val="24"/>
              </w:rPr>
              <w:t>£400 for Disbursements</w:t>
            </w:r>
          </w:p>
          <w:p w14:paraId="422B49C1" w14:textId="77777777" w:rsidR="0016357E" w:rsidRPr="00233BC2" w:rsidRDefault="0016357E" w:rsidP="00233BC2">
            <w:pPr>
              <w:pStyle w:val="BodyText"/>
              <w:cnfStyle w:val="000000000000" w:firstRow="0" w:lastRow="0" w:firstColumn="0" w:lastColumn="0" w:oddVBand="0" w:evenVBand="0" w:oddHBand="0" w:evenHBand="0" w:firstRowFirstColumn="0" w:firstRowLastColumn="0" w:lastRowFirstColumn="0" w:lastRowLastColumn="0"/>
              <w:rPr>
                <w:szCs w:val="24"/>
              </w:rPr>
            </w:pPr>
            <w:r w:rsidRPr="00233BC2">
              <w:rPr>
                <w:szCs w:val="24"/>
              </w:rPr>
              <w:t>£800 for Profit Costs, for hourly rates matters</w:t>
            </w:r>
          </w:p>
        </w:tc>
        <w:tc>
          <w:tcPr>
            <w:tcW w:w="2868" w:type="dxa"/>
          </w:tcPr>
          <w:p w14:paraId="11B94629" w14:textId="77777777" w:rsidR="0016357E" w:rsidRPr="00233BC2" w:rsidRDefault="0016357E" w:rsidP="00233BC2">
            <w:pPr>
              <w:cnfStyle w:val="000000000000" w:firstRow="0" w:lastRow="0" w:firstColumn="0" w:lastColumn="0" w:oddVBand="0" w:evenVBand="0" w:oddHBand="0" w:evenHBand="0" w:firstRowFirstColumn="0" w:firstRowLastColumn="0" w:lastRowFirstColumn="0" w:lastRowLastColumn="0"/>
              <w:rPr>
                <w:szCs w:val="24"/>
              </w:rPr>
            </w:pPr>
            <w:r w:rsidRPr="00233BC2">
              <w:rPr>
                <w:szCs w:val="24"/>
              </w:rPr>
              <w:t>£800 for Profit Costs</w:t>
            </w:r>
          </w:p>
          <w:p w14:paraId="0BC54C98" w14:textId="77777777" w:rsidR="0016357E" w:rsidRPr="00233BC2" w:rsidRDefault="0016357E" w:rsidP="00233BC2">
            <w:pPr>
              <w:pStyle w:val="BodyText"/>
              <w:cnfStyle w:val="000000000000" w:firstRow="0" w:lastRow="0" w:firstColumn="0" w:lastColumn="0" w:oddVBand="0" w:evenVBand="0" w:oddHBand="0" w:evenHBand="0" w:firstRowFirstColumn="0" w:firstRowLastColumn="0" w:lastRowFirstColumn="0" w:lastRowLastColumn="0"/>
              <w:rPr>
                <w:szCs w:val="24"/>
              </w:rPr>
            </w:pPr>
            <w:r w:rsidRPr="00233BC2">
              <w:rPr>
                <w:szCs w:val="24"/>
              </w:rPr>
              <w:t>£400 for Disbursements</w:t>
            </w:r>
          </w:p>
        </w:tc>
        <w:tc>
          <w:tcPr>
            <w:tcW w:w="2559" w:type="dxa"/>
          </w:tcPr>
          <w:p w14:paraId="2B181173" w14:textId="77777777" w:rsidR="0016357E" w:rsidRPr="00233BC2" w:rsidRDefault="0016357E" w:rsidP="00233BC2">
            <w:pPr>
              <w:cnfStyle w:val="000000000000" w:firstRow="0" w:lastRow="0" w:firstColumn="0" w:lastColumn="0" w:oddVBand="0" w:evenVBand="0" w:oddHBand="0" w:evenHBand="0" w:firstRowFirstColumn="0" w:firstRowLastColumn="0" w:lastRowFirstColumn="0" w:lastRowLastColumn="0"/>
              <w:rPr>
                <w:szCs w:val="24"/>
              </w:rPr>
            </w:pPr>
            <w:r w:rsidRPr="00233BC2">
              <w:rPr>
                <w:szCs w:val="24"/>
              </w:rPr>
              <w:t>£600 for Disbursements</w:t>
            </w:r>
          </w:p>
          <w:p w14:paraId="55624563" w14:textId="23D67594" w:rsidR="0016357E" w:rsidRPr="00233BC2" w:rsidRDefault="0016357E" w:rsidP="00233BC2">
            <w:pPr>
              <w:pStyle w:val="BodyText"/>
              <w:cnfStyle w:val="000000000000" w:firstRow="0" w:lastRow="0" w:firstColumn="0" w:lastColumn="0" w:oddVBand="0" w:evenVBand="0" w:oddHBand="0" w:evenHBand="0" w:firstRowFirstColumn="0" w:firstRowLastColumn="0" w:lastRowFirstColumn="0" w:lastRowLastColumn="0"/>
              <w:rPr>
                <w:szCs w:val="24"/>
              </w:rPr>
            </w:pPr>
            <w:r w:rsidRPr="00233BC2">
              <w:rPr>
                <w:szCs w:val="24"/>
              </w:rPr>
              <w:t>£1</w:t>
            </w:r>
            <w:r w:rsidR="00986A10" w:rsidRPr="00233BC2">
              <w:rPr>
                <w:szCs w:val="24"/>
              </w:rPr>
              <w:t>,</w:t>
            </w:r>
            <w:r w:rsidRPr="00233BC2">
              <w:rPr>
                <w:szCs w:val="24"/>
              </w:rPr>
              <w:t>600 total cost limit for hourly rates matters</w:t>
            </w:r>
          </w:p>
        </w:tc>
        <w:tc>
          <w:tcPr>
            <w:tcW w:w="2559" w:type="dxa"/>
          </w:tcPr>
          <w:p w14:paraId="360CD449" w14:textId="77777777" w:rsidR="0016357E" w:rsidRPr="00233BC2" w:rsidRDefault="0016357E" w:rsidP="00233BC2">
            <w:pPr>
              <w:pStyle w:val="BodyText"/>
              <w:cnfStyle w:val="000000000000" w:firstRow="0" w:lastRow="0" w:firstColumn="0" w:lastColumn="0" w:oddVBand="0" w:evenVBand="0" w:oddHBand="0" w:evenHBand="0" w:firstRowFirstColumn="0" w:firstRowLastColumn="0" w:lastRowFirstColumn="0" w:lastRowLastColumn="0"/>
              <w:rPr>
                <w:szCs w:val="24"/>
              </w:rPr>
            </w:pPr>
            <w:r w:rsidRPr="00233BC2">
              <w:rPr>
                <w:szCs w:val="24"/>
              </w:rPr>
              <w:t>£1,600 total limit</w:t>
            </w:r>
          </w:p>
        </w:tc>
      </w:tr>
      <w:tr w:rsidR="0016357E" w14:paraId="7AA5376C" w14:textId="77777777" w:rsidTr="00DB2B38">
        <w:trPr>
          <w:trHeight w:val="1777"/>
        </w:trPr>
        <w:tc>
          <w:tcPr>
            <w:cnfStyle w:val="001000000000" w:firstRow="0" w:lastRow="0" w:firstColumn="1" w:lastColumn="0" w:oddVBand="0" w:evenVBand="0" w:oddHBand="0" w:evenHBand="0" w:firstRowFirstColumn="0" w:firstRowLastColumn="0" w:lastRowFirstColumn="0" w:lastRowLastColumn="0"/>
            <w:tcW w:w="2405" w:type="dxa"/>
          </w:tcPr>
          <w:p w14:paraId="0F659031" w14:textId="77777777" w:rsidR="0016357E" w:rsidRPr="00233BC2" w:rsidRDefault="0016357E" w:rsidP="00233BC2">
            <w:pPr>
              <w:pStyle w:val="BodyText"/>
              <w:rPr>
                <w:rFonts w:ascii="Arial" w:hAnsi="Arial" w:cs="Arial"/>
                <w:szCs w:val="24"/>
              </w:rPr>
            </w:pPr>
            <w:r w:rsidRPr="00233BC2">
              <w:rPr>
                <w:rFonts w:ascii="Arial" w:hAnsi="Arial" w:cs="Arial"/>
                <w:szCs w:val="24"/>
              </w:rPr>
              <w:lastRenderedPageBreak/>
              <w:t>Matter Type codes</w:t>
            </w:r>
          </w:p>
        </w:tc>
        <w:tc>
          <w:tcPr>
            <w:tcW w:w="2268" w:type="dxa"/>
          </w:tcPr>
          <w:p w14:paraId="46596458" w14:textId="77777777" w:rsidR="0016357E" w:rsidRPr="00233BC2" w:rsidRDefault="0016357E" w:rsidP="00233BC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IAXL: IPRN</w:t>
            </w:r>
          </w:p>
        </w:tc>
        <w:tc>
          <w:tcPr>
            <w:tcW w:w="2693" w:type="dxa"/>
          </w:tcPr>
          <w:p w14:paraId="6E6B54D0" w14:textId="77777777" w:rsidR="0016357E" w:rsidRPr="00233BC2" w:rsidRDefault="0016357E" w:rsidP="00233BC2">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IALB: IASY (SFS)</w:t>
            </w:r>
          </w:p>
          <w:p w14:paraId="26A1AF64" w14:textId="77777777" w:rsidR="0016357E" w:rsidRPr="00233BC2" w:rsidRDefault="0016357E" w:rsidP="00233BC2">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IAXL: IUAS (UASC)</w:t>
            </w:r>
          </w:p>
          <w:p w14:paraId="23D264AC" w14:textId="77777777" w:rsidR="0016357E" w:rsidRPr="00233BC2" w:rsidRDefault="0016357E" w:rsidP="00233BC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IAXL: IASY (post DDAS or PRN matter)</w:t>
            </w:r>
          </w:p>
        </w:tc>
        <w:tc>
          <w:tcPr>
            <w:tcW w:w="2868" w:type="dxa"/>
          </w:tcPr>
          <w:p w14:paraId="596CF00D" w14:textId="77777777" w:rsidR="0016357E" w:rsidRPr="00233BC2" w:rsidRDefault="0016357E" w:rsidP="00233BC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IAXL: IDIF</w:t>
            </w:r>
          </w:p>
        </w:tc>
        <w:tc>
          <w:tcPr>
            <w:tcW w:w="2559" w:type="dxa"/>
          </w:tcPr>
          <w:p w14:paraId="43420D32" w14:textId="77777777" w:rsidR="0016357E" w:rsidRPr="00233BC2" w:rsidRDefault="0016357E" w:rsidP="00233BC2">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IACE (Stage 2D)</w:t>
            </w:r>
          </w:p>
          <w:p w14:paraId="58011546" w14:textId="77777777" w:rsidR="0016357E" w:rsidRPr="00233BC2" w:rsidRDefault="0016357E" w:rsidP="00233BC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IACF (Stage 2E)</w:t>
            </w:r>
          </w:p>
        </w:tc>
        <w:tc>
          <w:tcPr>
            <w:tcW w:w="2559" w:type="dxa"/>
          </w:tcPr>
          <w:p w14:paraId="3C99FDAA" w14:textId="77777777" w:rsidR="0016357E" w:rsidRPr="00233BC2" w:rsidRDefault="0016357E" w:rsidP="00233BC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IAXC: IREM</w:t>
            </w:r>
          </w:p>
        </w:tc>
      </w:tr>
      <w:tr w:rsidR="0016357E" w14:paraId="6BEC5380" w14:textId="77777777" w:rsidTr="00DB2B38">
        <w:trPr>
          <w:trHeight w:val="1643"/>
        </w:trPr>
        <w:tc>
          <w:tcPr>
            <w:cnfStyle w:val="001000000000" w:firstRow="0" w:lastRow="0" w:firstColumn="1" w:lastColumn="0" w:oddVBand="0" w:evenVBand="0" w:oddHBand="0" w:evenHBand="0" w:firstRowFirstColumn="0" w:firstRowLastColumn="0" w:lastRowFirstColumn="0" w:lastRowLastColumn="0"/>
            <w:tcW w:w="2405" w:type="dxa"/>
          </w:tcPr>
          <w:p w14:paraId="2F4C342E" w14:textId="77777777" w:rsidR="0016357E" w:rsidRPr="00233BC2" w:rsidRDefault="0016357E" w:rsidP="00233BC2">
            <w:pPr>
              <w:pStyle w:val="BodyText"/>
              <w:rPr>
                <w:rFonts w:ascii="Arial" w:hAnsi="Arial" w:cs="Arial"/>
                <w:szCs w:val="24"/>
              </w:rPr>
            </w:pPr>
            <w:r w:rsidRPr="00233BC2">
              <w:rPr>
                <w:rFonts w:ascii="Arial" w:hAnsi="Arial" w:cs="Arial"/>
                <w:szCs w:val="24"/>
              </w:rPr>
              <w:t>Outcome</w:t>
            </w:r>
          </w:p>
        </w:tc>
        <w:tc>
          <w:tcPr>
            <w:tcW w:w="2268" w:type="dxa"/>
          </w:tcPr>
          <w:p w14:paraId="197A8BA0" w14:textId="77777777" w:rsidR="0016357E" w:rsidRPr="00233BC2" w:rsidRDefault="0016357E" w:rsidP="00233BC2">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Where no Follow-on Work is required the outcome code IX should be used.</w:t>
            </w:r>
          </w:p>
          <w:p w14:paraId="0D4B3479" w14:textId="77777777" w:rsidR="0016357E" w:rsidRPr="00233BC2" w:rsidRDefault="0016357E" w:rsidP="00233BC2">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Where follow-on work is conducted the outcome code IF should be used.</w:t>
            </w:r>
          </w:p>
        </w:tc>
        <w:tc>
          <w:tcPr>
            <w:tcW w:w="2693" w:type="dxa"/>
          </w:tcPr>
          <w:p w14:paraId="1928B40A" w14:textId="77777777" w:rsidR="0016357E" w:rsidRPr="00233BC2" w:rsidRDefault="0016357E" w:rsidP="00233BC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Any but where CLR is granted for the appeal, Outcome Code IE must be used</w:t>
            </w:r>
          </w:p>
        </w:tc>
        <w:tc>
          <w:tcPr>
            <w:tcW w:w="2868" w:type="dxa"/>
          </w:tcPr>
          <w:p w14:paraId="498FB24F" w14:textId="77777777" w:rsidR="0016357E" w:rsidRPr="00233BC2" w:rsidRDefault="0016357E" w:rsidP="00233BC2">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Where the rebuttal is successful Outcome Code ‘IG’ should be recorded.</w:t>
            </w:r>
          </w:p>
          <w:p w14:paraId="28B84FE6" w14:textId="77777777" w:rsidR="0016357E" w:rsidRPr="00233BC2" w:rsidRDefault="0016357E" w:rsidP="00233BC2">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Where the Asylum Grouping is maintained Outcome Code ‘IH’ should be used</w:t>
            </w:r>
          </w:p>
        </w:tc>
        <w:tc>
          <w:tcPr>
            <w:tcW w:w="2559" w:type="dxa"/>
          </w:tcPr>
          <w:p w14:paraId="41DE042B" w14:textId="77777777" w:rsidR="0016357E" w:rsidRPr="00233BC2" w:rsidRDefault="0016357E" w:rsidP="00233BC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Any</w:t>
            </w:r>
          </w:p>
        </w:tc>
        <w:tc>
          <w:tcPr>
            <w:tcW w:w="2559" w:type="dxa"/>
          </w:tcPr>
          <w:p w14:paraId="7D52C8BF" w14:textId="77777777" w:rsidR="0016357E" w:rsidRPr="00233BC2" w:rsidRDefault="0016357E" w:rsidP="00233BC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233BC2">
              <w:rPr>
                <w:rFonts w:ascii="Arial" w:hAnsi="Arial" w:cs="Arial"/>
                <w:szCs w:val="24"/>
              </w:rPr>
              <w:t>Any</w:t>
            </w:r>
          </w:p>
        </w:tc>
      </w:tr>
    </w:tbl>
    <w:p w14:paraId="7D9C9815" w14:textId="39C112B7" w:rsidR="0016357E" w:rsidRDefault="0016357E" w:rsidP="00233BC2">
      <w:pPr>
        <w:pStyle w:val="BodyText"/>
      </w:pPr>
    </w:p>
    <w:p w14:paraId="3EF7DB42" w14:textId="45A35894" w:rsidR="00233BC2" w:rsidRDefault="00233BC2" w:rsidP="00233BC2">
      <w:pPr>
        <w:pStyle w:val="BodyText"/>
      </w:pPr>
    </w:p>
    <w:p w14:paraId="268A0B4C" w14:textId="18E01ACF" w:rsidR="00233BC2" w:rsidRDefault="00233BC2" w:rsidP="00233BC2">
      <w:pPr>
        <w:pStyle w:val="BodyText"/>
      </w:pPr>
    </w:p>
    <w:p w14:paraId="68713384" w14:textId="77777777" w:rsidR="00233BC2" w:rsidRPr="0016357E" w:rsidRDefault="00233BC2" w:rsidP="00233BC2">
      <w:pPr>
        <w:pStyle w:val="BodyText"/>
      </w:pPr>
    </w:p>
    <w:p w14:paraId="54EEB2BA" w14:textId="2702A87D" w:rsidR="003D00FC" w:rsidRDefault="003D00FC" w:rsidP="00233BC2">
      <w:pPr>
        <w:pStyle w:val="Heading1"/>
        <w:rPr>
          <w:sz w:val="32"/>
        </w:rPr>
      </w:pPr>
      <w:r w:rsidRPr="00157194">
        <w:rPr>
          <w:sz w:val="32"/>
        </w:rPr>
        <w:lastRenderedPageBreak/>
        <w:t>Relevant guidance and legislation</w:t>
      </w:r>
    </w:p>
    <w:p w14:paraId="4C90FFC5" w14:textId="1C58F7E5" w:rsidR="00E103DA" w:rsidRDefault="00541CC7" w:rsidP="00233BC2">
      <w:pPr>
        <w:pStyle w:val="BodyText"/>
        <w:rPr>
          <w:rStyle w:val="Hyperlink"/>
        </w:rPr>
      </w:pPr>
      <w:hyperlink r:id="rId12" w:history="1">
        <w:r w:rsidR="00E103DA">
          <w:rPr>
            <w:rStyle w:val="Hyperlink"/>
          </w:rPr>
          <w:t>Guidance for reporting Controlled Work and Controlled Work Matters (publishing.service.gov.uk)</w:t>
        </w:r>
      </w:hyperlink>
    </w:p>
    <w:p w14:paraId="3A323FF5" w14:textId="7758B0FE" w:rsidR="00EF67D7" w:rsidRPr="00E62B4B" w:rsidRDefault="00541CC7" w:rsidP="00233BC2">
      <w:pPr>
        <w:pStyle w:val="BodyText"/>
      </w:pPr>
      <w:hyperlink r:id="rId13" w:history="1">
        <w:r w:rsidR="00EF67D7">
          <w:rPr>
            <w:rStyle w:val="Hyperlink"/>
          </w:rPr>
          <w:t>Microsoft Word - 8 2024 Immigration and Asylum Category Specific Rules.docx (publishing.service.gov.uk)</w:t>
        </w:r>
      </w:hyperlink>
    </w:p>
    <w:bookmarkStart w:id="5" w:name="_Hlk138669182"/>
    <w:p w14:paraId="62EB0101" w14:textId="319D1FC0" w:rsidR="0016357E" w:rsidRDefault="00541CC7" w:rsidP="00233BC2">
      <w:pPr>
        <w:pStyle w:val="BodyText"/>
        <w:rPr>
          <w:rStyle w:val="Hyperlink"/>
        </w:rPr>
      </w:pPr>
      <w:r>
        <w:fldChar w:fldCharType="begin"/>
      </w:r>
      <w:r>
        <w:instrText>HYPERLINK "https://legalaidlearning.justice.gov.uk/totara/dashboard/index.php?id=74"</w:instrText>
      </w:r>
      <w:r>
        <w:fldChar w:fldCharType="separate"/>
      </w:r>
      <w:r w:rsidR="0016357E" w:rsidRPr="00AF3061">
        <w:rPr>
          <w:rStyle w:val="Hyperlink"/>
        </w:rPr>
        <w:t>Nationality &amp; Borders Act webinar and Q&amp;A</w:t>
      </w:r>
      <w:r>
        <w:rPr>
          <w:rStyle w:val="Hyperlink"/>
        </w:rPr>
        <w:fldChar w:fldCharType="end"/>
      </w:r>
    </w:p>
    <w:p w14:paraId="6C92667E" w14:textId="77777777" w:rsidR="0016357E" w:rsidRDefault="00541CC7" w:rsidP="00233BC2">
      <w:pPr>
        <w:pStyle w:val="BodyText"/>
      </w:pPr>
      <w:hyperlink r:id="rId14" w:history="1">
        <w:r w:rsidR="0016357E">
          <w:rPr>
            <w:rStyle w:val="Hyperlink"/>
          </w:rPr>
          <w:t>National referral mechanism guidance: adult (England and Wales) - GOV.UK (www.gov.uk)</w:t>
        </w:r>
      </w:hyperlink>
    </w:p>
    <w:p w14:paraId="4772D587" w14:textId="77777777" w:rsidR="0016357E" w:rsidRPr="00DD0317" w:rsidRDefault="00541CC7" w:rsidP="00233BC2">
      <w:pPr>
        <w:pStyle w:val="BodyText"/>
      </w:pPr>
      <w:hyperlink r:id="rId15" w:history="1">
        <w:r w:rsidR="0016357E">
          <w:rPr>
            <w:rStyle w:val="Hyperlink"/>
          </w:rPr>
          <w:t>Nationality and Borders Act 2022 (legislation.gov.uk)</w:t>
        </w:r>
      </w:hyperlink>
    </w:p>
    <w:bookmarkEnd w:id="5"/>
    <w:p w14:paraId="10A314D3" w14:textId="77777777" w:rsidR="00E55C22" w:rsidRPr="00DD0317" w:rsidRDefault="00E55C22" w:rsidP="00233BC2"/>
    <w:sectPr w:rsidR="00E55C22" w:rsidRPr="00DD0317" w:rsidSect="0016357E">
      <w:headerReference w:type="even" r:id="rId16"/>
      <w:headerReference w:type="default" r:id="rId17"/>
      <w:footerReference w:type="even" r:id="rId18"/>
      <w:footerReference w:type="default" r:id="rId19"/>
      <w:headerReference w:type="first" r:id="rId20"/>
      <w:footerReference w:type="first" r:id="rId21"/>
      <w:pgSz w:w="16838" w:h="11906" w:orient="landscape" w:code="9"/>
      <w:pgMar w:top="1134" w:right="1134"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D3DFA" w14:textId="77777777" w:rsidR="00AD5A81" w:rsidRDefault="00AD5A81" w:rsidP="00B91315">
      <w:pPr>
        <w:spacing w:after="0" w:line="240" w:lineRule="auto"/>
      </w:pPr>
      <w:r>
        <w:separator/>
      </w:r>
    </w:p>
  </w:endnote>
  <w:endnote w:type="continuationSeparator" w:id="0">
    <w:p w14:paraId="23B5CA7B" w14:textId="77777777" w:rsidR="00AD5A81" w:rsidRDefault="00AD5A81" w:rsidP="00B91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A5FE" w14:textId="432B4BB6" w:rsidR="00A31219" w:rsidRDefault="00A31219">
    <w:pPr>
      <w:pStyle w:val="Footer"/>
    </w:pPr>
    <w:r>
      <w:rPr>
        <w:noProof/>
      </w:rPr>
      <mc:AlternateContent>
        <mc:Choice Requires="wps">
          <w:drawing>
            <wp:anchor distT="0" distB="0" distL="0" distR="0" simplePos="0" relativeHeight="251665408" behindDoc="0" locked="0" layoutInCell="1" allowOverlap="1" wp14:anchorId="6F044E9F" wp14:editId="27C4D193">
              <wp:simplePos x="635" y="635"/>
              <wp:positionH relativeFrom="page">
                <wp:align>center</wp:align>
              </wp:positionH>
              <wp:positionV relativeFrom="page">
                <wp:align>bottom</wp:align>
              </wp:positionV>
              <wp:extent cx="443865" cy="443865"/>
              <wp:effectExtent l="0" t="0" r="635"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65322E" w14:textId="3143016D" w:rsidR="00A31219" w:rsidRPr="00A31219" w:rsidRDefault="00A31219" w:rsidP="00A31219">
                          <w:pPr>
                            <w:spacing w:after="0"/>
                            <w:rPr>
                              <w:rFonts w:ascii="Calibri" w:eastAsia="Calibri" w:hAnsi="Calibri" w:cs="Calibri"/>
                              <w:noProof/>
                              <w:color w:val="000000"/>
                              <w:szCs w:val="24"/>
                            </w:rPr>
                          </w:pPr>
                          <w:r w:rsidRPr="00A31219">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044E9F" id="_x0000_t202" coordsize="21600,21600" o:spt="202" path="m,l,21600r21600,l21600,xe">
              <v:stroke joinstyle="miter"/>
              <v:path gradientshapeok="t" o:connecttype="rect"/>
            </v:shapetype>
            <v:shape id="Text Box 7" o:spid="_x0000_s1028" type="#_x0000_t202" alt="OFFICIAL" style="position:absolute;left:0;text-align:left;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C65322E" w14:textId="3143016D" w:rsidR="00A31219" w:rsidRPr="00A31219" w:rsidRDefault="00A31219" w:rsidP="00A31219">
                    <w:pPr>
                      <w:spacing w:after="0"/>
                      <w:rPr>
                        <w:rFonts w:ascii="Calibri" w:eastAsia="Calibri" w:hAnsi="Calibri" w:cs="Calibri"/>
                        <w:noProof/>
                        <w:color w:val="000000"/>
                        <w:szCs w:val="24"/>
                      </w:rPr>
                    </w:pPr>
                    <w:r w:rsidRPr="00A31219">
                      <w:rPr>
                        <w:rFonts w:ascii="Calibri" w:eastAsia="Calibri" w:hAnsi="Calibri" w:cs="Calibri"/>
                        <w:noProof/>
                        <w:color w:val="00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83C4A" w14:textId="1881AEC7" w:rsidR="009A1CE1" w:rsidRDefault="00A31219">
    <w:pPr>
      <w:pStyle w:val="Footer"/>
    </w:pPr>
    <w:r>
      <w:rPr>
        <w:noProof/>
      </w:rPr>
      <mc:AlternateContent>
        <mc:Choice Requires="wps">
          <w:drawing>
            <wp:anchor distT="0" distB="0" distL="0" distR="0" simplePos="0" relativeHeight="251666432" behindDoc="0" locked="0" layoutInCell="1" allowOverlap="1" wp14:anchorId="421AD7B8" wp14:editId="479EFCEE">
              <wp:simplePos x="720725" y="7025640"/>
              <wp:positionH relativeFrom="page">
                <wp:align>center</wp:align>
              </wp:positionH>
              <wp:positionV relativeFrom="page">
                <wp:align>bottom</wp:align>
              </wp:positionV>
              <wp:extent cx="443865" cy="443865"/>
              <wp:effectExtent l="0" t="0" r="635"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F4AA14" w14:textId="552DAA2A" w:rsidR="00A31219" w:rsidRPr="00A31219" w:rsidRDefault="00A31219" w:rsidP="00A31219">
                          <w:pPr>
                            <w:spacing w:after="0"/>
                            <w:rPr>
                              <w:rFonts w:ascii="Calibri" w:eastAsia="Calibri" w:hAnsi="Calibri" w:cs="Calibri"/>
                              <w:noProof/>
                              <w:color w:val="000000"/>
                              <w:szCs w:val="24"/>
                            </w:rPr>
                          </w:pPr>
                          <w:r w:rsidRPr="00A31219">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1AD7B8" id="_x0000_t202" coordsize="21600,21600" o:spt="202" path="m,l,21600r21600,l21600,xe">
              <v:stroke joinstyle="miter"/>
              <v:path gradientshapeok="t" o:connecttype="rect"/>
            </v:shapetype>
            <v:shape id="Text Box 8" o:spid="_x0000_s1029" type="#_x0000_t202" alt="OFFICIAL" style="position:absolute;left:0;text-align:left;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0F4AA14" w14:textId="552DAA2A" w:rsidR="00A31219" w:rsidRPr="00A31219" w:rsidRDefault="00A31219" w:rsidP="00A31219">
                    <w:pPr>
                      <w:spacing w:after="0"/>
                      <w:rPr>
                        <w:rFonts w:ascii="Calibri" w:eastAsia="Calibri" w:hAnsi="Calibri" w:cs="Calibri"/>
                        <w:noProof/>
                        <w:color w:val="000000"/>
                        <w:szCs w:val="24"/>
                      </w:rPr>
                    </w:pPr>
                    <w:r w:rsidRPr="00A31219">
                      <w:rPr>
                        <w:rFonts w:ascii="Calibri" w:eastAsia="Calibri" w:hAnsi="Calibri" w:cs="Calibri"/>
                        <w:noProof/>
                        <w:color w:val="000000"/>
                        <w:szCs w:val="24"/>
                      </w:rPr>
                      <w:t>OFFICIAL</w:t>
                    </w:r>
                  </w:p>
                </w:txbxContent>
              </v:textbox>
              <w10:wrap anchorx="page" anchory="page"/>
            </v:shape>
          </w:pict>
        </mc:Fallback>
      </mc:AlternateContent>
    </w:r>
    <w:r w:rsidR="00990242">
      <w:fldChar w:fldCharType="begin"/>
    </w:r>
    <w:r w:rsidR="00990242">
      <w:instrText xml:space="preserve"> PAGE   \* MERGEFORMAT </w:instrText>
    </w:r>
    <w:r w:rsidR="00990242">
      <w:fldChar w:fldCharType="separate"/>
    </w:r>
    <w:r w:rsidR="004978C4">
      <w:rPr>
        <w:noProof/>
      </w:rPr>
      <w:t>2</w:t>
    </w:r>
    <w:r w:rsidR="0099024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55543" w14:textId="70EA8445" w:rsidR="00026481" w:rsidRDefault="00A31219">
    <w:pPr>
      <w:pStyle w:val="Footer"/>
    </w:pPr>
    <w:r>
      <w:rPr>
        <w:noProof/>
      </w:rPr>
      <mc:AlternateContent>
        <mc:Choice Requires="wps">
          <w:drawing>
            <wp:anchor distT="0" distB="0" distL="0" distR="0" simplePos="0" relativeHeight="251664384" behindDoc="0" locked="0" layoutInCell="1" allowOverlap="1" wp14:anchorId="6FE1420D" wp14:editId="6129AB0C">
              <wp:simplePos x="723900" y="7023100"/>
              <wp:positionH relativeFrom="page">
                <wp:align>center</wp:align>
              </wp:positionH>
              <wp:positionV relativeFrom="page">
                <wp:align>bottom</wp:align>
              </wp:positionV>
              <wp:extent cx="443865" cy="443865"/>
              <wp:effectExtent l="0" t="0" r="635"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98F2E1" w14:textId="5EAA7488" w:rsidR="00A31219" w:rsidRPr="00A31219" w:rsidRDefault="00A31219" w:rsidP="00A31219">
                          <w:pPr>
                            <w:spacing w:after="0"/>
                            <w:rPr>
                              <w:rFonts w:ascii="Calibri" w:eastAsia="Calibri" w:hAnsi="Calibri" w:cs="Calibri"/>
                              <w:noProof/>
                              <w:color w:val="000000"/>
                              <w:szCs w:val="24"/>
                            </w:rPr>
                          </w:pPr>
                          <w:r w:rsidRPr="00A31219">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E1420D" id="_x0000_t202" coordsize="21600,21600" o:spt="202" path="m,l,21600r21600,l21600,xe">
              <v:stroke joinstyle="miter"/>
              <v:path gradientshapeok="t" o:connecttype="rect"/>
            </v:shapetype>
            <v:shape id="Text Box 6" o:spid="_x0000_s1031" type="#_x0000_t202" alt="OFFICIAL" style="position:absolute;left:0;text-align:left;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898F2E1" w14:textId="5EAA7488" w:rsidR="00A31219" w:rsidRPr="00A31219" w:rsidRDefault="00A31219" w:rsidP="00A31219">
                    <w:pPr>
                      <w:spacing w:after="0"/>
                      <w:rPr>
                        <w:rFonts w:ascii="Calibri" w:eastAsia="Calibri" w:hAnsi="Calibri" w:cs="Calibri"/>
                        <w:noProof/>
                        <w:color w:val="000000"/>
                        <w:szCs w:val="24"/>
                      </w:rPr>
                    </w:pPr>
                    <w:r w:rsidRPr="00A31219">
                      <w:rPr>
                        <w:rFonts w:ascii="Calibri" w:eastAsia="Calibri" w:hAnsi="Calibri" w:cs="Calibri"/>
                        <w:noProof/>
                        <w:color w:val="000000"/>
                        <w:szCs w:val="24"/>
                      </w:rPr>
                      <w:t>OFFICIAL</w:t>
                    </w:r>
                  </w:p>
                </w:txbxContent>
              </v:textbox>
              <w10:wrap anchorx="page" anchory="page"/>
            </v:shape>
          </w:pict>
        </mc:Fallback>
      </mc:AlternateContent>
    </w:r>
    <w:r w:rsidR="00026481">
      <w:rPr>
        <w:noProof/>
      </w:rPr>
      <w:drawing>
        <wp:anchor distT="0" distB="0" distL="114300" distR="114300" simplePos="0" relativeHeight="251658240" behindDoc="1" locked="0" layoutInCell="1" allowOverlap="1" wp14:anchorId="761770C7" wp14:editId="6B515473">
          <wp:simplePos x="0" y="0"/>
          <wp:positionH relativeFrom="page">
            <wp:posOffset>0</wp:posOffset>
          </wp:positionH>
          <wp:positionV relativeFrom="page">
            <wp:posOffset>9584870</wp:posOffset>
          </wp:positionV>
          <wp:extent cx="7558417" cy="1105989"/>
          <wp:effectExtent l="0" t="0" r="444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89653"/>
                  <a:stretch/>
                </pic:blipFill>
                <pic:spPr bwMode="auto">
                  <a:xfrm>
                    <a:off x="0" y="0"/>
                    <a:ext cx="7559675" cy="110617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5F41C" w14:textId="77777777" w:rsidR="00AD5A81" w:rsidRDefault="00AD5A81" w:rsidP="00B91315">
      <w:pPr>
        <w:spacing w:after="0" w:line="240" w:lineRule="auto"/>
      </w:pPr>
      <w:r>
        <w:separator/>
      </w:r>
    </w:p>
  </w:footnote>
  <w:footnote w:type="continuationSeparator" w:id="0">
    <w:p w14:paraId="3696B862" w14:textId="77777777" w:rsidR="00AD5A81" w:rsidRDefault="00AD5A81" w:rsidP="00B91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5B67" w14:textId="297E89BA" w:rsidR="00A31219" w:rsidRDefault="00A31219">
    <w:pPr>
      <w:pStyle w:val="Header"/>
    </w:pPr>
    <w:r>
      <w:rPr>
        <w:noProof/>
      </w:rPr>
      <mc:AlternateContent>
        <mc:Choice Requires="wps">
          <w:drawing>
            <wp:anchor distT="0" distB="0" distL="0" distR="0" simplePos="0" relativeHeight="251662336" behindDoc="0" locked="0" layoutInCell="1" allowOverlap="1" wp14:anchorId="76765B31" wp14:editId="124D6605">
              <wp:simplePos x="635" y="635"/>
              <wp:positionH relativeFrom="page">
                <wp:align>center</wp:align>
              </wp:positionH>
              <wp:positionV relativeFrom="page">
                <wp:align>top</wp:align>
              </wp:positionV>
              <wp:extent cx="443865" cy="443865"/>
              <wp:effectExtent l="0" t="0" r="635" b="1460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AF7C5A" w14:textId="324259FE" w:rsidR="00A31219" w:rsidRPr="00A31219" w:rsidRDefault="00A31219" w:rsidP="00A31219">
                          <w:pPr>
                            <w:spacing w:after="0"/>
                            <w:rPr>
                              <w:rFonts w:ascii="Calibri" w:eastAsia="Calibri" w:hAnsi="Calibri" w:cs="Calibri"/>
                              <w:noProof/>
                              <w:color w:val="000000"/>
                              <w:szCs w:val="24"/>
                            </w:rPr>
                          </w:pPr>
                          <w:r w:rsidRPr="00A31219">
                            <w:rPr>
                              <w:rFonts w:ascii="Calibri" w:eastAsia="Calibri" w:hAnsi="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765B31" id="_x0000_t202" coordsize="21600,21600" o:spt="202" path="m,l,21600r21600,l21600,xe">
              <v:stroke joinstyle="miter"/>
              <v:path gradientshapeok="t" o:connecttype="rect"/>
            </v:shapetype>
            <v:shape id="Text Box 4" o:spid="_x0000_s1026" type="#_x0000_t202" alt="OFFICIAL"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7AF7C5A" w14:textId="324259FE" w:rsidR="00A31219" w:rsidRPr="00A31219" w:rsidRDefault="00A31219" w:rsidP="00A31219">
                    <w:pPr>
                      <w:spacing w:after="0"/>
                      <w:rPr>
                        <w:rFonts w:ascii="Calibri" w:eastAsia="Calibri" w:hAnsi="Calibri" w:cs="Calibri"/>
                        <w:noProof/>
                        <w:color w:val="000000"/>
                        <w:szCs w:val="24"/>
                      </w:rPr>
                    </w:pPr>
                    <w:r w:rsidRPr="00A31219">
                      <w:rPr>
                        <w:rFonts w:ascii="Calibri" w:eastAsia="Calibri" w:hAnsi="Calibri" w:cs="Calibri"/>
                        <w:noProof/>
                        <w:color w:val="00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302A8" w14:textId="0C30FFA3" w:rsidR="00A31219" w:rsidRDefault="00A31219">
    <w:pPr>
      <w:pStyle w:val="Header"/>
    </w:pPr>
    <w:r>
      <w:rPr>
        <w:noProof/>
      </w:rPr>
      <mc:AlternateContent>
        <mc:Choice Requires="wps">
          <w:drawing>
            <wp:anchor distT="0" distB="0" distL="0" distR="0" simplePos="0" relativeHeight="251663360" behindDoc="0" locked="0" layoutInCell="1" allowOverlap="1" wp14:anchorId="4ECBBB5F" wp14:editId="6E8C2AF7">
              <wp:simplePos x="720725" y="360680"/>
              <wp:positionH relativeFrom="page">
                <wp:align>center</wp:align>
              </wp:positionH>
              <wp:positionV relativeFrom="page">
                <wp:align>top</wp:align>
              </wp:positionV>
              <wp:extent cx="443865" cy="443865"/>
              <wp:effectExtent l="0" t="0" r="635" b="14605"/>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D68FB3" w14:textId="7753A6FB" w:rsidR="00A31219" w:rsidRPr="00A31219" w:rsidRDefault="00A31219" w:rsidP="00A31219">
                          <w:pPr>
                            <w:spacing w:after="0"/>
                            <w:rPr>
                              <w:rFonts w:ascii="Calibri" w:eastAsia="Calibri" w:hAnsi="Calibri" w:cs="Calibri"/>
                              <w:noProof/>
                              <w:color w:val="000000"/>
                              <w:szCs w:val="24"/>
                            </w:rPr>
                          </w:pPr>
                          <w:r w:rsidRPr="00A31219">
                            <w:rPr>
                              <w:rFonts w:ascii="Calibri" w:eastAsia="Calibri" w:hAnsi="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CBBB5F" id="_x0000_t202" coordsize="21600,21600" o:spt="202" path="m,l,21600r21600,l21600,xe">
              <v:stroke joinstyle="miter"/>
              <v:path gradientshapeok="t" o:connecttype="rect"/>
            </v:shapetype>
            <v:shape id="Text Box 5" o:spid="_x0000_s1027" type="#_x0000_t202" alt="OFFICI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9D68FB3" w14:textId="7753A6FB" w:rsidR="00A31219" w:rsidRPr="00A31219" w:rsidRDefault="00A31219" w:rsidP="00A31219">
                    <w:pPr>
                      <w:spacing w:after="0"/>
                      <w:rPr>
                        <w:rFonts w:ascii="Calibri" w:eastAsia="Calibri" w:hAnsi="Calibri" w:cs="Calibri"/>
                        <w:noProof/>
                        <w:color w:val="000000"/>
                        <w:szCs w:val="24"/>
                      </w:rPr>
                    </w:pPr>
                    <w:r w:rsidRPr="00A31219">
                      <w:rPr>
                        <w:rFonts w:ascii="Calibri" w:eastAsia="Calibri" w:hAnsi="Calibri" w:cs="Calibri"/>
                        <w:noProof/>
                        <w:color w:val="00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DAB5F" w14:textId="019E6CF3" w:rsidR="00F507D8" w:rsidRDefault="00A31219">
    <w:pPr>
      <w:pStyle w:val="Header"/>
    </w:pPr>
    <w:r>
      <w:rPr>
        <w:noProof/>
      </w:rPr>
      <mc:AlternateContent>
        <mc:Choice Requires="wps">
          <w:drawing>
            <wp:anchor distT="0" distB="0" distL="0" distR="0" simplePos="0" relativeHeight="251661312" behindDoc="0" locked="0" layoutInCell="1" allowOverlap="1" wp14:anchorId="35C65928" wp14:editId="49B2DD17">
              <wp:simplePos x="723900" y="361950"/>
              <wp:positionH relativeFrom="page">
                <wp:align>center</wp:align>
              </wp:positionH>
              <wp:positionV relativeFrom="page">
                <wp:align>top</wp:align>
              </wp:positionV>
              <wp:extent cx="443865" cy="443865"/>
              <wp:effectExtent l="0" t="0" r="635" b="1460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940EF6" w14:textId="390ECA96" w:rsidR="00A31219" w:rsidRPr="00A31219" w:rsidRDefault="00A31219" w:rsidP="00A31219">
                          <w:pPr>
                            <w:spacing w:after="0"/>
                            <w:rPr>
                              <w:rFonts w:ascii="Calibri" w:eastAsia="Calibri" w:hAnsi="Calibri" w:cs="Calibri"/>
                              <w:noProof/>
                              <w:color w:val="000000"/>
                              <w:szCs w:val="24"/>
                            </w:rPr>
                          </w:pPr>
                          <w:r w:rsidRPr="00A31219">
                            <w:rPr>
                              <w:rFonts w:ascii="Calibri" w:eastAsia="Calibri" w:hAnsi="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C65928" id="_x0000_t202" coordsize="21600,21600" o:spt="202" path="m,l,21600r21600,l21600,xe">
              <v:stroke joinstyle="miter"/>
              <v:path gradientshapeok="t" o:connecttype="rect"/>
            </v:shapetype>
            <v:shape id="Text Box 1" o:spid="_x0000_s1030" type="#_x0000_t202" alt="OFFI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6940EF6" w14:textId="390ECA96" w:rsidR="00A31219" w:rsidRPr="00A31219" w:rsidRDefault="00A31219" w:rsidP="00A31219">
                    <w:pPr>
                      <w:spacing w:after="0"/>
                      <w:rPr>
                        <w:rFonts w:ascii="Calibri" w:eastAsia="Calibri" w:hAnsi="Calibri" w:cs="Calibri"/>
                        <w:noProof/>
                        <w:color w:val="000000"/>
                        <w:szCs w:val="24"/>
                      </w:rPr>
                    </w:pPr>
                    <w:r w:rsidRPr="00A31219">
                      <w:rPr>
                        <w:rFonts w:ascii="Calibri" w:eastAsia="Calibri" w:hAnsi="Calibri" w:cs="Calibri"/>
                        <w:noProof/>
                        <w:color w:val="000000"/>
                        <w:szCs w:val="24"/>
                      </w:rPr>
                      <w:t>OFFICIAL</w:t>
                    </w:r>
                  </w:p>
                </w:txbxContent>
              </v:textbox>
              <w10:wrap anchorx="page" anchory="page"/>
            </v:shape>
          </w:pict>
        </mc:Fallback>
      </mc:AlternateContent>
    </w:r>
    <w:r w:rsidR="00EE2B0D" w:rsidRPr="006D258B">
      <w:rPr>
        <w:noProof/>
      </w:rPr>
      <w:drawing>
        <wp:anchor distT="0" distB="0" distL="114300" distR="114300" simplePos="0" relativeHeight="251660288" behindDoc="1" locked="0" layoutInCell="0" allowOverlap="1" wp14:anchorId="28E4940F" wp14:editId="08ADC2EA">
          <wp:simplePos x="0" y="0"/>
          <wp:positionH relativeFrom="page">
            <wp:posOffset>779780</wp:posOffset>
          </wp:positionH>
          <wp:positionV relativeFrom="page">
            <wp:posOffset>718185</wp:posOffset>
          </wp:positionV>
          <wp:extent cx="1208405" cy="103378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08405" cy="1033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F588592"/>
    <w:lvl w:ilvl="0">
      <w:start w:val="1"/>
      <w:numFmt w:val="bullet"/>
      <w:pStyle w:val="ListBullet2"/>
      <w:lvlText w:val=""/>
      <w:lvlJc w:val="left"/>
      <w:pPr>
        <w:ind w:left="717" w:hanging="360"/>
      </w:pPr>
      <w:rPr>
        <w:rFonts w:ascii="Symbol" w:hAnsi="Symbol" w:hint="default"/>
        <w:color w:val="AFCC46"/>
      </w:rPr>
    </w:lvl>
  </w:abstractNum>
  <w:abstractNum w:abstractNumId="1" w15:restartNumberingAfterBreak="0">
    <w:nsid w:val="FFFFFF88"/>
    <w:multiLevelType w:val="singleLevel"/>
    <w:tmpl w:val="4CB2C802"/>
    <w:lvl w:ilvl="0">
      <w:start w:val="1"/>
      <w:numFmt w:val="decimal"/>
      <w:pStyle w:val="ListNumber"/>
      <w:lvlText w:val="%1."/>
      <w:lvlJc w:val="left"/>
      <w:pPr>
        <w:tabs>
          <w:tab w:val="num" w:pos="360"/>
        </w:tabs>
        <w:ind w:left="360" w:hanging="360"/>
      </w:pPr>
      <w:rPr>
        <w:rFonts w:hint="default"/>
      </w:rPr>
    </w:lvl>
  </w:abstractNum>
  <w:abstractNum w:abstractNumId="2" w15:restartNumberingAfterBreak="0">
    <w:nsid w:val="FFFFFF89"/>
    <w:multiLevelType w:val="singleLevel"/>
    <w:tmpl w:val="E0CA640C"/>
    <w:lvl w:ilvl="0">
      <w:start w:val="1"/>
      <w:numFmt w:val="bullet"/>
      <w:pStyle w:val="ListBullet"/>
      <w:lvlText w:val=""/>
      <w:lvlJc w:val="left"/>
      <w:pPr>
        <w:ind w:left="360" w:hanging="360"/>
      </w:pPr>
      <w:rPr>
        <w:rFonts w:ascii="Symbol" w:hAnsi="Symbol" w:hint="default"/>
        <w:color w:val="006D55"/>
      </w:rPr>
    </w:lvl>
  </w:abstractNum>
  <w:abstractNum w:abstractNumId="3" w15:restartNumberingAfterBreak="0">
    <w:nsid w:val="03627890"/>
    <w:multiLevelType w:val="hybridMultilevel"/>
    <w:tmpl w:val="6318E5F2"/>
    <w:lvl w:ilvl="0" w:tplc="A97EE994">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60653DD"/>
    <w:multiLevelType w:val="hybridMultilevel"/>
    <w:tmpl w:val="1720ADEE"/>
    <w:lvl w:ilvl="0" w:tplc="8C9E032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9A4F0D"/>
    <w:multiLevelType w:val="hybridMultilevel"/>
    <w:tmpl w:val="47C231F4"/>
    <w:lvl w:ilvl="0" w:tplc="A97EE994">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84C0529"/>
    <w:multiLevelType w:val="hybridMultilevel"/>
    <w:tmpl w:val="1A7421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D2B6602"/>
    <w:multiLevelType w:val="hybridMultilevel"/>
    <w:tmpl w:val="AA8E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8F649C"/>
    <w:multiLevelType w:val="hybridMultilevel"/>
    <w:tmpl w:val="F3209844"/>
    <w:lvl w:ilvl="0" w:tplc="8C9E032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853A73"/>
    <w:multiLevelType w:val="hybridMultilevel"/>
    <w:tmpl w:val="1EBA4C10"/>
    <w:lvl w:ilvl="0" w:tplc="8C9E032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460CA6"/>
    <w:multiLevelType w:val="hybridMultilevel"/>
    <w:tmpl w:val="C0D2F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C6464B"/>
    <w:multiLevelType w:val="hybridMultilevel"/>
    <w:tmpl w:val="0D54921C"/>
    <w:lvl w:ilvl="0" w:tplc="8C9E032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826DFC"/>
    <w:multiLevelType w:val="hybridMultilevel"/>
    <w:tmpl w:val="305465A2"/>
    <w:lvl w:ilvl="0" w:tplc="A0AC7F62">
      <w:start w:val="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472FDD"/>
    <w:multiLevelType w:val="hybridMultilevel"/>
    <w:tmpl w:val="D368EA2E"/>
    <w:lvl w:ilvl="0" w:tplc="8C9E032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2E387C"/>
    <w:multiLevelType w:val="hybridMultilevel"/>
    <w:tmpl w:val="8DB6EBF8"/>
    <w:lvl w:ilvl="0" w:tplc="8C9E032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702181"/>
    <w:multiLevelType w:val="hybridMultilevel"/>
    <w:tmpl w:val="F55A46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196377C"/>
    <w:multiLevelType w:val="hybridMultilevel"/>
    <w:tmpl w:val="FE0E0B90"/>
    <w:lvl w:ilvl="0" w:tplc="97B477E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72D74B5"/>
    <w:multiLevelType w:val="hybridMultilevel"/>
    <w:tmpl w:val="27008626"/>
    <w:lvl w:ilvl="0" w:tplc="8C9E032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D06103"/>
    <w:multiLevelType w:val="hybridMultilevel"/>
    <w:tmpl w:val="6BE0C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6A57A1"/>
    <w:multiLevelType w:val="hybridMultilevel"/>
    <w:tmpl w:val="87B8FCF0"/>
    <w:lvl w:ilvl="0" w:tplc="8C9E032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C865A7"/>
    <w:multiLevelType w:val="hybridMultilevel"/>
    <w:tmpl w:val="2BE8D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776367"/>
    <w:multiLevelType w:val="hybridMultilevel"/>
    <w:tmpl w:val="1D3E5AB4"/>
    <w:lvl w:ilvl="0" w:tplc="D5C21112">
      <w:numFmt w:val="bullet"/>
      <w:lvlText w:val=""/>
      <w:lvlJc w:val="left"/>
      <w:pPr>
        <w:ind w:left="1728" w:hanging="648"/>
      </w:pPr>
      <w:rPr>
        <w:rFonts w:ascii="Symbol" w:eastAsia="Times New Roman" w:hAnsi="Symbol"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73239464">
    <w:abstractNumId w:val="2"/>
  </w:num>
  <w:num w:numId="2" w16cid:durableId="270742524">
    <w:abstractNumId w:val="0"/>
  </w:num>
  <w:num w:numId="3" w16cid:durableId="653608499">
    <w:abstractNumId w:val="1"/>
  </w:num>
  <w:num w:numId="4" w16cid:durableId="1003312564">
    <w:abstractNumId w:val="2"/>
    <w:lvlOverride w:ilvl="0">
      <w:startOverride w:val="1"/>
    </w:lvlOverride>
  </w:num>
  <w:num w:numId="5" w16cid:durableId="909728136">
    <w:abstractNumId w:val="0"/>
    <w:lvlOverride w:ilvl="0">
      <w:startOverride w:val="1"/>
    </w:lvlOverride>
  </w:num>
  <w:num w:numId="6" w16cid:durableId="1137912084">
    <w:abstractNumId w:val="14"/>
  </w:num>
  <w:num w:numId="7" w16cid:durableId="709107142">
    <w:abstractNumId w:val="5"/>
  </w:num>
  <w:num w:numId="8" w16cid:durableId="488058827">
    <w:abstractNumId w:val="11"/>
  </w:num>
  <w:num w:numId="9" w16cid:durableId="1118521754">
    <w:abstractNumId w:val="18"/>
  </w:num>
  <w:num w:numId="10" w16cid:durableId="1275937151">
    <w:abstractNumId w:val="3"/>
  </w:num>
  <w:num w:numId="11" w16cid:durableId="473373370">
    <w:abstractNumId w:val="13"/>
  </w:num>
  <w:num w:numId="12" w16cid:durableId="2086487017">
    <w:abstractNumId w:val="4"/>
  </w:num>
  <w:num w:numId="13" w16cid:durableId="989556691">
    <w:abstractNumId w:val="19"/>
  </w:num>
  <w:num w:numId="14" w16cid:durableId="1273780183">
    <w:abstractNumId w:val="9"/>
  </w:num>
  <w:num w:numId="15" w16cid:durableId="983311262">
    <w:abstractNumId w:val="8"/>
  </w:num>
  <w:num w:numId="16" w16cid:durableId="882596342">
    <w:abstractNumId w:val="17"/>
  </w:num>
  <w:num w:numId="17" w16cid:durableId="649604062">
    <w:abstractNumId w:val="16"/>
  </w:num>
  <w:num w:numId="18" w16cid:durableId="317653329">
    <w:abstractNumId w:val="6"/>
  </w:num>
  <w:num w:numId="19" w16cid:durableId="3481467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3292766">
    <w:abstractNumId w:val="7"/>
  </w:num>
  <w:num w:numId="21" w16cid:durableId="169806476">
    <w:abstractNumId w:val="10"/>
  </w:num>
  <w:num w:numId="22" w16cid:durableId="294526663">
    <w:abstractNumId w:val="12"/>
  </w:num>
  <w:num w:numId="23" w16cid:durableId="1531576488">
    <w:abstractNumId w:val="15"/>
  </w:num>
  <w:num w:numId="24" w16cid:durableId="194123469">
    <w:abstractNumId w:val="20"/>
  </w:num>
  <w:num w:numId="25" w16cid:durableId="9996221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0D"/>
    <w:rsid w:val="000015E4"/>
    <w:rsid w:val="00007C5C"/>
    <w:rsid w:val="000164E7"/>
    <w:rsid w:val="00022442"/>
    <w:rsid w:val="00023AD9"/>
    <w:rsid w:val="000243DE"/>
    <w:rsid w:val="00025D02"/>
    <w:rsid w:val="00026481"/>
    <w:rsid w:val="00035547"/>
    <w:rsid w:val="000414DB"/>
    <w:rsid w:val="00041D36"/>
    <w:rsid w:val="00043220"/>
    <w:rsid w:val="00046363"/>
    <w:rsid w:val="00050534"/>
    <w:rsid w:val="00051938"/>
    <w:rsid w:val="00054C22"/>
    <w:rsid w:val="000626D0"/>
    <w:rsid w:val="00075411"/>
    <w:rsid w:val="000821B7"/>
    <w:rsid w:val="000858B5"/>
    <w:rsid w:val="00090E40"/>
    <w:rsid w:val="00090FCA"/>
    <w:rsid w:val="000913E1"/>
    <w:rsid w:val="00095C01"/>
    <w:rsid w:val="000964C6"/>
    <w:rsid w:val="000A08E3"/>
    <w:rsid w:val="000A754A"/>
    <w:rsid w:val="000B0D0B"/>
    <w:rsid w:val="000B1CC9"/>
    <w:rsid w:val="000B34DF"/>
    <w:rsid w:val="000B62A0"/>
    <w:rsid w:val="000C1075"/>
    <w:rsid w:val="000C3AE1"/>
    <w:rsid w:val="000C3B48"/>
    <w:rsid w:val="000C5432"/>
    <w:rsid w:val="000C621A"/>
    <w:rsid w:val="000D3F01"/>
    <w:rsid w:val="000D4E27"/>
    <w:rsid w:val="000E30E7"/>
    <w:rsid w:val="000E5867"/>
    <w:rsid w:val="000E7E69"/>
    <w:rsid w:val="000F13D9"/>
    <w:rsid w:val="000F6059"/>
    <w:rsid w:val="000F77A5"/>
    <w:rsid w:val="0010046D"/>
    <w:rsid w:val="00103119"/>
    <w:rsid w:val="001054F4"/>
    <w:rsid w:val="00106051"/>
    <w:rsid w:val="00106F3A"/>
    <w:rsid w:val="00107FB6"/>
    <w:rsid w:val="00110D99"/>
    <w:rsid w:val="0011569B"/>
    <w:rsid w:val="00117B5A"/>
    <w:rsid w:val="00120721"/>
    <w:rsid w:val="001209C3"/>
    <w:rsid w:val="0012306F"/>
    <w:rsid w:val="00131266"/>
    <w:rsid w:val="00140FF0"/>
    <w:rsid w:val="0015247B"/>
    <w:rsid w:val="00154235"/>
    <w:rsid w:val="00157194"/>
    <w:rsid w:val="001601AF"/>
    <w:rsid w:val="001605C4"/>
    <w:rsid w:val="0016357E"/>
    <w:rsid w:val="00164AAF"/>
    <w:rsid w:val="00165442"/>
    <w:rsid w:val="00165E4E"/>
    <w:rsid w:val="001669AC"/>
    <w:rsid w:val="00175D09"/>
    <w:rsid w:val="00180EDD"/>
    <w:rsid w:val="0018474D"/>
    <w:rsid w:val="00185700"/>
    <w:rsid w:val="00187066"/>
    <w:rsid w:val="001A46F8"/>
    <w:rsid w:val="001A71CD"/>
    <w:rsid w:val="001B5017"/>
    <w:rsid w:val="001C4FC8"/>
    <w:rsid w:val="001C6F2A"/>
    <w:rsid w:val="001C7617"/>
    <w:rsid w:val="001D0DB9"/>
    <w:rsid w:val="001D101B"/>
    <w:rsid w:val="001D5A8B"/>
    <w:rsid w:val="001F7938"/>
    <w:rsid w:val="002048BC"/>
    <w:rsid w:val="00207417"/>
    <w:rsid w:val="00207C1A"/>
    <w:rsid w:val="00221E17"/>
    <w:rsid w:val="00227DDF"/>
    <w:rsid w:val="00231D77"/>
    <w:rsid w:val="00233BC2"/>
    <w:rsid w:val="002340CD"/>
    <w:rsid w:val="00240F37"/>
    <w:rsid w:val="0024455B"/>
    <w:rsid w:val="0025173E"/>
    <w:rsid w:val="00251A06"/>
    <w:rsid w:val="00260919"/>
    <w:rsid w:val="00264E67"/>
    <w:rsid w:val="002715C8"/>
    <w:rsid w:val="002740E1"/>
    <w:rsid w:val="0027489D"/>
    <w:rsid w:val="00274CD7"/>
    <w:rsid w:val="002822FB"/>
    <w:rsid w:val="0028397F"/>
    <w:rsid w:val="0029203D"/>
    <w:rsid w:val="00293CEB"/>
    <w:rsid w:val="002A0AFD"/>
    <w:rsid w:val="002A35B9"/>
    <w:rsid w:val="002A4326"/>
    <w:rsid w:val="002A4D3E"/>
    <w:rsid w:val="002A64EE"/>
    <w:rsid w:val="002B6DB5"/>
    <w:rsid w:val="002C13E1"/>
    <w:rsid w:val="002D1B6A"/>
    <w:rsid w:val="002D2649"/>
    <w:rsid w:val="002D3950"/>
    <w:rsid w:val="002D3C03"/>
    <w:rsid w:val="002D40AE"/>
    <w:rsid w:val="002E1027"/>
    <w:rsid w:val="002E2C0C"/>
    <w:rsid w:val="002F075A"/>
    <w:rsid w:val="002F4037"/>
    <w:rsid w:val="002F68A5"/>
    <w:rsid w:val="00301519"/>
    <w:rsid w:val="0030187E"/>
    <w:rsid w:val="00303445"/>
    <w:rsid w:val="00303AA0"/>
    <w:rsid w:val="0032088E"/>
    <w:rsid w:val="003210C1"/>
    <w:rsid w:val="003224ED"/>
    <w:rsid w:val="003246C1"/>
    <w:rsid w:val="003313B6"/>
    <w:rsid w:val="00331574"/>
    <w:rsid w:val="00331682"/>
    <w:rsid w:val="0033522E"/>
    <w:rsid w:val="003355F1"/>
    <w:rsid w:val="00344F48"/>
    <w:rsid w:val="0035242B"/>
    <w:rsid w:val="00353242"/>
    <w:rsid w:val="00355A52"/>
    <w:rsid w:val="0035651E"/>
    <w:rsid w:val="00362F2C"/>
    <w:rsid w:val="00363D70"/>
    <w:rsid w:val="00364EBA"/>
    <w:rsid w:val="003650DE"/>
    <w:rsid w:val="00366836"/>
    <w:rsid w:val="00374374"/>
    <w:rsid w:val="00374765"/>
    <w:rsid w:val="0038087B"/>
    <w:rsid w:val="003811F8"/>
    <w:rsid w:val="003A19C8"/>
    <w:rsid w:val="003A3C5C"/>
    <w:rsid w:val="003B630A"/>
    <w:rsid w:val="003B6860"/>
    <w:rsid w:val="003C0C21"/>
    <w:rsid w:val="003C126C"/>
    <w:rsid w:val="003C38A5"/>
    <w:rsid w:val="003C4A66"/>
    <w:rsid w:val="003C4B38"/>
    <w:rsid w:val="003D00FC"/>
    <w:rsid w:val="003D27AC"/>
    <w:rsid w:val="003E107C"/>
    <w:rsid w:val="003E4567"/>
    <w:rsid w:val="003E67AB"/>
    <w:rsid w:val="003E6C7F"/>
    <w:rsid w:val="003E7911"/>
    <w:rsid w:val="003E7B35"/>
    <w:rsid w:val="003F18F7"/>
    <w:rsid w:val="003F2466"/>
    <w:rsid w:val="003F3D5D"/>
    <w:rsid w:val="003F53CC"/>
    <w:rsid w:val="003F7990"/>
    <w:rsid w:val="00400978"/>
    <w:rsid w:val="004012CC"/>
    <w:rsid w:val="00411727"/>
    <w:rsid w:val="00415668"/>
    <w:rsid w:val="0042192D"/>
    <w:rsid w:val="00426CDB"/>
    <w:rsid w:val="00431135"/>
    <w:rsid w:val="0043114E"/>
    <w:rsid w:val="00435257"/>
    <w:rsid w:val="004411F7"/>
    <w:rsid w:val="00446074"/>
    <w:rsid w:val="0044659B"/>
    <w:rsid w:val="00446DDB"/>
    <w:rsid w:val="004531F7"/>
    <w:rsid w:val="004538AE"/>
    <w:rsid w:val="004657F4"/>
    <w:rsid w:val="00470E06"/>
    <w:rsid w:val="004717CF"/>
    <w:rsid w:val="004758ED"/>
    <w:rsid w:val="00476C6A"/>
    <w:rsid w:val="004823F6"/>
    <w:rsid w:val="00486D8A"/>
    <w:rsid w:val="00487C88"/>
    <w:rsid w:val="004978C4"/>
    <w:rsid w:val="00497AC9"/>
    <w:rsid w:val="004A0DBE"/>
    <w:rsid w:val="004A12A3"/>
    <w:rsid w:val="004A1F6A"/>
    <w:rsid w:val="004A2078"/>
    <w:rsid w:val="004B3CD2"/>
    <w:rsid w:val="004B3FED"/>
    <w:rsid w:val="004B4015"/>
    <w:rsid w:val="004B443C"/>
    <w:rsid w:val="004B46DF"/>
    <w:rsid w:val="004B6F90"/>
    <w:rsid w:val="004C56B8"/>
    <w:rsid w:val="004D4734"/>
    <w:rsid w:val="004E1067"/>
    <w:rsid w:val="004F547D"/>
    <w:rsid w:val="004F7FDB"/>
    <w:rsid w:val="00501144"/>
    <w:rsid w:val="005053A3"/>
    <w:rsid w:val="00507390"/>
    <w:rsid w:val="0051091C"/>
    <w:rsid w:val="00513AF9"/>
    <w:rsid w:val="00514D7C"/>
    <w:rsid w:val="00520B51"/>
    <w:rsid w:val="00522271"/>
    <w:rsid w:val="005257C7"/>
    <w:rsid w:val="00526855"/>
    <w:rsid w:val="0053609A"/>
    <w:rsid w:val="00541BA0"/>
    <w:rsid w:val="00541CC7"/>
    <w:rsid w:val="00544122"/>
    <w:rsid w:val="00545626"/>
    <w:rsid w:val="00545B6C"/>
    <w:rsid w:val="00551292"/>
    <w:rsid w:val="00552E7B"/>
    <w:rsid w:val="00561972"/>
    <w:rsid w:val="005814EC"/>
    <w:rsid w:val="00581780"/>
    <w:rsid w:val="0058338D"/>
    <w:rsid w:val="00596034"/>
    <w:rsid w:val="005A23FD"/>
    <w:rsid w:val="005A38F5"/>
    <w:rsid w:val="005A5C88"/>
    <w:rsid w:val="005B406E"/>
    <w:rsid w:val="005C319B"/>
    <w:rsid w:val="005D1128"/>
    <w:rsid w:val="005D16AB"/>
    <w:rsid w:val="005D2C41"/>
    <w:rsid w:val="005E3CCA"/>
    <w:rsid w:val="005E51D0"/>
    <w:rsid w:val="005E6A89"/>
    <w:rsid w:val="00600A09"/>
    <w:rsid w:val="0061383F"/>
    <w:rsid w:val="006207ED"/>
    <w:rsid w:val="00621155"/>
    <w:rsid w:val="0062433C"/>
    <w:rsid w:val="00626AFE"/>
    <w:rsid w:val="0063741D"/>
    <w:rsid w:val="00647AD1"/>
    <w:rsid w:val="006541FF"/>
    <w:rsid w:val="00670040"/>
    <w:rsid w:val="0067044E"/>
    <w:rsid w:val="00670F81"/>
    <w:rsid w:val="00671C45"/>
    <w:rsid w:val="00673D44"/>
    <w:rsid w:val="00682F6B"/>
    <w:rsid w:val="00692814"/>
    <w:rsid w:val="00697A83"/>
    <w:rsid w:val="006A46B9"/>
    <w:rsid w:val="006A5120"/>
    <w:rsid w:val="006A5B50"/>
    <w:rsid w:val="006B2CE5"/>
    <w:rsid w:val="006B44FB"/>
    <w:rsid w:val="006B6B77"/>
    <w:rsid w:val="006B75E3"/>
    <w:rsid w:val="006C522B"/>
    <w:rsid w:val="006C5269"/>
    <w:rsid w:val="006C61C7"/>
    <w:rsid w:val="006D33F6"/>
    <w:rsid w:val="006D74E3"/>
    <w:rsid w:val="006E1F55"/>
    <w:rsid w:val="006F31C6"/>
    <w:rsid w:val="006F7EA1"/>
    <w:rsid w:val="00717DA1"/>
    <w:rsid w:val="007206F9"/>
    <w:rsid w:val="007260AE"/>
    <w:rsid w:val="0072633F"/>
    <w:rsid w:val="00727B1D"/>
    <w:rsid w:val="00736734"/>
    <w:rsid w:val="00737A45"/>
    <w:rsid w:val="00744074"/>
    <w:rsid w:val="00744663"/>
    <w:rsid w:val="00745280"/>
    <w:rsid w:val="00755028"/>
    <w:rsid w:val="00755843"/>
    <w:rsid w:val="00757B5D"/>
    <w:rsid w:val="00760340"/>
    <w:rsid w:val="0076441B"/>
    <w:rsid w:val="007654BE"/>
    <w:rsid w:val="0077009D"/>
    <w:rsid w:val="00776CEF"/>
    <w:rsid w:val="00792A2F"/>
    <w:rsid w:val="00793D8E"/>
    <w:rsid w:val="00793FFF"/>
    <w:rsid w:val="007974A6"/>
    <w:rsid w:val="007A1147"/>
    <w:rsid w:val="007A1615"/>
    <w:rsid w:val="007B0657"/>
    <w:rsid w:val="007B0749"/>
    <w:rsid w:val="007C050A"/>
    <w:rsid w:val="007C0672"/>
    <w:rsid w:val="007C0D9D"/>
    <w:rsid w:val="007C2BA0"/>
    <w:rsid w:val="007C3799"/>
    <w:rsid w:val="007C514C"/>
    <w:rsid w:val="007C5AF1"/>
    <w:rsid w:val="007C7B08"/>
    <w:rsid w:val="007D1840"/>
    <w:rsid w:val="007E169C"/>
    <w:rsid w:val="007E67AA"/>
    <w:rsid w:val="007E7911"/>
    <w:rsid w:val="007F0C41"/>
    <w:rsid w:val="007F5212"/>
    <w:rsid w:val="008008AB"/>
    <w:rsid w:val="00803A3F"/>
    <w:rsid w:val="00806107"/>
    <w:rsid w:val="008114F6"/>
    <w:rsid w:val="0081292D"/>
    <w:rsid w:val="0081431B"/>
    <w:rsid w:val="00817798"/>
    <w:rsid w:val="00823FA1"/>
    <w:rsid w:val="00830C45"/>
    <w:rsid w:val="00836D5A"/>
    <w:rsid w:val="00844013"/>
    <w:rsid w:val="00857062"/>
    <w:rsid w:val="008634C8"/>
    <w:rsid w:val="008717B4"/>
    <w:rsid w:val="00873F47"/>
    <w:rsid w:val="00885847"/>
    <w:rsid w:val="0088705C"/>
    <w:rsid w:val="008968BC"/>
    <w:rsid w:val="008A344F"/>
    <w:rsid w:val="008A3D1C"/>
    <w:rsid w:val="008A5E49"/>
    <w:rsid w:val="008B29B8"/>
    <w:rsid w:val="008B2C35"/>
    <w:rsid w:val="008B69AD"/>
    <w:rsid w:val="008C2535"/>
    <w:rsid w:val="008C3092"/>
    <w:rsid w:val="008C5CA2"/>
    <w:rsid w:val="008C6773"/>
    <w:rsid w:val="008D1798"/>
    <w:rsid w:val="008D4F7F"/>
    <w:rsid w:val="008D746A"/>
    <w:rsid w:val="008E23F5"/>
    <w:rsid w:val="008E5048"/>
    <w:rsid w:val="008E5985"/>
    <w:rsid w:val="008E5D45"/>
    <w:rsid w:val="008F2CF0"/>
    <w:rsid w:val="008F682C"/>
    <w:rsid w:val="00903CE7"/>
    <w:rsid w:val="00905B06"/>
    <w:rsid w:val="00916276"/>
    <w:rsid w:val="009179CD"/>
    <w:rsid w:val="00917B3D"/>
    <w:rsid w:val="00917C2D"/>
    <w:rsid w:val="00921506"/>
    <w:rsid w:val="00923D68"/>
    <w:rsid w:val="00932F7F"/>
    <w:rsid w:val="00940C3E"/>
    <w:rsid w:val="00942700"/>
    <w:rsid w:val="0094571D"/>
    <w:rsid w:val="009508FD"/>
    <w:rsid w:val="009528CB"/>
    <w:rsid w:val="00953980"/>
    <w:rsid w:val="00957F59"/>
    <w:rsid w:val="00964F8F"/>
    <w:rsid w:val="009709FC"/>
    <w:rsid w:val="00973376"/>
    <w:rsid w:val="009750E6"/>
    <w:rsid w:val="00975FB1"/>
    <w:rsid w:val="009849A1"/>
    <w:rsid w:val="00984EC4"/>
    <w:rsid w:val="00986A10"/>
    <w:rsid w:val="00990242"/>
    <w:rsid w:val="00990D2C"/>
    <w:rsid w:val="00990F3B"/>
    <w:rsid w:val="009968EB"/>
    <w:rsid w:val="00997A69"/>
    <w:rsid w:val="009A1CE1"/>
    <w:rsid w:val="009A5782"/>
    <w:rsid w:val="009A6A9A"/>
    <w:rsid w:val="009B02CA"/>
    <w:rsid w:val="009B2E19"/>
    <w:rsid w:val="009B5CBD"/>
    <w:rsid w:val="009B65D1"/>
    <w:rsid w:val="009B68C5"/>
    <w:rsid w:val="009C36AF"/>
    <w:rsid w:val="009C3F6C"/>
    <w:rsid w:val="009D28D5"/>
    <w:rsid w:val="009D3F35"/>
    <w:rsid w:val="009D646B"/>
    <w:rsid w:val="009E1474"/>
    <w:rsid w:val="009E1BF4"/>
    <w:rsid w:val="009E5BF6"/>
    <w:rsid w:val="009F224C"/>
    <w:rsid w:val="009F61E3"/>
    <w:rsid w:val="00A00EA8"/>
    <w:rsid w:val="00A10ABE"/>
    <w:rsid w:val="00A10F25"/>
    <w:rsid w:val="00A1152A"/>
    <w:rsid w:val="00A13F24"/>
    <w:rsid w:val="00A22505"/>
    <w:rsid w:val="00A240CB"/>
    <w:rsid w:val="00A24D66"/>
    <w:rsid w:val="00A26B2E"/>
    <w:rsid w:val="00A31219"/>
    <w:rsid w:val="00A31385"/>
    <w:rsid w:val="00A33E67"/>
    <w:rsid w:val="00A37742"/>
    <w:rsid w:val="00A42503"/>
    <w:rsid w:val="00A44EEB"/>
    <w:rsid w:val="00A4710D"/>
    <w:rsid w:val="00A478A8"/>
    <w:rsid w:val="00A52C39"/>
    <w:rsid w:val="00A53AAD"/>
    <w:rsid w:val="00A54BA5"/>
    <w:rsid w:val="00A555B2"/>
    <w:rsid w:val="00A6715B"/>
    <w:rsid w:val="00A73572"/>
    <w:rsid w:val="00A736F4"/>
    <w:rsid w:val="00A80233"/>
    <w:rsid w:val="00A84A63"/>
    <w:rsid w:val="00A8664D"/>
    <w:rsid w:val="00A92D7C"/>
    <w:rsid w:val="00A96B55"/>
    <w:rsid w:val="00AA21DA"/>
    <w:rsid w:val="00AA3D1D"/>
    <w:rsid w:val="00AA7D2E"/>
    <w:rsid w:val="00AB1599"/>
    <w:rsid w:val="00AB7B44"/>
    <w:rsid w:val="00AC0A88"/>
    <w:rsid w:val="00AC6247"/>
    <w:rsid w:val="00AD05F3"/>
    <w:rsid w:val="00AD3228"/>
    <w:rsid w:val="00AD52C7"/>
    <w:rsid w:val="00AD5A81"/>
    <w:rsid w:val="00AD7782"/>
    <w:rsid w:val="00AE4DF7"/>
    <w:rsid w:val="00AE693B"/>
    <w:rsid w:val="00AF712B"/>
    <w:rsid w:val="00B11515"/>
    <w:rsid w:val="00B1206F"/>
    <w:rsid w:val="00B121F0"/>
    <w:rsid w:val="00B21E40"/>
    <w:rsid w:val="00B31839"/>
    <w:rsid w:val="00B42580"/>
    <w:rsid w:val="00B4332F"/>
    <w:rsid w:val="00B44685"/>
    <w:rsid w:val="00B4736D"/>
    <w:rsid w:val="00B50BED"/>
    <w:rsid w:val="00B52225"/>
    <w:rsid w:val="00B649BE"/>
    <w:rsid w:val="00B6616B"/>
    <w:rsid w:val="00B67317"/>
    <w:rsid w:val="00B732D2"/>
    <w:rsid w:val="00B81DCC"/>
    <w:rsid w:val="00B9094D"/>
    <w:rsid w:val="00B91315"/>
    <w:rsid w:val="00B95FDC"/>
    <w:rsid w:val="00BA3D51"/>
    <w:rsid w:val="00BB333D"/>
    <w:rsid w:val="00BB4EC6"/>
    <w:rsid w:val="00BB5F5A"/>
    <w:rsid w:val="00BC4DBC"/>
    <w:rsid w:val="00BD3657"/>
    <w:rsid w:val="00BD3AA1"/>
    <w:rsid w:val="00BD4013"/>
    <w:rsid w:val="00BD4041"/>
    <w:rsid w:val="00BD5597"/>
    <w:rsid w:val="00BE48BB"/>
    <w:rsid w:val="00BE6490"/>
    <w:rsid w:val="00BF23EA"/>
    <w:rsid w:val="00BF5495"/>
    <w:rsid w:val="00C01D21"/>
    <w:rsid w:val="00C10F2C"/>
    <w:rsid w:val="00C117CC"/>
    <w:rsid w:val="00C1394C"/>
    <w:rsid w:val="00C14053"/>
    <w:rsid w:val="00C208F4"/>
    <w:rsid w:val="00C2135C"/>
    <w:rsid w:val="00C2331A"/>
    <w:rsid w:val="00C2702E"/>
    <w:rsid w:val="00C33A30"/>
    <w:rsid w:val="00C363CE"/>
    <w:rsid w:val="00C36FBD"/>
    <w:rsid w:val="00C40563"/>
    <w:rsid w:val="00C42922"/>
    <w:rsid w:val="00C434E8"/>
    <w:rsid w:val="00C46CE1"/>
    <w:rsid w:val="00C47323"/>
    <w:rsid w:val="00C5104F"/>
    <w:rsid w:val="00C528A5"/>
    <w:rsid w:val="00C54180"/>
    <w:rsid w:val="00C56243"/>
    <w:rsid w:val="00C66C76"/>
    <w:rsid w:val="00C70753"/>
    <w:rsid w:val="00C731A6"/>
    <w:rsid w:val="00C770A7"/>
    <w:rsid w:val="00C90F59"/>
    <w:rsid w:val="00C95EC2"/>
    <w:rsid w:val="00CA5784"/>
    <w:rsid w:val="00CA67CA"/>
    <w:rsid w:val="00CA7C15"/>
    <w:rsid w:val="00CB30BF"/>
    <w:rsid w:val="00CB51C8"/>
    <w:rsid w:val="00CC24CA"/>
    <w:rsid w:val="00CD3474"/>
    <w:rsid w:val="00CD58F6"/>
    <w:rsid w:val="00CD75AF"/>
    <w:rsid w:val="00CE1BA8"/>
    <w:rsid w:val="00D037C8"/>
    <w:rsid w:val="00D11606"/>
    <w:rsid w:val="00D16A8F"/>
    <w:rsid w:val="00D313A0"/>
    <w:rsid w:val="00D326D9"/>
    <w:rsid w:val="00D33F6A"/>
    <w:rsid w:val="00D3423F"/>
    <w:rsid w:val="00D45554"/>
    <w:rsid w:val="00D46728"/>
    <w:rsid w:val="00D50660"/>
    <w:rsid w:val="00D515B8"/>
    <w:rsid w:val="00D52BD8"/>
    <w:rsid w:val="00D52C55"/>
    <w:rsid w:val="00D64ED2"/>
    <w:rsid w:val="00D6590D"/>
    <w:rsid w:val="00D65D2E"/>
    <w:rsid w:val="00D76957"/>
    <w:rsid w:val="00D92252"/>
    <w:rsid w:val="00D94B95"/>
    <w:rsid w:val="00DB5716"/>
    <w:rsid w:val="00DC0797"/>
    <w:rsid w:val="00DC3412"/>
    <w:rsid w:val="00DC7D91"/>
    <w:rsid w:val="00DD0317"/>
    <w:rsid w:val="00DD1646"/>
    <w:rsid w:val="00DE06D1"/>
    <w:rsid w:val="00DF09CF"/>
    <w:rsid w:val="00E00C62"/>
    <w:rsid w:val="00E00D82"/>
    <w:rsid w:val="00E00F94"/>
    <w:rsid w:val="00E02A03"/>
    <w:rsid w:val="00E03B88"/>
    <w:rsid w:val="00E0506A"/>
    <w:rsid w:val="00E067D7"/>
    <w:rsid w:val="00E103DA"/>
    <w:rsid w:val="00E12180"/>
    <w:rsid w:val="00E1611F"/>
    <w:rsid w:val="00E3358C"/>
    <w:rsid w:val="00E35A0E"/>
    <w:rsid w:val="00E40836"/>
    <w:rsid w:val="00E4123E"/>
    <w:rsid w:val="00E41B07"/>
    <w:rsid w:val="00E55C22"/>
    <w:rsid w:val="00E62B4B"/>
    <w:rsid w:val="00E62CC8"/>
    <w:rsid w:val="00E73501"/>
    <w:rsid w:val="00E77B94"/>
    <w:rsid w:val="00E812B6"/>
    <w:rsid w:val="00E83685"/>
    <w:rsid w:val="00E846CD"/>
    <w:rsid w:val="00E91929"/>
    <w:rsid w:val="00E91EFD"/>
    <w:rsid w:val="00EA749E"/>
    <w:rsid w:val="00EB6E75"/>
    <w:rsid w:val="00EB717D"/>
    <w:rsid w:val="00EB78C9"/>
    <w:rsid w:val="00EC127C"/>
    <w:rsid w:val="00EC385B"/>
    <w:rsid w:val="00ED4E95"/>
    <w:rsid w:val="00ED6785"/>
    <w:rsid w:val="00ED7896"/>
    <w:rsid w:val="00EE2B0D"/>
    <w:rsid w:val="00EF40BA"/>
    <w:rsid w:val="00EF67D7"/>
    <w:rsid w:val="00F02904"/>
    <w:rsid w:val="00F12B21"/>
    <w:rsid w:val="00F31BC4"/>
    <w:rsid w:val="00F43C61"/>
    <w:rsid w:val="00F507D8"/>
    <w:rsid w:val="00F5116B"/>
    <w:rsid w:val="00F5482D"/>
    <w:rsid w:val="00F57FD3"/>
    <w:rsid w:val="00F60051"/>
    <w:rsid w:val="00F6533F"/>
    <w:rsid w:val="00F70C69"/>
    <w:rsid w:val="00F74FDE"/>
    <w:rsid w:val="00F76B14"/>
    <w:rsid w:val="00F84943"/>
    <w:rsid w:val="00F9289B"/>
    <w:rsid w:val="00F93B77"/>
    <w:rsid w:val="00F96B61"/>
    <w:rsid w:val="00FA3B42"/>
    <w:rsid w:val="00FA45FE"/>
    <w:rsid w:val="00FB7FA0"/>
    <w:rsid w:val="00FC3B74"/>
    <w:rsid w:val="00FC6BFA"/>
    <w:rsid w:val="00FD04D5"/>
    <w:rsid w:val="00FD1724"/>
    <w:rsid w:val="00FD55A0"/>
    <w:rsid w:val="00FD56AC"/>
    <w:rsid w:val="00FD7071"/>
    <w:rsid w:val="00FE0E5B"/>
    <w:rsid w:val="00FF37C0"/>
    <w:rsid w:val="00FF424C"/>
    <w:rsid w:val="00FF7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5FF7E"/>
  <w15:chartTrackingRefBased/>
  <w15:docId w15:val="{871EAD91-901A-42C6-8E13-AB1F96285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1" w:qFormat="1"/>
    <w:lsdException w:name="annotation text" w:semiHidden="1"/>
    <w:lsdException w:name="header" w:uiPriority="8"/>
    <w:lsdException w:name="footer" w:uiPriority="8"/>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uiPriority="1"/>
    <w:lsdException w:name="annotation reference" w:semiHidden="1"/>
    <w:lsdException w:name="line number" w:semiHidden="1"/>
    <w:lsdException w:name="page number" w:semiHidden="1" w:uiPriority="8"/>
    <w:lsdException w:name="endnote reference" w:semiHidden="1" w:uiPriority="3"/>
    <w:lsdException w:name="endnote text" w:semiHidden="1" w:uiPriority="3"/>
    <w:lsdException w:name="table of authorities" w:semiHidden="1"/>
    <w:lsdException w:name="macro" w:semiHidden="1"/>
    <w:lsdException w:name="toa heading" w:semiHidden="1"/>
    <w:lsdException w:name="List" w:semiHidden="1"/>
    <w:lsdException w:name="List Bullet" w:uiPriority="1" w:qFormat="1"/>
    <w:lsdException w:name="List Number" w:uiPriority="1" w:qFormat="1"/>
    <w:lsdException w:name="List 2" w:semiHidden="1"/>
    <w:lsdException w:name="List 3" w:semiHidden="1"/>
    <w:lsdException w:name="List 4" w:semiHidden="1"/>
    <w:lsdException w:name="List 5" w:semiHidden="1"/>
    <w:lsdException w:name="List Bullet 2" w:uiPriority="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8" w:qFormat="1"/>
    <w:lsdException w:name="Closing" w:semiHidden="1"/>
    <w:lsdException w:name="Signature" w:semiHidden="1"/>
    <w:lsdException w:name="Default Paragraph Font" w:semiHidden="1" w:uiPriority="1" w:unhideWhenUsed="1"/>
    <w:lsdException w:name="Body Text" w:uiPriority="1" w:qFormat="1"/>
    <w:lsdException w:name="Body Text Indent" w:uiPriority="1"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8"/>
    <w:lsdException w:name="Salutation" w:semiHidden="1"/>
    <w:lsdException w:name="Date" w:semiHidden="1" w:uiPriority="8"/>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8"/>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8"/>
    <w:semiHidden/>
    <w:qFormat/>
    <w:rsid w:val="002A0AFD"/>
    <w:pPr>
      <w:spacing w:after="240" w:line="276" w:lineRule="auto"/>
    </w:pPr>
    <w:rPr>
      <w:sz w:val="24"/>
    </w:rPr>
  </w:style>
  <w:style w:type="paragraph" w:styleId="Heading1">
    <w:name w:val="heading 1"/>
    <w:next w:val="BodyText"/>
    <w:link w:val="Heading1Char"/>
    <w:qFormat/>
    <w:rsid w:val="002A0AFD"/>
    <w:pPr>
      <w:keepNext/>
      <w:keepLines/>
      <w:spacing w:before="480" w:after="480" w:line="240" w:lineRule="auto"/>
      <w:contextualSpacing/>
      <w:outlineLvl w:val="0"/>
    </w:pPr>
    <w:rPr>
      <w:rFonts w:asciiTheme="majorHAnsi" w:eastAsiaTheme="majorEastAsia" w:hAnsiTheme="majorHAnsi" w:cstheme="majorBidi"/>
      <w:b/>
      <w:color w:val="006D55"/>
      <w:sz w:val="48"/>
      <w:szCs w:val="32"/>
    </w:rPr>
  </w:style>
  <w:style w:type="paragraph" w:styleId="Heading2">
    <w:name w:val="heading 2"/>
    <w:next w:val="BodyText"/>
    <w:link w:val="Heading2Char"/>
    <w:qFormat/>
    <w:rsid w:val="00F507D8"/>
    <w:pPr>
      <w:keepNext/>
      <w:keepLines/>
      <w:spacing w:before="240" w:after="120" w:line="276" w:lineRule="auto"/>
      <w:outlineLvl w:val="1"/>
    </w:pPr>
    <w:rPr>
      <w:rFonts w:asciiTheme="majorHAnsi" w:eastAsiaTheme="majorEastAsia" w:hAnsiTheme="majorHAnsi" w:cstheme="majorBidi"/>
      <w:b/>
      <w:sz w:val="32"/>
      <w:szCs w:val="26"/>
    </w:rPr>
  </w:style>
  <w:style w:type="paragraph" w:styleId="Heading3">
    <w:name w:val="heading 3"/>
    <w:next w:val="BodyText"/>
    <w:link w:val="Heading3Char"/>
    <w:qFormat/>
    <w:rsid w:val="002F075A"/>
    <w:pPr>
      <w:keepNext/>
      <w:keepLines/>
      <w:spacing w:after="0" w:line="276" w:lineRule="auto"/>
      <w:contextualSpacing/>
      <w:outlineLvl w:val="2"/>
    </w:pPr>
    <w:rPr>
      <w:rFonts w:asciiTheme="majorHAnsi" w:eastAsiaTheme="majorEastAsia" w:hAnsiTheme="majorHAnsi" w:cstheme="majorBidi"/>
      <w:b/>
      <w:sz w:val="24"/>
      <w:szCs w:val="24"/>
    </w:rPr>
  </w:style>
  <w:style w:type="paragraph" w:styleId="Heading4">
    <w:name w:val="heading 4"/>
    <w:next w:val="BodyText"/>
    <w:link w:val="Heading4Char"/>
    <w:qFormat/>
    <w:rsid w:val="002F075A"/>
    <w:pPr>
      <w:keepNext/>
      <w:keepLines/>
      <w:spacing w:after="0" w:line="276" w:lineRule="auto"/>
      <w:contextualSpacing/>
      <w:outlineLvl w:val="3"/>
    </w:pPr>
    <w:rPr>
      <w:rFonts w:asciiTheme="majorHAnsi" w:eastAsiaTheme="majorEastAsia" w:hAnsiTheme="majorHAnsi" w:cstheme="maj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BodyText"/>
    <w:link w:val="FootnoteTextChar"/>
    <w:uiPriority w:val="3"/>
    <w:qFormat/>
    <w:rsid w:val="00916276"/>
    <w:pPr>
      <w:spacing w:after="40" w:line="240" w:lineRule="auto"/>
      <w:ind w:left="284" w:hanging="284"/>
    </w:pPr>
    <w:rPr>
      <w:sz w:val="20"/>
      <w:szCs w:val="20"/>
    </w:rPr>
  </w:style>
  <w:style w:type="character" w:customStyle="1" w:styleId="FootnoteTextChar">
    <w:name w:val="Footnote Text Char"/>
    <w:basedOn w:val="DefaultParagraphFont"/>
    <w:link w:val="FootnoteText"/>
    <w:uiPriority w:val="3"/>
    <w:rsid w:val="00916276"/>
    <w:rPr>
      <w:sz w:val="20"/>
      <w:szCs w:val="20"/>
    </w:rPr>
  </w:style>
  <w:style w:type="character" w:styleId="FootnoteReference">
    <w:name w:val="footnote reference"/>
    <w:basedOn w:val="DefaultParagraphFont"/>
    <w:uiPriority w:val="3"/>
    <w:semiHidden/>
    <w:rsid w:val="00B91315"/>
    <w:rPr>
      <w:vertAlign w:val="superscript"/>
    </w:rPr>
  </w:style>
  <w:style w:type="paragraph" w:styleId="Title">
    <w:name w:val="Title"/>
    <w:next w:val="Subtitle"/>
    <w:link w:val="TitleChar"/>
    <w:uiPriority w:val="8"/>
    <w:semiHidden/>
    <w:qFormat/>
    <w:rsid w:val="00F507D8"/>
    <w:pPr>
      <w:spacing w:before="2940" w:after="0" w:line="240" w:lineRule="auto"/>
      <w:contextualSpacing/>
    </w:pPr>
    <w:rPr>
      <w:rFonts w:asciiTheme="majorHAnsi" w:eastAsiaTheme="majorEastAsia" w:hAnsiTheme="majorHAnsi" w:cstheme="majorBidi"/>
      <w:b/>
      <w:color w:val="1D609D" w:themeColor="accent1"/>
      <w:sz w:val="68"/>
      <w:szCs w:val="56"/>
    </w:rPr>
  </w:style>
  <w:style w:type="character" w:customStyle="1" w:styleId="TitleChar">
    <w:name w:val="Title Char"/>
    <w:basedOn w:val="DefaultParagraphFont"/>
    <w:link w:val="Title"/>
    <w:uiPriority w:val="8"/>
    <w:semiHidden/>
    <w:rsid w:val="00F507D8"/>
    <w:rPr>
      <w:rFonts w:asciiTheme="majorHAnsi" w:eastAsiaTheme="majorEastAsia" w:hAnsiTheme="majorHAnsi" w:cstheme="majorBidi"/>
      <w:b/>
      <w:color w:val="1D609D" w:themeColor="accent1"/>
      <w:sz w:val="68"/>
      <w:szCs w:val="56"/>
    </w:rPr>
  </w:style>
  <w:style w:type="paragraph" w:styleId="Subtitle">
    <w:name w:val="Subtitle"/>
    <w:next w:val="BodyText"/>
    <w:link w:val="SubtitleChar"/>
    <w:uiPriority w:val="8"/>
    <w:semiHidden/>
    <w:rsid w:val="00F507D8"/>
    <w:pPr>
      <w:numPr>
        <w:ilvl w:val="1"/>
      </w:numPr>
      <w:spacing w:after="0" w:line="240" w:lineRule="auto"/>
      <w:contextualSpacing/>
    </w:pPr>
    <w:rPr>
      <w:rFonts w:asciiTheme="majorHAnsi" w:eastAsiaTheme="minorEastAsia" w:hAnsiTheme="majorHAnsi"/>
      <w:b/>
      <w:color w:val="1D609D" w:themeColor="accent1"/>
      <w:sz w:val="48"/>
    </w:rPr>
  </w:style>
  <w:style w:type="character" w:customStyle="1" w:styleId="SubtitleChar">
    <w:name w:val="Subtitle Char"/>
    <w:basedOn w:val="DefaultParagraphFont"/>
    <w:link w:val="Subtitle"/>
    <w:uiPriority w:val="8"/>
    <w:semiHidden/>
    <w:rsid w:val="00F507D8"/>
    <w:rPr>
      <w:rFonts w:asciiTheme="majorHAnsi" w:eastAsiaTheme="minorEastAsia" w:hAnsiTheme="majorHAnsi"/>
      <w:b/>
      <w:color w:val="1D609D" w:themeColor="accent1"/>
      <w:sz w:val="48"/>
    </w:rPr>
  </w:style>
  <w:style w:type="character" w:styleId="FollowedHyperlink">
    <w:name w:val="FollowedHyperlink"/>
    <w:uiPriority w:val="8"/>
    <w:unhideWhenUsed/>
    <w:rsid w:val="004978C4"/>
    <w:rPr>
      <w:color w:val="006D55"/>
      <w:u w:val="single"/>
    </w:rPr>
  </w:style>
  <w:style w:type="character" w:customStyle="1" w:styleId="Heading1Char">
    <w:name w:val="Heading 1 Char"/>
    <w:basedOn w:val="DefaultParagraphFont"/>
    <w:link w:val="Heading1"/>
    <w:rsid w:val="002A0AFD"/>
    <w:rPr>
      <w:rFonts w:asciiTheme="majorHAnsi" w:eastAsiaTheme="majorEastAsia" w:hAnsiTheme="majorHAnsi" w:cstheme="majorBidi"/>
      <w:b/>
      <w:color w:val="006D55"/>
      <w:sz w:val="48"/>
      <w:szCs w:val="32"/>
    </w:rPr>
  </w:style>
  <w:style w:type="paragraph" w:styleId="TOCHeading">
    <w:name w:val="TOC Heading"/>
    <w:basedOn w:val="Heading1"/>
    <w:next w:val="BodyText"/>
    <w:uiPriority w:val="8"/>
    <w:semiHidden/>
    <w:rsid w:val="00AD05F3"/>
    <w:pPr>
      <w:outlineLvl w:val="9"/>
    </w:pPr>
  </w:style>
  <w:style w:type="character" w:customStyle="1" w:styleId="Heading2Char">
    <w:name w:val="Heading 2 Char"/>
    <w:basedOn w:val="DefaultParagraphFont"/>
    <w:link w:val="Heading2"/>
    <w:rsid w:val="00F507D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rsid w:val="002F075A"/>
    <w:rPr>
      <w:rFonts w:asciiTheme="majorHAnsi" w:eastAsiaTheme="majorEastAsia" w:hAnsiTheme="majorHAnsi" w:cstheme="majorBidi"/>
      <w:b/>
      <w:sz w:val="24"/>
      <w:szCs w:val="24"/>
    </w:rPr>
  </w:style>
  <w:style w:type="character" w:customStyle="1" w:styleId="Heading4Char">
    <w:name w:val="Heading 4 Char"/>
    <w:basedOn w:val="DefaultParagraphFont"/>
    <w:link w:val="Heading4"/>
    <w:rsid w:val="002F075A"/>
    <w:rPr>
      <w:rFonts w:asciiTheme="majorHAnsi" w:eastAsiaTheme="majorEastAsia" w:hAnsiTheme="majorHAnsi" w:cstheme="majorBidi"/>
      <w:i/>
      <w:iCs/>
      <w:sz w:val="24"/>
    </w:rPr>
  </w:style>
  <w:style w:type="paragraph" w:styleId="BodyText">
    <w:name w:val="Body Text"/>
    <w:link w:val="BodyTextChar"/>
    <w:uiPriority w:val="1"/>
    <w:qFormat/>
    <w:rsid w:val="002F075A"/>
    <w:pPr>
      <w:spacing w:after="240" w:line="276" w:lineRule="auto"/>
    </w:pPr>
    <w:rPr>
      <w:sz w:val="24"/>
    </w:rPr>
  </w:style>
  <w:style w:type="character" w:customStyle="1" w:styleId="BodyTextChar">
    <w:name w:val="Body Text Char"/>
    <w:basedOn w:val="DefaultParagraphFont"/>
    <w:link w:val="BodyText"/>
    <w:uiPriority w:val="1"/>
    <w:rsid w:val="002F075A"/>
    <w:rPr>
      <w:sz w:val="24"/>
    </w:rPr>
  </w:style>
  <w:style w:type="paragraph" w:styleId="BodyTextIndent">
    <w:name w:val="Body Text Indent"/>
    <w:basedOn w:val="BodyText"/>
    <w:link w:val="BodyTextIndentChar"/>
    <w:uiPriority w:val="1"/>
    <w:qFormat/>
    <w:rsid w:val="002F075A"/>
    <w:pPr>
      <w:ind w:left="357"/>
    </w:pPr>
  </w:style>
  <w:style w:type="character" w:customStyle="1" w:styleId="BodyTextIndentChar">
    <w:name w:val="Body Text Indent Char"/>
    <w:basedOn w:val="DefaultParagraphFont"/>
    <w:link w:val="BodyTextIndent"/>
    <w:uiPriority w:val="1"/>
    <w:rsid w:val="002F075A"/>
    <w:rPr>
      <w:sz w:val="24"/>
    </w:rPr>
  </w:style>
  <w:style w:type="paragraph" w:styleId="ListBullet">
    <w:name w:val="List Bullet"/>
    <w:basedOn w:val="BodyText"/>
    <w:uiPriority w:val="2"/>
    <w:qFormat/>
    <w:rsid w:val="002A0AFD"/>
    <w:pPr>
      <w:numPr>
        <w:numId w:val="1"/>
      </w:numPr>
      <w:contextualSpacing/>
    </w:pPr>
  </w:style>
  <w:style w:type="paragraph" w:styleId="ListBullet2">
    <w:name w:val="List Bullet 2"/>
    <w:uiPriority w:val="2"/>
    <w:qFormat/>
    <w:rsid w:val="002A0AFD"/>
    <w:pPr>
      <w:numPr>
        <w:numId w:val="2"/>
      </w:numPr>
      <w:spacing w:after="240" w:line="276" w:lineRule="auto"/>
      <w:contextualSpacing/>
    </w:pPr>
    <w:rPr>
      <w:sz w:val="24"/>
    </w:rPr>
  </w:style>
  <w:style w:type="paragraph" w:styleId="ListNumber">
    <w:name w:val="List Number"/>
    <w:basedOn w:val="BodyText"/>
    <w:uiPriority w:val="1"/>
    <w:qFormat/>
    <w:rsid w:val="002F075A"/>
    <w:pPr>
      <w:numPr>
        <w:numId w:val="3"/>
      </w:numPr>
    </w:pPr>
  </w:style>
  <w:style w:type="paragraph" w:styleId="Header">
    <w:name w:val="header"/>
    <w:basedOn w:val="BodyText"/>
    <w:link w:val="HeaderChar"/>
    <w:uiPriority w:val="8"/>
    <w:semiHidden/>
    <w:rsid w:val="009A1CE1"/>
    <w:pPr>
      <w:spacing w:after="0"/>
      <w:jc w:val="center"/>
    </w:pPr>
    <w:rPr>
      <w:sz w:val="18"/>
    </w:rPr>
  </w:style>
  <w:style w:type="character" w:customStyle="1" w:styleId="HeaderChar">
    <w:name w:val="Header Char"/>
    <w:basedOn w:val="DefaultParagraphFont"/>
    <w:link w:val="Header"/>
    <w:uiPriority w:val="8"/>
    <w:semiHidden/>
    <w:rsid w:val="00BC4DBC"/>
    <w:rPr>
      <w:sz w:val="18"/>
    </w:rPr>
  </w:style>
  <w:style w:type="paragraph" w:styleId="Footer">
    <w:name w:val="footer"/>
    <w:basedOn w:val="BodyText"/>
    <w:link w:val="FooterChar"/>
    <w:uiPriority w:val="8"/>
    <w:semiHidden/>
    <w:rsid w:val="00990242"/>
    <w:pPr>
      <w:spacing w:after="0" w:line="240" w:lineRule="auto"/>
      <w:jc w:val="center"/>
    </w:pPr>
    <w:rPr>
      <w:b/>
    </w:rPr>
  </w:style>
  <w:style w:type="character" w:customStyle="1" w:styleId="FooterChar">
    <w:name w:val="Footer Char"/>
    <w:basedOn w:val="DefaultParagraphFont"/>
    <w:link w:val="Footer"/>
    <w:uiPriority w:val="8"/>
    <w:semiHidden/>
    <w:rsid w:val="00BC4DBC"/>
    <w:rPr>
      <w:b/>
      <w:sz w:val="24"/>
    </w:rPr>
  </w:style>
  <w:style w:type="paragraph" w:styleId="TOC1">
    <w:name w:val="toc 1"/>
    <w:basedOn w:val="BodyText"/>
    <w:uiPriority w:val="39"/>
    <w:semiHidden/>
    <w:rsid w:val="003D27AC"/>
    <w:pPr>
      <w:tabs>
        <w:tab w:val="right" w:pos="9639"/>
      </w:tabs>
      <w:spacing w:before="240" w:after="120"/>
    </w:pPr>
    <w:rPr>
      <w:b/>
    </w:rPr>
  </w:style>
  <w:style w:type="paragraph" w:styleId="TOC2">
    <w:name w:val="toc 2"/>
    <w:basedOn w:val="TOC1"/>
    <w:next w:val="BodyText"/>
    <w:uiPriority w:val="39"/>
    <w:semiHidden/>
    <w:rsid w:val="003D27AC"/>
    <w:pPr>
      <w:spacing w:before="0"/>
    </w:pPr>
    <w:rPr>
      <w:b w:val="0"/>
    </w:rPr>
  </w:style>
  <w:style w:type="character" w:styleId="Hyperlink">
    <w:name w:val="Hyperlink"/>
    <w:uiPriority w:val="7"/>
    <w:unhideWhenUsed/>
    <w:rsid w:val="004978C4"/>
    <w:rPr>
      <w:color w:val="006D55"/>
      <w:u w:val="single"/>
    </w:rPr>
  </w:style>
  <w:style w:type="paragraph" w:customStyle="1" w:styleId="EmphasisHeading">
    <w:name w:val="Emphasis Heading"/>
    <w:basedOn w:val="BodyText"/>
    <w:next w:val="EmphasisText"/>
    <w:uiPriority w:val="3"/>
    <w:qFormat/>
    <w:rsid w:val="002A0AFD"/>
    <w:pPr>
      <w:keepNext/>
      <w:keepLines/>
      <w:pBdr>
        <w:top w:val="single" w:sz="48" w:space="6" w:color="EEF3DA"/>
        <w:left w:val="single" w:sz="48" w:space="4" w:color="EEF3DA"/>
        <w:bottom w:val="single" w:sz="48" w:space="6" w:color="EEF3DA"/>
        <w:right w:val="single" w:sz="48" w:space="4" w:color="EEF3DA"/>
      </w:pBdr>
      <w:shd w:val="clear" w:color="auto" w:fill="EEF3DA"/>
      <w:spacing w:before="240"/>
      <w:ind w:left="199"/>
    </w:pPr>
    <w:rPr>
      <w:b/>
    </w:rPr>
  </w:style>
  <w:style w:type="paragraph" w:customStyle="1" w:styleId="EmphasisText">
    <w:name w:val="Emphasis Text"/>
    <w:basedOn w:val="BodyText"/>
    <w:uiPriority w:val="3"/>
    <w:qFormat/>
    <w:rsid w:val="002A0AFD"/>
    <w:pPr>
      <w:keepLines/>
      <w:pBdr>
        <w:top w:val="single" w:sz="48" w:space="6" w:color="EEF3DA"/>
        <w:left w:val="single" w:sz="48" w:space="4" w:color="EEF3DA"/>
        <w:bottom w:val="single" w:sz="48" w:space="6" w:color="EEF3DA"/>
        <w:right w:val="single" w:sz="48" w:space="4" w:color="EEF3DA"/>
      </w:pBdr>
      <w:shd w:val="clear" w:color="auto" w:fill="EEF3DA"/>
      <w:ind w:left="199"/>
    </w:pPr>
  </w:style>
  <w:style w:type="table" w:styleId="TableGrid">
    <w:name w:val="Table Grid"/>
    <w:basedOn w:val="TableNormal"/>
    <w:uiPriority w:val="39"/>
    <w:rsid w:val="001C6F2A"/>
    <w:pPr>
      <w:spacing w:after="0" w:line="240" w:lineRule="auto"/>
    </w:pPr>
    <w:tblPr>
      <w:tblBorders>
        <w:top w:val="single" w:sz="4" w:space="0" w:color="006D55"/>
        <w:left w:val="single" w:sz="4" w:space="0" w:color="006D55"/>
        <w:bottom w:val="single" w:sz="4" w:space="0" w:color="006D55"/>
        <w:right w:val="single" w:sz="4" w:space="0" w:color="006D55"/>
        <w:insideH w:val="single" w:sz="4" w:space="0" w:color="006D55"/>
        <w:insideV w:val="single" w:sz="4" w:space="0" w:color="006D55"/>
      </w:tblBorders>
      <w:tblCellMar>
        <w:top w:w="57" w:type="dxa"/>
        <w:left w:w="57" w:type="dxa"/>
        <w:bottom w:w="57" w:type="dxa"/>
        <w:right w:w="57" w:type="dxa"/>
      </w:tblCellMar>
    </w:tblPr>
    <w:tblStylePr w:type="firstRow">
      <w:pPr>
        <w:keepNext/>
        <w:keepLines/>
        <w:widowControl/>
        <w:wordWrap/>
      </w:pPr>
      <w:rPr>
        <w:b/>
        <w:color w:val="FFFFFF" w:themeColor="background1"/>
      </w:rPr>
      <w:tblPr/>
      <w:tcPr>
        <w:shd w:val="clear" w:color="auto" w:fill="006D55"/>
      </w:tcPr>
    </w:tblStylePr>
    <w:tblStylePr w:type="firstCol">
      <w:rPr>
        <w:b/>
        <w:i w:val="0"/>
      </w:rPr>
    </w:tblStylePr>
  </w:style>
  <w:style w:type="paragraph" w:customStyle="1" w:styleId="Covertext">
    <w:name w:val="Cover text"/>
    <w:basedOn w:val="BodyText"/>
    <w:uiPriority w:val="8"/>
    <w:semiHidden/>
    <w:qFormat/>
    <w:rsid w:val="00AE4DF7"/>
    <w:pPr>
      <w:spacing w:after="0"/>
    </w:pPr>
    <w:rPr>
      <w:color w:val="FFFFFF" w:themeColor="background1"/>
    </w:rPr>
  </w:style>
  <w:style w:type="character" w:styleId="UnresolvedMention">
    <w:name w:val="Unresolved Mention"/>
    <w:basedOn w:val="DefaultParagraphFont"/>
    <w:uiPriority w:val="99"/>
    <w:semiHidden/>
    <w:rsid w:val="00AD52C7"/>
    <w:rPr>
      <w:color w:val="808080"/>
      <w:shd w:val="clear" w:color="auto" w:fill="E6E6E6"/>
    </w:rPr>
  </w:style>
  <w:style w:type="paragraph" w:styleId="ListParagraph">
    <w:name w:val="List Paragraph"/>
    <w:basedOn w:val="Normal"/>
    <w:uiPriority w:val="34"/>
    <w:qFormat/>
    <w:rsid w:val="00301519"/>
    <w:pPr>
      <w:spacing w:after="160" w:line="259" w:lineRule="auto"/>
      <w:ind w:left="720"/>
      <w:contextualSpacing/>
    </w:pPr>
    <w:rPr>
      <w:sz w:val="22"/>
    </w:rPr>
  </w:style>
  <w:style w:type="character" w:styleId="CommentReference">
    <w:name w:val="annotation reference"/>
    <w:basedOn w:val="DefaultParagraphFont"/>
    <w:uiPriority w:val="99"/>
    <w:semiHidden/>
    <w:rsid w:val="009508FD"/>
    <w:rPr>
      <w:sz w:val="16"/>
      <w:szCs w:val="16"/>
    </w:rPr>
  </w:style>
  <w:style w:type="paragraph" w:styleId="CommentText">
    <w:name w:val="annotation text"/>
    <w:basedOn w:val="Normal"/>
    <w:link w:val="CommentTextChar"/>
    <w:uiPriority w:val="99"/>
    <w:semiHidden/>
    <w:rsid w:val="009508FD"/>
    <w:pPr>
      <w:spacing w:line="240" w:lineRule="auto"/>
    </w:pPr>
    <w:rPr>
      <w:sz w:val="20"/>
      <w:szCs w:val="20"/>
    </w:rPr>
  </w:style>
  <w:style w:type="character" w:customStyle="1" w:styleId="CommentTextChar">
    <w:name w:val="Comment Text Char"/>
    <w:basedOn w:val="DefaultParagraphFont"/>
    <w:link w:val="CommentText"/>
    <w:uiPriority w:val="99"/>
    <w:semiHidden/>
    <w:rsid w:val="009508FD"/>
    <w:rPr>
      <w:sz w:val="20"/>
      <w:szCs w:val="20"/>
    </w:rPr>
  </w:style>
  <w:style w:type="paragraph" w:styleId="CommentSubject">
    <w:name w:val="annotation subject"/>
    <w:basedOn w:val="CommentText"/>
    <w:next w:val="CommentText"/>
    <w:link w:val="CommentSubjectChar"/>
    <w:uiPriority w:val="99"/>
    <w:semiHidden/>
    <w:rsid w:val="009508FD"/>
    <w:rPr>
      <w:b/>
      <w:bCs/>
    </w:rPr>
  </w:style>
  <w:style w:type="character" w:customStyle="1" w:styleId="CommentSubjectChar">
    <w:name w:val="Comment Subject Char"/>
    <w:basedOn w:val="CommentTextChar"/>
    <w:link w:val="CommentSubject"/>
    <w:uiPriority w:val="99"/>
    <w:semiHidden/>
    <w:rsid w:val="009508FD"/>
    <w:rPr>
      <w:b/>
      <w:bCs/>
      <w:sz w:val="20"/>
      <w:szCs w:val="20"/>
    </w:rPr>
  </w:style>
  <w:style w:type="paragraph" w:styleId="Revision">
    <w:name w:val="Revision"/>
    <w:hidden/>
    <w:uiPriority w:val="99"/>
    <w:semiHidden/>
    <w:rsid w:val="007A1147"/>
    <w:pPr>
      <w:spacing w:after="0" w:line="240" w:lineRule="auto"/>
    </w:pPr>
    <w:rPr>
      <w:sz w:val="24"/>
    </w:rPr>
  </w:style>
  <w:style w:type="character" w:customStyle="1" w:styleId="normaltextrun">
    <w:name w:val="normaltextrun"/>
    <w:basedOn w:val="DefaultParagraphFont"/>
    <w:rsid w:val="008C2535"/>
  </w:style>
  <w:style w:type="character" w:customStyle="1" w:styleId="eop">
    <w:name w:val="eop"/>
    <w:basedOn w:val="DefaultParagraphFont"/>
    <w:rsid w:val="008C2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599460">
      <w:bodyDiv w:val="1"/>
      <w:marLeft w:val="0"/>
      <w:marRight w:val="0"/>
      <w:marTop w:val="0"/>
      <w:marBottom w:val="0"/>
      <w:divBdr>
        <w:top w:val="none" w:sz="0" w:space="0" w:color="auto"/>
        <w:left w:val="none" w:sz="0" w:space="0" w:color="auto"/>
        <w:bottom w:val="none" w:sz="0" w:space="0" w:color="auto"/>
        <w:right w:val="none" w:sz="0" w:space="0" w:color="auto"/>
      </w:divBdr>
    </w:div>
    <w:div w:id="1206408361">
      <w:bodyDiv w:val="1"/>
      <w:marLeft w:val="0"/>
      <w:marRight w:val="0"/>
      <w:marTop w:val="0"/>
      <w:marBottom w:val="0"/>
      <w:divBdr>
        <w:top w:val="none" w:sz="0" w:space="0" w:color="auto"/>
        <w:left w:val="none" w:sz="0" w:space="0" w:color="auto"/>
        <w:bottom w:val="none" w:sz="0" w:space="0" w:color="auto"/>
        <w:right w:val="none" w:sz="0" w:space="0" w:color="auto"/>
      </w:divBdr>
    </w:div>
    <w:div w:id="137411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legal-aid-agency/about/complaints-procedure" TargetMode="External"/><Relationship Id="rId13" Type="http://schemas.openxmlformats.org/officeDocument/2006/relationships/hyperlink" Target="https://assets.publishing.service.gov.uk/media/66a9ff2d0808eaf43b50da63/4_8_2024_Immigration_and_Asylum_Category_Specific_Rules.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assets.publishing.service.gov.uk/media/65a7a47f64060200143cb7cf/Guidance_for_Reporting_Controlled_Work_V35.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legal-aid-agency/about/complaints-procedure" TargetMode="External"/><Relationship Id="rId5" Type="http://schemas.openxmlformats.org/officeDocument/2006/relationships/webSettings" Target="webSettings.xml"/><Relationship Id="rId15" Type="http://schemas.openxmlformats.org/officeDocument/2006/relationships/hyperlink" Target="https://www.legislation.gov.uk/ukpga/2022/36/contents/enacted" TargetMode="External"/><Relationship Id="rId23" Type="http://schemas.openxmlformats.org/officeDocument/2006/relationships/theme" Target="theme/theme1.xml"/><Relationship Id="rId10" Type="http://schemas.openxmlformats.org/officeDocument/2006/relationships/hyperlink" Target="https://assets.publishing.service.gov.uk/government/uploads/system/uploads/attachment_data/file/1086137/Assessing_credibility_and_refugee_status_post_28_June_2022.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questions-statements.parliament.uk/written-statements/detail/2023-06-08/hlws824" TargetMode="External"/><Relationship Id="rId14"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MoJ">
      <a:dk1>
        <a:sysClr val="windowText" lastClr="000000"/>
      </a:dk1>
      <a:lt1>
        <a:sysClr val="window" lastClr="FFFFFF"/>
      </a:lt1>
      <a:dk2>
        <a:srgbClr val="000000"/>
      </a:dk2>
      <a:lt2>
        <a:srgbClr val="FFFFFF"/>
      </a:lt2>
      <a:accent1>
        <a:srgbClr val="1D609D"/>
      </a:accent1>
      <a:accent2>
        <a:srgbClr val="30AA51"/>
      </a:accent2>
      <a:accent3>
        <a:srgbClr val="E9426E"/>
      </a:accent3>
      <a:accent4>
        <a:srgbClr val="565B96"/>
      </a:accent4>
      <a:accent5>
        <a:srgbClr val="00A5A1"/>
      </a:accent5>
      <a:accent6>
        <a:srgbClr val="EE7127"/>
      </a:accent6>
      <a:hlink>
        <a:srgbClr val="00B1EB"/>
      </a:hlink>
      <a:folHlink>
        <a:srgbClr val="00B1EB"/>
      </a:folHlink>
    </a:clrScheme>
    <a:fontScheme name="MoJ">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C2305-053F-437C-A826-F850D2B50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2605</Words>
  <Characters>14852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[Title]</vt:lpstr>
    </vt:vector>
  </TitlesOfParts>
  <Manager>LAA</Manager>
  <Company>LAA</Company>
  <LinksUpToDate>false</LinksUpToDate>
  <CharactersWithSpaces>17423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 or description]</dc:subject>
  <dc:creator>Bond, Catherine (LAA)</dc:creator>
  <cp:keywords>[Key words for search engines, separated by commas]</cp:keywords>
  <dc:description/>
  <cp:lastModifiedBy>Sharp, Catherine | She/Hers</cp:lastModifiedBy>
  <cp:revision>9</cp:revision>
  <dcterms:created xsi:type="dcterms:W3CDTF">2024-10-01T09:33:00Z</dcterms:created>
  <dcterms:modified xsi:type="dcterms:W3CDTF">2024-10-09T14:05:00Z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1,4,5</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6,7,8</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eed1d2f5-2977-4ce1-839d-57a403841e1f_Enabled">
    <vt:lpwstr>true</vt:lpwstr>
  </property>
  <property fmtid="{D5CDD505-2E9C-101B-9397-08002B2CF9AE}" pid="9" name="MSIP_Label_eed1d2f5-2977-4ce1-839d-57a403841e1f_SetDate">
    <vt:lpwstr>2024-07-01T18:14:51Z</vt:lpwstr>
  </property>
  <property fmtid="{D5CDD505-2E9C-101B-9397-08002B2CF9AE}" pid="10" name="MSIP_Label_eed1d2f5-2977-4ce1-839d-57a403841e1f_Method">
    <vt:lpwstr>Privileged</vt:lpwstr>
  </property>
  <property fmtid="{D5CDD505-2E9C-101B-9397-08002B2CF9AE}" pid="11" name="MSIP_Label_eed1d2f5-2977-4ce1-839d-57a403841e1f_Name">
    <vt:lpwstr>OFFICIAL</vt:lpwstr>
  </property>
  <property fmtid="{D5CDD505-2E9C-101B-9397-08002B2CF9AE}" pid="12" name="MSIP_Label_eed1d2f5-2977-4ce1-839d-57a403841e1f_SiteId">
    <vt:lpwstr>c6874728-71e6-41fe-a9e1-2e8c36776ad8</vt:lpwstr>
  </property>
  <property fmtid="{D5CDD505-2E9C-101B-9397-08002B2CF9AE}" pid="13" name="MSIP_Label_eed1d2f5-2977-4ce1-839d-57a403841e1f_ActionId">
    <vt:lpwstr>c9d219fa-143c-4a0d-b499-86be56946733</vt:lpwstr>
  </property>
  <property fmtid="{D5CDD505-2E9C-101B-9397-08002B2CF9AE}" pid="14" name="MSIP_Label_eed1d2f5-2977-4ce1-839d-57a403841e1f_ContentBits">
    <vt:lpwstr>3</vt:lpwstr>
  </property>
</Properties>
</file>