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F1A7" w14:textId="7DAB5394" w:rsidR="00B21E40" w:rsidRDefault="00B21E40" w:rsidP="00B87188"/>
    <w:p w14:paraId="30B23F64" w14:textId="7CDED3EF" w:rsidR="00DD0317" w:rsidRDefault="00DD0317" w:rsidP="00B87188"/>
    <w:p w14:paraId="0B757B1A" w14:textId="1E3BE40D" w:rsidR="00DD0317" w:rsidRDefault="00DD0317" w:rsidP="00B87188"/>
    <w:p w14:paraId="7AA89B8A" w14:textId="3163EEA7" w:rsidR="00DD0317" w:rsidRDefault="00DD0317" w:rsidP="00B87188"/>
    <w:p w14:paraId="71C93900" w14:textId="5E8D41F9" w:rsidR="0044659B" w:rsidRDefault="008A344F" w:rsidP="00B87188">
      <w:pPr>
        <w:pStyle w:val="Heading1"/>
        <w:jc w:val="center"/>
        <w:rPr>
          <w:sz w:val="72"/>
          <w:szCs w:val="72"/>
        </w:rPr>
      </w:pPr>
      <w:r w:rsidRPr="008A344F">
        <w:rPr>
          <w:sz w:val="72"/>
          <w:szCs w:val="72"/>
        </w:rPr>
        <w:t xml:space="preserve">Immigration </w:t>
      </w:r>
      <w:r w:rsidR="00215F27">
        <w:rPr>
          <w:sz w:val="72"/>
          <w:szCs w:val="72"/>
        </w:rPr>
        <w:t>and</w:t>
      </w:r>
      <w:r w:rsidRPr="008A344F">
        <w:rPr>
          <w:sz w:val="72"/>
          <w:szCs w:val="72"/>
        </w:rPr>
        <w:t xml:space="preserve"> Asylum Key</w:t>
      </w:r>
      <w:r w:rsidR="00915579">
        <w:rPr>
          <w:sz w:val="72"/>
          <w:szCs w:val="72"/>
        </w:rPr>
        <w:t xml:space="preserve"> </w:t>
      </w:r>
      <w:r w:rsidRPr="008A344F">
        <w:rPr>
          <w:sz w:val="72"/>
          <w:szCs w:val="72"/>
        </w:rPr>
        <w:t xml:space="preserve">card </w:t>
      </w:r>
      <w:r w:rsidR="00246F67">
        <w:rPr>
          <w:sz w:val="72"/>
          <w:szCs w:val="72"/>
        </w:rPr>
        <w:t>3</w:t>
      </w:r>
    </w:p>
    <w:p w14:paraId="45FDCA62" w14:textId="77777777" w:rsidR="0044659B" w:rsidRDefault="0044659B" w:rsidP="00B87188">
      <w:pPr>
        <w:pStyle w:val="Heading1"/>
        <w:jc w:val="center"/>
        <w:rPr>
          <w:sz w:val="72"/>
          <w:szCs w:val="72"/>
        </w:rPr>
      </w:pPr>
    </w:p>
    <w:p w14:paraId="071A53D2" w14:textId="0D8B6290" w:rsidR="00187CF6" w:rsidRPr="00187CF6" w:rsidRDefault="00645074" w:rsidP="00FC22F6">
      <w:pPr>
        <w:pStyle w:val="Heading1"/>
        <w:jc w:val="center"/>
      </w:pPr>
      <w:r>
        <w:rPr>
          <w:sz w:val="72"/>
          <w:szCs w:val="72"/>
        </w:rPr>
        <w:t xml:space="preserve">Streamlined Asylum Process, </w:t>
      </w:r>
      <w:r w:rsidR="00B92C75">
        <w:rPr>
          <w:sz w:val="72"/>
          <w:szCs w:val="72"/>
        </w:rPr>
        <w:t xml:space="preserve">Home Office </w:t>
      </w:r>
      <w:r w:rsidR="00A07827">
        <w:rPr>
          <w:sz w:val="72"/>
          <w:szCs w:val="72"/>
        </w:rPr>
        <w:t xml:space="preserve">Adult </w:t>
      </w:r>
      <w:r w:rsidR="00B92C75">
        <w:rPr>
          <w:sz w:val="72"/>
          <w:szCs w:val="72"/>
        </w:rPr>
        <w:t>Questionnaire</w:t>
      </w:r>
      <w:r w:rsidR="00A07827">
        <w:rPr>
          <w:sz w:val="72"/>
          <w:szCs w:val="72"/>
        </w:rPr>
        <w:t xml:space="preserve"> </w:t>
      </w:r>
      <w:r w:rsidR="00B92C75">
        <w:rPr>
          <w:sz w:val="72"/>
          <w:szCs w:val="72"/>
        </w:rPr>
        <w:t xml:space="preserve">&amp; </w:t>
      </w:r>
      <w:r w:rsidR="000F347F">
        <w:rPr>
          <w:sz w:val="72"/>
          <w:szCs w:val="72"/>
        </w:rPr>
        <w:t>Preliminary Information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87CF6" w14:paraId="4D385D09" w14:textId="77777777" w:rsidTr="00003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2974D72" w14:textId="77777777" w:rsidR="00187CF6" w:rsidRDefault="00187CF6" w:rsidP="00003CCC">
            <w:pPr>
              <w:pStyle w:val="BodyText"/>
              <w:spacing w:after="0"/>
            </w:pPr>
            <w:r>
              <w:t>Version</w:t>
            </w:r>
          </w:p>
        </w:tc>
        <w:tc>
          <w:tcPr>
            <w:tcW w:w="1925" w:type="dxa"/>
          </w:tcPr>
          <w:p w14:paraId="1182FDD6" w14:textId="77777777" w:rsidR="00187CF6" w:rsidRDefault="00187CF6" w:rsidP="00003CCC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Issue date</w:t>
            </w:r>
          </w:p>
        </w:tc>
        <w:tc>
          <w:tcPr>
            <w:tcW w:w="1926" w:type="dxa"/>
          </w:tcPr>
          <w:p w14:paraId="6950B209" w14:textId="77777777" w:rsidR="00187CF6" w:rsidRDefault="00187CF6" w:rsidP="00003CCC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review date</w:t>
            </w:r>
          </w:p>
        </w:tc>
        <w:tc>
          <w:tcPr>
            <w:tcW w:w="1926" w:type="dxa"/>
          </w:tcPr>
          <w:p w14:paraId="57CB056B" w14:textId="77777777" w:rsidR="00187CF6" w:rsidRDefault="00187CF6" w:rsidP="00003CCC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Owned by</w:t>
            </w:r>
          </w:p>
        </w:tc>
        <w:tc>
          <w:tcPr>
            <w:tcW w:w="1926" w:type="dxa"/>
          </w:tcPr>
          <w:p w14:paraId="229BC745" w14:textId="77777777" w:rsidR="00187CF6" w:rsidRDefault="00187CF6" w:rsidP="00003CCC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Reviewed by</w:t>
            </w:r>
          </w:p>
        </w:tc>
      </w:tr>
      <w:tr w:rsidR="00187CF6" w14:paraId="4526626A" w14:textId="77777777" w:rsidTr="00003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0655FA3D" w14:textId="77777777" w:rsidR="00187CF6" w:rsidRDefault="00187CF6" w:rsidP="00003CCC">
            <w:pPr>
              <w:pStyle w:val="BodyText"/>
              <w:spacing w:after="0"/>
            </w:pPr>
            <w:r>
              <w:t>1.0</w:t>
            </w:r>
          </w:p>
        </w:tc>
        <w:tc>
          <w:tcPr>
            <w:tcW w:w="1925" w:type="dxa"/>
            <w:shd w:val="clear" w:color="auto" w:fill="auto"/>
          </w:tcPr>
          <w:p w14:paraId="2B6DB314" w14:textId="7ABC27BB" w:rsidR="00187CF6" w:rsidRPr="0092721D" w:rsidRDefault="00187CF6" w:rsidP="00003CC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</w:t>
            </w:r>
            <w:r w:rsidR="003D6709">
              <w:t>7</w:t>
            </w:r>
            <w:r>
              <w:t>6/2024</w:t>
            </w:r>
          </w:p>
        </w:tc>
        <w:tc>
          <w:tcPr>
            <w:tcW w:w="1926" w:type="dxa"/>
            <w:shd w:val="clear" w:color="auto" w:fill="auto"/>
          </w:tcPr>
          <w:p w14:paraId="2A7BD398" w14:textId="6D8B72AB" w:rsidR="00187CF6" w:rsidRPr="0092721D" w:rsidRDefault="00187CF6" w:rsidP="00003CC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</w:t>
            </w:r>
            <w:r w:rsidR="003D6709">
              <w:t>7</w:t>
            </w:r>
            <w:r>
              <w:t>/2024</w:t>
            </w:r>
          </w:p>
        </w:tc>
        <w:tc>
          <w:tcPr>
            <w:tcW w:w="1926" w:type="dxa"/>
          </w:tcPr>
          <w:p w14:paraId="6B713313" w14:textId="77777777" w:rsidR="00187CF6" w:rsidRDefault="00187CF6" w:rsidP="00003CC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</w:tc>
        <w:tc>
          <w:tcPr>
            <w:tcW w:w="1926" w:type="dxa"/>
          </w:tcPr>
          <w:p w14:paraId="70C15D54" w14:textId="77777777" w:rsidR="00187CF6" w:rsidRDefault="00187CF6" w:rsidP="00003CC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 &amp; Service Development</w:t>
            </w:r>
          </w:p>
        </w:tc>
      </w:tr>
      <w:tr w:rsidR="00FC22F6" w14:paraId="2E869B1F" w14:textId="77777777" w:rsidTr="00003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1B8636D1" w14:textId="10D413C1" w:rsidR="00FC22F6" w:rsidRDefault="00FC22F6" w:rsidP="00FC22F6">
            <w:pPr>
              <w:pStyle w:val="BodyText"/>
              <w:spacing w:after="0"/>
            </w:pPr>
            <w:r>
              <w:t>2.0</w:t>
            </w:r>
          </w:p>
        </w:tc>
        <w:tc>
          <w:tcPr>
            <w:tcW w:w="1925" w:type="dxa"/>
            <w:shd w:val="clear" w:color="auto" w:fill="auto"/>
          </w:tcPr>
          <w:p w14:paraId="06F1AA4C" w14:textId="2061A45C" w:rsidR="00FC22F6" w:rsidRDefault="00FC22F6" w:rsidP="00FC22F6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721637">
              <w:t>04</w:t>
            </w:r>
            <w:r>
              <w:t>/10/2024</w:t>
            </w:r>
          </w:p>
        </w:tc>
        <w:tc>
          <w:tcPr>
            <w:tcW w:w="1926" w:type="dxa"/>
            <w:shd w:val="clear" w:color="auto" w:fill="auto"/>
          </w:tcPr>
          <w:p w14:paraId="001EEC32" w14:textId="6EE260E5" w:rsidR="00FC22F6" w:rsidRDefault="00FC22F6" w:rsidP="00FC22F6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01/10/2024</w:t>
            </w:r>
          </w:p>
        </w:tc>
        <w:tc>
          <w:tcPr>
            <w:tcW w:w="1926" w:type="dxa"/>
          </w:tcPr>
          <w:p w14:paraId="3D57F1B0" w14:textId="04109F8C" w:rsidR="00FC22F6" w:rsidRDefault="00FC22F6" w:rsidP="00FC22F6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</w:tc>
        <w:tc>
          <w:tcPr>
            <w:tcW w:w="1926" w:type="dxa"/>
          </w:tcPr>
          <w:p w14:paraId="71DFB744" w14:textId="0CC570F7" w:rsidR="00FC22F6" w:rsidRDefault="00FC22F6" w:rsidP="00FC22F6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 &amp; Service Development</w:t>
            </w:r>
          </w:p>
        </w:tc>
      </w:tr>
    </w:tbl>
    <w:p w14:paraId="61C73756" w14:textId="79FBA5F1" w:rsidR="00DD0317" w:rsidRDefault="00DD0317" w:rsidP="00B87188"/>
    <w:p w14:paraId="3A526C33" w14:textId="77777777" w:rsidR="00FF3B03" w:rsidRDefault="00FF3B03" w:rsidP="00FF3B03">
      <w:pPr>
        <w:pStyle w:val="Heading1"/>
        <w:rPr>
          <w:sz w:val="32"/>
        </w:rPr>
      </w:pPr>
      <w:r>
        <w:rPr>
          <w:sz w:val="32"/>
        </w:rPr>
        <w:lastRenderedPageBreak/>
        <w:t>Scope and purpose</w:t>
      </w:r>
    </w:p>
    <w:p w14:paraId="070DC4C9" w14:textId="30FD6F62" w:rsidR="00FF3B03" w:rsidRDefault="00FF3B03" w:rsidP="00FF3B03">
      <w:pPr>
        <w:pStyle w:val="BodyText"/>
      </w:pPr>
      <w:r>
        <w:t>This Key</w:t>
      </w:r>
      <w:r w:rsidR="00915579">
        <w:t xml:space="preserve"> </w:t>
      </w:r>
      <w:r>
        <w:t>card is designed to bring together the key information from existing regulations, Contract terms or guidance, on this topic and act as</w:t>
      </w:r>
      <w:r w:rsidR="007C1300">
        <w:t xml:space="preserve"> an</w:t>
      </w:r>
      <w:r>
        <w:t xml:space="preserve"> </w:t>
      </w:r>
      <w:r w:rsidRPr="00347041">
        <w:t>assistance tool to highlight and explain specific elements</w:t>
      </w:r>
      <w:r>
        <w:t>.</w:t>
      </w:r>
    </w:p>
    <w:p w14:paraId="364307D8" w14:textId="77777777" w:rsidR="00FF3B03" w:rsidRDefault="00FF3B03" w:rsidP="00FF3B03">
      <w:pPr>
        <w:pStyle w:val="BodyText"/>
      </w:pPr>
      <w:r>
        <w:t>This document does not replace the need for providers to be aware and adhere to the underlying regulations, Contract terms or guidance.</w:t>
      </w:r>
    </w:p>
    <w:p w14:paraId="0C566378" w14:textId="542A7F7B" w:rsidR="00330777" w:rsidRDefault="00330777" w:rsidP="00B87188">
      <w:pPr>
        <w:pStyle w:val="Heading1"/>
        <w:rPr>
          <w:sz w:val="32"/>
        </w:rPr>
      </w:pPr>
      <w:r>
        <w:rPr>
          <w:sz w:val="32"/>
        </w:rPr>
        <w:t>Streamlined Asylum Process (SAP)</w:t>
      </w:r>
    </w:p>
    <w:p w14:paraId="75F8DEC9" w14:textId="4907910B" w:rsidR="00A21B72" w:rsidRPr="00A21B72" w:rsidRDefault="00A21B72" w:rsidP="00B87188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Initial Implementation</w:t>
      </w:r>
    </w:p>
    <w:p w14:paraId="3F41FF6F" w14:textId="6599D35A" w:rsidR="00C85FBA" w:rsidRDefault="00C85FBA" w:rsidP="00B8718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Home Office launched th</w:t>
      </w:r>
      <w:r w:rsidR="001E7F19">
        <w:rPr>
          <w:rFonts w:ascii="Arial" w:hAnsi="Arial" w:cs="Arial"/>
          <w:szCs w:val="24"/>
        </w:rPr>
        <w:t>e Streamlined Asylum P</w:t>
      </w:r>
      <w:r>
        <w:rPr>
          <w:rFonts w:ascii="Arial" w:hAnsi="Arial" w:cs="Arial"/>
          <w:szCs w:val="24"/>
        </w:rPr>
        <w:t xml:space="preserve">rocess </w:t>
      </w:r>
      <w:r w:rsidR="0081530C">
        <w:rPr>
          <w:rFonts w:ascii="Arial" w:hAnsi="Arial" w:cs="Arial"/>
          <w:szCs w:val="24"/>
        </w:rPr>
        <w:t xml:space="preserve">(SAP) </w:t>
      </w:r>
      <w:r>
        <w:rPr>
          <w:rFonts w:ascii="Arial" w:hAnsi="Arial" w:cs="Arial"/>
          <w:szCs w:val="24"/>
        </w:rPr>
        <w:t xml:space="preserve">with the intention of dealing with </w:t>
      </w:r>
      <w:r w:rsidR="00590D38">
        <w:rPr>
          <w:rFonts w:ascii="Arial" w:hAnsi="Arial" w:cs="Arial"/>
          <w:szCs w:val="24"/>
        </w:rPr>
        <w:t xml:space="preserve">their </w:t>
      </w:r>
      <w:r w:rsidR="001E7F19">
        <w:rPr>
          <w:rFonts w:ascii="Arial" w:hAnsi="Arial" w:cs="Arial"/>
          <w:szCs w:val="24"/>
        </w:rPr>
        <w:t xml:space="preserve">legacy </w:t>
      </w:r>
      <w:r>
        <w:rPr>
          <w:rFonts w:ascii="Arial" w:hAnsi="Arial" w:cs="Arial"/>
          <w:szCs w:val="24"/>
        </w:rPr>
        <w:t>cases more quickly</w:t>
      </w:r>
      <w:r w:rsidR="001E7F19">
        <w:rPr>
          <w:rFonts w:ascii="Arial" w:hAnsi="Arial" w:cs="Arial"/>
          <w:szCs w:val="24"/>
        </w:rPr>
        <w:t>;</w:t>
      </w:r>
      <w:r>
        <w:rPr>
          <w:rFonts w:ascii="Arial" w:hAnsi="Arial" w:cs="Arial"/>
          <w:szCs w:val="24"/>
        </w:rPr>
        <w:t xml:space="preserve"> enabling clear cut applications </w:t>
      </w:r>
      <w:r w:rsidR="001E7F19">
        <w:rPr>
          <w:rFonts w:ascii="Arial" w:hAnsi="Arial" w:cs="Arial"/>
          <w:szCs w:val="24"/>
        </w:rPr>
        <w:t>to</w:t>
      </w:r>
      <w:r>
        <w:rPr>
          <w:rFonts w:ascii="Arial" w:hAnsi="Arial" w:cs="Arial"/>
          <w:szCs w:val="24"/>
        </w:rPr>
        <w:t xml:space="preserve"> be approved at an early stage, </w:t>
      </w:r>
      <w:r w:rsidR="001E7F19">
        <w:rPr>
          <w:rFonts w:ascii="Arial" w:hAnsi="Arial" w:cs="Arial"/>
          <w:szCs w:val="24"/>
        </w:rPr>
        <w:t xml:space="preserve">thus </w:t>
      </w:r>
      <w:r>
        <w:rPr>
          <w:rFonts w:ascii="Arial" w:hAnsi="Arial" w:cs="Arial"/>
          <w:szCs w:val="24"/>
        </w:rPr>
        <w:t xml:space="preserve">freeing up more resource time for </w:t>
      </w:r>
      <w:r w:rsidR="003B1E98">
        <w:rPr>
          <w:rFonts w:ascii="Arial" w:hAnsi="Arial" w:cs="Arial"/>
          <w:szCs w:val="24"/>
        </w:rPr>
        <w:t>newer and more complex</w:t>
      </w:r>
      <w:r>
        <w:rPr>
          <w:rFonts w:ascii="Arial" w:hAnsi="Arial" w:cs="Arial"/>
          <w:szCs w:val="24"/>
        </w:rPr>
        <w:t xml:space="preserve"> applications.</w:t>
      </w:r>
    </w:p>
    <w:p w14:paraId="11C907A5" w14:textId="576D9378" w:rsidR="006A5B99" w:rsidRDefault="006A5B99" w:rsidP="00B87188">
      <w:pPr>
        <w:pStyle w:val="BodyText"/>
        <w:rPr>
          <w:rFonts w:ascii="Arial" w:hAnsi="Arial" w:cs="Arial"/>
          <w:color w:val="000000"/>
        </w:rPr>
      </w:pPr>
      <w:r>
        <w:t xml:space="preserve">Initially the SAP concentrated on legacy cases from the top 5 high grant nationalities, </w:t>
      </w:r>
      <w:r>
        <w:rPr>
          <w:rFonts w:ascii="Arial" w:hAnsi="Arial" w:cs="Arial"/>
          <w:color w:val="000000"/>
        </w:rPr>
        <w:t xml:space="preserve">Eritrea, Syria, Afghanistan, Libya and Yemen. It has subsequently been extended to those arriving from Sudan. </w:t>
      </w:r>
    </w:p>
    <w:p w14:paraId="55E56B14" w14:textId="6B24C696" w:rsidR="00A6234F" w:rsidRDefault="006A5B99" w:rsidP="00B87188">
      <w:pPr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</w:rPr>
        <w:t xml:space="preserve">The SAP has further been extended for the above countries to flow cases, which are those where the asylum application was submitted prior to 6 March 2023. </w:t>
      </w:r>
      <w:r w:rsidR="00A6234F">
        <w:rPr>
          <w:rFonts w:ascii="Arial" w:hAnsi="Arial" w:cs="Arial"/>
          <w:szCs w:val="24"/>
        </w:rPr>
        <w:t xml:space="preserve"> </w:t>
      </w:r>
    </w:p>
    <w:p w14:paraId="552E700F" w14:textId="00CAB7A6" w:rsidR="00A6234F" w:rsidRDefault="002428F9" w:rsidP="00B8718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SAP</w:t>
      </w:r>
      <w:r w:rsidR="00A6234F">
        <w:rPr>
          <w:rFonts w:ascii="Arial" w:hAnsi="Arial" w:cs="Arial"/>
          <w:szCs w:val="24"/>
        </w:rPr>
        <w:t xml:space="preserve"> requires the completion and return of a </w:t>
      </w:r>
      <w:r w:rsidR="00E45179">
        <w:rPr>
          <w:rFonts w:ascii="Arial" w:hAnsi="Arial" w:cs="Arial"/>
          <w:szCs w:val="24"/>
        </w:rPr>
        <w:t>10-page</w:t>
      </w:r>
      <w:r w:rsidR="006507F0">
        <w:rPr>
          <w:rFonts w:ascii="Arial" w:hAnsi="Arial" w:cs="Arial"/>
          <w:szCs w:val="24"/>
        </w:rPr>
        <w:t xml:space="preserve"> questionnaire which may result in an asylum decision </w:t>
      </w:r>
      <w:r w:rsidR="007C51EE">
        <w:rPr>
          <w:rFonts w:ascii="Arial" w:hAnsi="Arial" w:cs="Arial"/>
          <w:szCs w:val="24"/>
        </w:rPr>
        <w:t>being made without the need for a substantive interview.</w:t>
      </w:r>
      <w:r w:rsidR="006A5B99">
        <w:rPr>
          <w:rFonts w:ascii="Arial" w:hAnsi="Arial" w:cs="Arial"/>
          <w:szCs w:val="24"/>
        </w:rPr>
        <w:t xml:space="preserve"> The questionnaire must be completed and returned within 30 working days.</w:t>
      </w:r>
    </w:p>
    <w:p w14:paraId="30B95164" w14:textId="42E19B0B" w:rsidR="00A21B72" w:rsidRPr="00A21B72" w:rsidRDefault="003C1A93" w:rsidP="00B87188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Additions to the process</w:t>
      </w:r>
    </w:p>
    <w:p w14:paraId="61F12621" w14:textId="382C2954" w:rsidR="00C85FBA" w:rsidRDefault="00C85FBA" w:rsidP="00B8718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</w:t>
      </w:r>
      <w:r w:rsidR="00E45179">
        <w:rPr>
          <w:rFonts w:ascii="Arial" w:hAnsi="Arial" w:cs="Arial"/>
          <w:szCs w:val="24"/>
        </w:rPr>
        <w:t>addition,</w:t>
      </w:r>
      <w:r>
        <w:rPr>
          <w:rFonts w:ascii="Arial" w:hAnsi="Arial" w:cs="Arial"/>
          <w:szCs w:val="24"/>
        </w:rPr>
        <w:t xml:space="preserve"> the Home Office has </w:t>
      </w:r>
      <w:r w:rsidR="00372380">
        <w:rPr>
          <w:rFonts w:ascii="Arial" w:hAnsi="Arial" w:cs="Arial"/>
          <w:szCs w:val="24"/>
        </w:rPr>
        <w:t xml:space="preserve">now </w:t>
      </w:r>
      <w:r>
        <w:rPr>
          <w:rFonts w:ascii="Arial" w:hAnsi="Arial" w:cs="Arial"/>
          <w:szCs w:val="24"/>
        </w:rPr>
        <w:t>included Iran and Iraq to the list of countries eligible for the questionnaire. However</w:t>
      </w:r>
      <w:r w:rsidR="00A64D0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 key difference is that </w:t>
      </w:r>
      <w:r w:rsidRPr="00372380">
        <w:rPr>
          <w:rFonts w:ascii="Arial" w:hAnsi="Arial" w:cs="Arial"/>
          <w:b/>
          <w:bCs/>
          <w:szCs w:val="24"/>
        </w:rPr>
        <w:t xml:space="preserve">these two countries have </w:t>
      </w:r>
      <w:r w:rsidRPr="00372380">
        <w:rPr>
          <w:rFonts w:ascii="Arial" w:hAnsi="Arial" w:cs="Arial"/>
          <w:b/>
          <w:bCs/>
          <w:szCs w:val="24"/>
          <w:u w:val="single"/>
        </w:rPr>
        <w:t>not</w:t>
      </w:r>
      <w:r w:rsidRPr="00372380">
        <w:rPr>
          <w:rFonts w:ascii="Arial" w:hAnsi="Arial" w:cs="Arial"/>
          <w:b/>
          <w:bCs/>
          <w:szCs w:val="24"/>
        </w:rPr>
        <w:t xml:space="preserve"> been added to the </w:t>
      </w:r>
      <w:r w:rsidR="00A017AA" w:rsidRPr="00372380">
        <w:rPr>
          <w:rFonts w:ascii="Arial" w:hAnsi="Arial" w:cs="Arial"/>
          <w:b/>
          <w:bCs/>
          <w:szCs w:val="24"/>
        </w:rPr>
        <w:t>SAP</w:t>
      </w:r>
      <w:r w:rsidR="00A017A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This means that although legacy case clients </w:t>
      </w:r>
      <w:r w:rsidR="00586E1D">
        <w:rPr>
          <w:rFonts w:ascii="Arial" w:hAnsi="Arial" w:cs="Arial"/>
          <w:szCs w:val="24"/>
        </w:rPr>
        <w:t xml:space="preserve">with claims submitted </w:t>
      </w:r>
      <w:r>
        <w:rPr>
          <w:rFonts w:ascii="Arial" w:hAnsi="Arial" w:cs="Arial"/>
          <w:szCs w:val="24"/>
        </w:rPr>
        <w:t xml:space="preserve">post </w:t>
      </w:r>
      <w:r w:rsidR="00A017AA">
        <w:rPr>
          <w:rFonts w:ascii="Arial" w:hAnsi="Arial" w:cs="Arial"/>
          <w:szCs w:val="24"/>
        </w:rPr>
        <w:t xml:space="preserve">28 </w:t>
      </w:r>
      <w:r>
        <w:rPr>
          <w:rFonts w:ascii="Arial" w:hAnsi="Arial" w:cs="Arial"/>
          <w:szCs w:val="24"/>
        </w:rPr>
        <w:t xml:space="preserve">June 2022 from Iran and Iraq will be sent questionnaires to complete, they will </w:t>
      </w:r>
      <w:r w:rsidR="006A5B99">
        <w:rPr>
          <w:rFonts w:ascii="Arial" w:hAnsi="Arial" w:cs="Arial"/>
          <w:szCs w:val="24"/>
        </w:rPr>
        <w:t xml:space="preserve">likely </w:t>
      </w:r>
      <w:r>
        <w:rPr>
          <w:rFonts w:ascii="Arial" w:hAnsi="Arial" w:cs="Arial"/>
          <w:szCs w:val="24"/>
        </w:rPr>
        <w:t>still be required to attend a substantive interview and all non-SAP asylum claiming rules will apply.</w:t>
      </w:r>
    </w:p>
    <w:p w14:paraId="7D72923F" w14:textId="04954783" w:rsidR="00B92C75" w:rsidRDefault="0027430D" w:rsidP="00B87188">
      <w:pPr>
        <w:pStyle w:val="Heading1"/>
        <w:rPr>
          <w:sz w:val="32"/>
        </w:rPr>
      </w:pPr>
      <w:r>
        <w:rPr>
          <w:sz w:val="32"/>
        </w:rPr>
        <w:t xml:space="preserve">Home Office </w:t>
      </w:r>
      <w:r w:rsidR="00A07827">
        <w:rPr>
          <w:sz w:val="32"/>
        </w:rPr>
        <w:t xml:space="preserve">Adult </w:t>
      </w:r>
      <w:r>
        <w:rPr>
          <w:sz w:val="32"/>
        </w:rPr>
        <w:t>Questionnaire</w:t>
      </w:r>
      <w:r w:rsidR="00584833">
        <w:rPr>
          <w:sz w:val="32"/>
        </w:rPr>
        <w:t xml:space="preserve"> (AQ)</w:t>
      </w:r>
    </w:p>
    <w:p w14:paraId="5D180970" w14:textId="5750B963" w:rsidR="0027430D" w:rsidRDefault="0027430D" w:rsidP="00B87188">
      <w:pPr>
        <w:pStyle w:val="BodyText"/>
        <w:rPr>
          <w:b/>
          <w:bCs/>
        </w:rPr>
      </w:pPr>
      <w:r w:rsidRPr="0027430D">
        <w:rPr>
          <w:b/>
          <w:bCs/>
        </w:rPr>
        <w:t>Background</w:t>
      </w:r>
    </w:p>
    <w:p w14:paraId="0D38E735" w14:textId="33E3ECAF" w:rsidR="0092214F" w:rsidRDefault="00310B90" w:rsidP="00B8718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The</w:t>
      </w:r>
      <w:r w:rsidR="00C83D71">
        <w:rPr>
          <w:rFonts w:ascii="Arial" w:hAnsi="Arial" w:cs="Arial"/>
          <w:szCs w:val="24"/>
        </w:rPr>
        <w:t xml:space="preserve"> </w:t>
      </w:r>
      <w:r w:rsidR="00442E4F">
        <w:rPr>
          <w:rFonts w:ascii="Arial" w:hAnsi="Arial" w:cs="Arial"/>
          <w:szCs w:val="24"/>
        </w:rPr>
        <w:t>10-page</w:t>
      </w:r>
      <w:r w:rsidR="00C83D71">
        <w:rPr>
          <w:rFonts w:ascii="Arial" w:hAnsi="Arial" w:cs="Arial"/>
          <w:szCs w:val="24"/>
        </w:rPr>
        <w:t xml:space="preserve"> questionnaire </w:t>
      </w:r>
      <w:r w:rsidR="00290FF5">
        <w:rPr>
          <w:rFonts w:ascii="Arial" w:hAnsi="Arial" w:cs="Arial"/>
          <w:szCs w:val="24"/>
        </w:rPr>
        <w:t>can</w:t>
      </w:r>
      <w:r w:rsidR="000E6BA3">
        <w:rPr>
          <w:rFonts w:ascii="Arial" w:hAnsi="Arial" w:cs="Arial"/>
          <w:szCs w:val="24"/>
        </w:rPr>
        <w:t xml:space="preserve"> be sent to</w:t>
      </w:r>
      <w:r w:rsidR="00C83D71">
        <w:rPr>
          <w:rFonts w:ascii="Arial" w:hAnsi="Arial" w:cs="Arial"/>
          <w:szCs w:val="24"/>
        </w:rPr>
        <w:t xml:space="preserve"> </w:t>
      </w:r>
      <w:r w:rsidR="00A74A4F">
        <w:rPr>
          <w:rFonts w:ascii="Arial" w:hAnsi="Arial" w:cs="Arial"/>
          <w:szCs w:val="24"/>
        </w:rPr>
        <w:t xml:space="preserve">adult </w:t>
      </w:r>
      <w:r w:rsidR="00C83D71">
        <w:rPr>
          <w:rFonts w:ascii="Arial" w:hAnsi="Arial" w:cs="Arial"/>
          <w:szCs w:val="24"/>
        </w:rPr>
        <w:t xml:space="preserve">nationals </w:t>
      </w:r>
      <w:r w:rsidR="000E6BA3">
        <w:rPr>
          <w:rFonts w:ascii="Arial" w:hAnsi="Arial" w:cs="Arial"/>
          <w:szCs w:val="24"/>
        </w:rPr>
        <w:t xml:space="preserve">claiming asylum and arriving </w:t>
      </w:r>
      <w:r w:rsidR="00C83D71">
        <w:rPr>
          <w:rFonts w:ascii="Arial" w:hAnsi="Arial" w:cs="Arial"/>
          <w:szCs w:val="24"/>
        </w:rPr>
        <w:t>from</w:t>
      </w:r>
      <w:r w:rsidR="0092214F">
        <w:rPr>
          <w:rFonts w:ascii="Arial" w:hAnsi="Arial" w:cs="Arial"/>
          <w:szCs w:val="24"/>
        </w:rPr>
        <w:t xml:space="preserve"> </w:t>
      </w:r>
      <w:r w:rsidR="00CA6ACF">
        <w:rPr>
          <w:rFonts w:ascii="Arial" w:hAnsi="Arial" w:cs="Arial"/>
          <w:szCs w:val="24"/>
        </w:rPr>
        <w:t xml:space="preserve">the top 5 high grant countries: </w:t>
      </w:r>
      <w:r w:rsidR="00C86D48">
        <w:rPr>
          <w:rFonts w:ascii="Arial" w:hAnsi="Arial" w:cs="Arial"/>
          <w:szCs w:val="24"/>
        </w:rPr>
        <w:t>Eritrea, Syria, Afghanistan, Libya,</w:t>
      </w:r>
      <w:r w:rsidR="00CA6ACF">
        <w:rPr>
          <w:rFonts w:ascii="Arial" w:hAnsi="Arial" w:cs="Arial"/>
          <w:szCs w:val="24"/>
        </w:rPr>
        <w:t xml:space="preserve"> and</w:t>
      </w:r>
      <w:r w:rsidR="00C86D48">
        <w:rPr>
          <w:rFonts w:ascii="Arial" w:hAnsi="Arial" w:cs="Arial"/>
          <w:szCs w:val="24"/>
        </w:rPr>
        <w:t xml:space="preserve"> Yemen</w:t>
      </w:r>
      <w:r w:rsidR="00F63D41">
        <w:rPr>
          <w:rFonts w:ascii="Arial" w:hAnsi="Arial" w:cs="Arial"/>
          <w:szCs w:val="24"/>
        </w:rPr>
        <w:t xml:space="preserve">, and now </w:t>
      </w:r>
      <w:r w:rsidR="003E0AF4">
        <w:rPr>
          <w:rFonts w:ascii="Arial" w:hAnsi="Arial" w:cs="Arial"/>
          <w:szCs w:val="24"/>
        </w:rPr>
        <w:t xml:space="preserve">also </w:t>
      </w:r>
      <w:r w:rsidR="00F63D41">
        <w:rPr>
          <w:rFonts w:ascii="Arial" w:hAnsi="Arial" w:cs="Arial"/>
          <w:szCs w:val="24"/>
        </w:rPr>
        <w:t xml:space="preserve">Sudan, Iran and Iraq. </w:t>
      </w:r>
    </w:p>
    <w:p w14:paraId="1767C4FE" w14:textId="77777777" w:rsidR="008A4EE4" w:rsidRDefault="004350FE" w:rsidP="00B8718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Clients from these countries who receive a questionnaire and</w:t>
      </w:r>
      <w:r w:rsidR="00C83D71">
        <w:rPr>
          <w:rFonts w:ascii="Arial" w:hAnsi="Arial" w:cs="Arial"/>
          <w:szCs w:val="24"/>
        </w:rPr>
        <w:t xml:space="preserve"> wish to claim asylum </w:t>
      </w:r>
      <w:r>
        <w:rPr>
          <w:rFonts w:ascii="Arial" w:hAnsi="Arial" w:cs="Arial"/>
          <w:szCs w:val="24"/>
        </w:rPr>
        <w:t>must complete it</w:t>
      </w:r>
      <w:r w:rsidR="00C83D71">
        <w:rPr>
          <w:rFonts w:ascii="Arial" w:hAnsi="Arial" w:cs="Arial"/>
          <w:szCs w:val="24"/>
        </w:rPr>
        <w:t xml:space="preserve"> in English and sen</w:t>
      </w:r>
      <w:r w:rsidR="00C9428C">
        <w:rPr>
          <w:rFonts w:ascii="Arial" w:hAnsi="Arial" w:cs="Arial"/>
          <w:szCs w:val="24"/>
        </w:rPr>
        <w:t>d it</w:t>
      </w:r>
      <w:r w:rsidR="00C83D71">
        <w:rPr>
          <w:rFonts w:ascii="Arial" w:hAnsi="Arial" w:cs="Arial"/>
          <w:szCs w:val="24"/>
        </w:rPr>
        <w:t xml:space="preserve"> back to the Home Office within </w:t>
      </w:r>
      <w:r w:rsidR="003C1A93">
        <w:rPr>
          <w:rFonts w:ascii="Arial" w:hAnsi="Arial" w:cs="Arial"/>
          <w:szCs w:val="24"/>
        </w:rPr>
        <w:t>3</w:t>
      </w:r>
      <w:r w:rsidR="00C83D71">
        <w:rPr>
          <w:rFonts w:ascii="Arial" w:hAnsi="Arial" w:cs="Arial"/>
          <w:szCs w:val="24"/>
        </w:rPr>
        <w:t>0 working days.</w:t>
      </w:r>
    </w:p>
    <w:p w14:paraId="46181BB6" w14:textId="035BED57" w:rsidR="00C83D71" w:rsidRDefault="008A4EE4" w:rsidP="00B87188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The claim may then be determined on the information contained in the questionnaire and accompanying evidence without the need for a substantive interview, or the Home Office may determine that a substantive interview is still required. </w:t>
      </w:r>
      <w:r w:rsidR="003E0AF4">
        <w:rPr>
          <w:rFonts w:ascii="Arial" w:hAnsi="Arial" w:cs="Arial"/>
        </w:rPr>
        <w:t xml:space="preserve">As noted above </w:t>
      </w:r>
      <w:r w:rsidR="003A35BC">
        <w:rPr>
          <w:rFonts w:ascii="Arial" w:hAnsi="Arial" w:cs="Arial"/>
        </w:rPr>
        <w:t xml:space="preserve">however, </w:t>
      </w:r>
      <w:r w:rsidR="00442E4F">
        <w:rPr>
          <w:rFonts w:ascii="Arial" w:hAnsi="Arial" w:cs="Arial"/>
        </w:rPr>
        <w:t>C</w:t>
      </w:r>
      <w:r w:rsidR="003A35BC">
        <w:rPr>
          <w:rFonts w:ascii="Arial" w:hAnsi="Arial" w:cs="Arial"/>
        </w:rPr>
        <w:t>lients from Iran and Iraq sit outside the SAP and will still require an interview.</w:t>
      </w:r>
    </w:p>
    <w:p w14:paraId="50AA80D7" w14:textId="073485A0" w:rsidR="0027430D" w:rsidRPr="006A70D9" w:rsidRDefault="006A70D9" w:rsidP="00B87188">
      <w:pPr>
        <w:pStyle w:val="BodyText"/>
        <w:rPr>
          <w:b/>
          <w:bCs/>
        </w:rPr>
      </w:pPr>
      <w:r w:rsidRPr="006A70D9">
        <w:rPr>
          <w:b/>
          <w:bCs/>
        </w:rPr>
        <w:t>Scope</w:t>
      </w:r>
    </w:p>
    <w:p w14:paraId="12362FC2" w14:textId="25747792" w:rsidR="006A70D9" w:rsidRDefault="006A70D9" w:rsidP="00B87188">
      <w:pPr>
        <w:pStyle w:val="BodyText"/>
      </w:pPr>
      <w:r>
        <w:t xml:space="preserve">For new matters </w:t>
      </w:r>
      <w:r w:rsidR="00487FE8">
        <w:t xml:space="preserve">opened for </w:t>
      </w:r>
      <w:r w:rsidR="00215F27">
        <w:t>c</w:t>
      </w:r>
      <w:r w:rsidR="00487FE8">
        <w:t xml:space="preserve">lients who have received a questionnaire, </w:t>
      </w:r>
      <w:r w:rsidR="007A2C80">
        <w:t xml:space="preserve">you </w:t>
      </w:r>
      <w:r w:rsidR="00487FE8">
        <w:t xml:space="preserve">will initially only need to assist the </w:t>
      </w:r>
      <w:r w:rsidR="00215F27">
        <w:t>c</w:t>
      </w:r>
      <w:r w:rsidR="00487FE8">
        <w:t>lient in completing and submitting the questionnaire</w:t>
      </w:r>
      <w:r w:rsidR="00086E75">
        <w:t>, and thereafter</w:t>
      </w:r>
      <w:r w:rsidR="001B4186">
        <w:t xml:space="preserve"> continue the matter as normal to completion</w:t>
      </w:r>
      <w:r w:rsidR="00487FE8">
        <w:t>.</w:t>
      </w:r>
    </w:p>
    <w:p w14:paraId="0EB9F1DD" w14:textId="1CC0DB4F" w:rsidR="00487FE8" w:rsidRDefault="00AE7F5E" w:rsidP="00B87188">
      <w:pPr>
        <w:pStyle w:val="BodyText"/>
      </w:pPr>
      <w:r>
        <w:t xml:space="preserve">For ongoing matters for </w:t>
      </w:r>
      <w:r w:rsidR="00215F27">
        <w:t>c</w:t>
      </w:r>
      <w:r>
        <w:t>lients who have received a questionnaire</w:t>
      </w:r>
      <w:r w:rsidR="00EE5347">
        <w:t xml:space="preserve">, </w:t>
      </w:r>
      <w:r w:rsidR="007A2C80">
        <w:t xml:space="preserve">you </w:t>
      </w:r>
      <w:r w:rsidR="00136CF3">
        <w:t xml:space="preserve">will need to assist the </w:t>
      </w:r>
      <w:r w:rsidR="00215F27">
        <w:t>c</w:t>
      </w:r>
      <w:r w:rsidR="00136CF3">
        <w:t>lient in complet</w:t>
      </w:r>
      <w:r w:rsidR="00333C30">
        <w:t xml:space="preserve">ing and submitting the questionnaire alongside ongoing work in the </w:t>
      </w:r>
      <w:r w:rsidR="00421117">
        <w:t>matter as completion of the questionnaire is now a mandatory part of the asylum process.</w:t>
      </w:r>
    </w:p>
    <w:p w14:paraId="09918464" w14:textId="0211404C" w:rsidR="00877BCA" w:rsidRDefault="004D663C" w:rsidP="00B87188">
      <w:pPr>
        <w:pStyle w:val="BodyText"/>
      </w:pPr>
      <w:r>
        <w:t>Completion of the questionnaire</w:t>
      </w:r>
      <w:r w:rsidR="0081530C">
        <w:t xml:space="preserve"> -</w:t>
      </w:r>
      <w:r>
        <w:t xml:space="preserve"> if received </w:t>
      </w:r>
      <w:r w:rsidR="0081530C">
        <w:t xml:space="preserve">- </w:t>
      </w:r>
      <w:r>
        <w:t>is a mandatory element of the asylum claim.</w:t>
      </w:r>
    </w:p>
    <w:p w14:paraId="2D6BB4E6" w14:textId="622CD0C0" w:rsidR="00251D73" w:rsidRPr="00251D73" w:rsidRDefault="00251D73" w:rsidP="00B87188">
      <w:pPr>
        <w:pStyle w:val="BodyText"/>
        <w:rPr>
          <w:b/>
          <w:bCs/>
        </w:rPr>
      </w:pPr>
      <w:r w:rsidRPr="00251D73">
        <w:rPr>
          <w:b/>
          <w:bCs/>
        </w:rPr>
        <w:t>Claiming</w:t>
      </w:r>
    </w:p>
    <w:p w14:paraId="0207E0C1" w14:textId="27807C2F" w:rsidR="00421117" w:rsidRDefault="00ED2A1E" w:rsidP="00B87188">
      <w:pPr>
        <w:pStyle w:val="BodyText"/>
      </w:pPr>
      <w:r>
        <w:t>This work does not constitute a separate Matter Start and is not subject to additional funding</w:t>
      </w:r>
      <w:r w:rsidR="00B64889">
        <w:t xml:space="preserve"> as </w:t>
      </w:r>
      <w:r w:rsidR="0028254E">
        <w:t>the Standard Fees include completion of any forms required by the Home Office</w:t>
      </w:r>
      <w:r w:rsidR="00E15EAC">
        <w:t>.</w:t>
      </w:r>
    </w:p>
    <w:p w14:paraId="0728EAFF" w14:textId="77013F76" w:rsidR="002A49E8" w:rsidRPr="003653CC" w:rsidRDefault="002A49E8" w:rsidP="00B87188">
      <w:pPr>
        <w:pStyle w:val="BodyText"/>
        <w:rPr>
          <w:b/>
          <w:bCs/>
          <w:i/>
          <w:iCs/>
        </w:rPr>
      </w:pPr>
      <w:r w:rsidRPr="003653CC">
        <w:rPr>
          <w:b/>
          <w:bCs/>
          <w:i/>
          <w:iCs/>
        </w:rPr>
        <w:t>See 20</w:t>
      </w:r>
      <w:r w:rsidR="006C6086">
        <w:rPr>
          <w:b/>
          <w:bCs/>
          <w:i/>
          <w:iCs/>
        </w:rPr>
        <w:t>24</w:t>
      </w:r>
      <w:r w:rsidRPr="003653CC">
        <w:rPr>
          <w:b/>
          <w:bCs/>
          <w:i/>
          <w:iCs/>
        </w:rPr>
        <w:t xml:space="preserve"> Standard Civil Contract – Paragraph 3.5 – Provisions on Standard Fees and Graduated Fees</w:t>
      </w:r>
    </w:p>
    <w:p w14:paraId="596EC5CD" w14:textId="764727E1" w:rsidR="002A49E8" w:rsidRDefault="002A49E8" w:rsidP="00B87188">
      <w:pPr>
        <w:pStyle w:val="BodyText"/>
      </w:pPr>
      <w:r>
        <w:rPr>
          <w:rFonts w:ascii="Arial" w:hAnsi="Arial" w:cs="Arial"/>
        </w:rPr>
        <w:t>As the Home Office has determined completion of the questionnaire is a necessary part of the asylum application for claims under the SAP (or those from Iran or Iraq), it falls within the description of “all work required.”</w:t>
      </w:r>
    </w:p>
    <w:p w14:paraId="4A5427D6" w14:textId="3F8B2DF4" w:rsidR="00B92C75" w:rsidRDefault="007832F8" w:rsidP="00B87188">
      <w:pPr>
        <w:pStyle w:val="BodyText"/>
      </w:pPr>
      <w:r>
        <w:t>Disbursement costs associated with completion of the questionnaire such as translation and interpreting</w:t>
      </w:r>
      <w:r w:rsidR="005B2643">
        <w:t xml:space="preserve"> should be claimed under the relevant cost limits for the open matter.</w:t>
      </w:r>
    </w:p>
    <w:p w14:paraId="428293C5" w14:textId="012F198D" w:rsidR="00A351F1" w:rsidRPr="000114FA" w:rsidRDefault="00165232" w:rsidP="00B87188">
      <w:pPr>
        <w:pStyle w:val="BodyText"/>
      </w:pPr>
      <w:r>
        <w:t xml:space="preserve">An early bill </w:t>
      </w:r>
      <w:r w:rsidR="00537F43">
        <w:t>for a Completed Matter</w:t>
      </w:r>
      <w:r w:rsidR="00DB6FAA">
        <w:t xml:space="preserve"> </w:t>
      </w:r>
      <w:r w:rsidR="00CF62DC">
        <w:t>can be made</w:t>
      </w:r>
      <w:r w:rsidR="009A7CEC">
        <w:t xml:space="preserve"> once the </w:t>
      </w:r>
      <w:r w:rsidR="0082794D">
        <w:t>questionnaire is submitted</w:t>
      </w:r>
      <w:r w:rsidR="00073995">
        <w:t xml:space="preserve"> in line with Paragraph </w:t>
      </w:r>
      <w:r w:rsidR="000E31E7">
        <w:t>8.92 (c) of the 20</w:t>
      </w:r>
      <w:r w:rsidR="00580E30">
        <w:t>24</w:t>
      </w:r>
      <w:r w:rsidR="000E31E7">
        <w:t xml:space="preserve"> Standard Civil Contract Specification if an interview is not required. This will only apply if the </w:t>
      </w:r>
      <w:r w:rsidR="00456DE3">
        <w:t xml:space="preserve">questionnaire has been completed in its entirety, has been submitted on time and </w:t>
      </w:r>
      <w:r w:rsidR="00AE30A4">
        <w:t>qualifies under the SAP.</w:t>
      </w:r>
      <w:r w:rsidR="00D97E32">
        <w:t xml:space="preserve"> </w:t>
      </w:r>
      <w:r w:rsidR="00283166">
        <w:t>A note should be made on the</w:t>
      </w:r>
      <w:r w:rsidR="005A3499">
        <w:t xml:space="preserve"> file</w:t>
      </w:r>
      <w:r w:rsidR="00AE30A4">
        <w:t xml:space="preserve"> explaining the reasons</w:t>
      </w:r>
      <w:r w:rsidR="00E425E2">
        <w:t xml:space="preserve"> for the claim before an interview has taken place</w:t>
      </w:r>
      <w:r w:rsidR="005A3499">
        <w:t>.</w:t>
      </w:r>
      <w:r w:rsidR="00FC3779">
        <w:t xml:space="preserve"> </w:t>
      </w:r>
      <w:r w:rsidR="00CD463D">
        <w:t>In order to claim further costs s</w:t>
      </w:r>
      <w:r w:rsidR="00FC3779">
        <w:t xml:space="preserve">hould an interview and further work be </w:t>
      </w:r>
      <w:r w:rsidR="00915579">
        <w:t>required;</w:t>
      </w:r>
      <w:r w:rsidR="00A351F1">
        <w:t xml:space="preserve"> a claim amendment </w:t>
      </w:r>
      <w:r w:rsidR="00283166">
        <w:t xml:space="preserve">should be submitted </w:t>
      </w:r>
      <w:r w:rsidR="00A351F1">
        <w:t>to the previous claim.</w:t>
      </w:r>
    </w:p>
    <w:p w14:paraId="0E0C14E7" w14:textId="19890653" w:rsidR="00502F5D" w:rsidRPr="00502F5D" w:rsidRDefault="006F22F6" w:rsidP="00B87188">
      <w:pPr>
        <w:pStyle w:val="Heading1"/>
        <w:rPr>
          <w:sz w:val="32"/>
        </w:rPr>
      </w:pPr>
      <w:r>
        <w:rPr>
          <w:sz w:val="32"/>
        </w:rPr>
        <w:lastRenderedPageBreak/>
        <w:t>P</w:t>
      </w:r>
      <w:r w:rsidR="00325698">
        <w:rPr>
          <w:sz w:val="32"/>
        </w:rPr>
        <w:t>reliminary Information Meetings (P</w:t>
      </w:r>
      <w:r>
        <w:rPr>
          <w:sz w:val="32"/>
        </w:rPr>
        <w:t>IM</w:t>
      </w:r>
      <w:r w:rsidR="00325698">
        <w:rPr>
          <w:sz w:val="32"/>
        </w:rPr>
        <w:t>)</w:t>
      </w:r>
    </w:p>
    <w:p w14:paraId="5F2A9A04" w14:textId="7A027891" w:rsidR="00502F5D" w:rsidRPr="00502F5D" w:rsidRDefault="00502F5D" w:rsidP="00B87188">
      <w:pPr>
        <w:pStyle w:val="BodyText"/>
        <w:rPr>
          <w:b/>
          <w:bCs/>
        </w:rPr>
      </w:pPr>
      <w:r w:rsidRPr="00502F5D">
        <w:rPr>
          <w:b/>
          <w:bCs/>
        </w:rPr>
        <w:t>Background</w:t>
      </w:r>
    </w:p>
    <w:p w14:paraId="0402B557" w14:textId="47B6ECE5" w:rsidR="00071B4B" w:rsidRDefault="00071B4B" w:rsidP="00B87188">
      <w:pPr>
        <w:pStyle w:val="BodyText"/>
      </w:pPr>
      <w:r>
        <w:t>The PIM is intended by the Home Office to provide a streamlined approach for processing legacy asylum claims (claims before 28</w:t>
      </w:r>
      <w:r w:rsidR="00915579">
        <w:t xml:space="preserve"> June </w:t>
      </w:r>
      <w:r>
        <w:t>2022) for children from the top 5 high grant countries:</w:t>
      </w:r>
    </w:p>
    <w:p w14:paraId="76F36EDE" w14:textId="77777777" w:rsidR="00071B4B" w:rsidRDefault="00071B4B" w:rsidP="00B87188">
      <w:pPr>
        <w:pStyle w:val="BodyText"/>
      </w:pPr>
      <w:r>
        <w:t>Afghanistan, Eritrea, Sudan, Syria and Vietnam.</w:t>
      </w:r>
    </w:p>
    <w:p w14:paraId="73F1378D" w14:textId="06E3CB03" w:rsidR="00071B4B" w:rsidRDefault="00071B4B" w:rsidP="00B87188">
      <w:pPr>
        <w:pStyle w:val="BodyText"/>
      </w:pPr>
      <w:r>
        <w:t xml:space="preserve">The PIM </w:t>
      </w:r>
      <w:r w:rsidR="00D65D37">
        <w:t xml:space="preserve">has been designed to gather and review key information at an early stage of the claim and potentially remove </w:t>
      </w:r>
      <w:r w:rsidR="00694555">
        <w:t>a significant number of cases from the queue with early positive decisions.</w:t>
      </w:r>
    </w:p>
    <w:p w14:paraId="07ED14A3" w14:textId="18ABC35B" w:rsidR="00071B4B" w:rsidRDefault="00071B4B" w:rsidP="00B87188">
      <w:pPr>
        <w:pStyle w:val="BodyText"/>
      </w:pPr>
      <w:r>
        <w:t xml:space="preserve">The </w:t>
      </w:r>
      <w:r w:rsidR="00694555">
        <w:t xml:space="preserve">PIM is not considered to be an interview and the </w:t>
      </w:r>
      <w:r>
        <w:t xml:space="preserve">Home Office only has the power to make a positive decision </w:t>
      </w:r>
      <w:r w:rsidR="00694555">
        <w:t>following</w:t>
      </w:r>
      <w:r>
        <w:t xml:space="preserve"> a PIM</w:t>
      </w:r>
      <w:r w:rsidR="00694555">
        <w:t>.</w:t>
      </w:r>
      <w:r>
        <w:t xml:space="preserve"> </w:t>
      </w:r>
    </w:p>
    <w:p w14:paraId="2D3D60CC" w14:textId="38E0144A" w:rsidR="00071B4B" w:rsidRDefault="00071B4B" w:rsidP="00B87188">
      <w:pPr>
        <w:pStyle w:val="BodyText"/>
      </w:pPr>
      <w:r>
        <w:t xml:space="preserve">If a positive decision cannot be made at the </w:t>
      </w:r>
      <w:r w:rsidR="009B0CD8">
        <w:t>PIM,</w:t>
      </w:r>
      <w:r>
        <w:t xml:space="preserve"> then the </w:t>
      </w:r>
      <w:r w:rsidR="00F6309A">
        <w:t>c</w:t>
      </w:r>
      <w:r>
        <w:t>lient would have to be referred to a substantive interview</w:t>
      </w:r>
      <w:r w:rsidR="00B117AA">
        <w:t xml:space="preserve"> and the usual process followed</w:t>
      </w:r>
      <w:r>
        <w:t>.</w:t>
      </w:r>
    </w:p>
    <w:p w14:paraId="41940AD5" w14:textId="3EF3EEAF" w:rsidR="00A72A38" w:rsidRDefault="00A72A38" w:rsidP="00B87188">
      <w:pPr>
        <w:pStyle w:val="BodyText"/>
      </w:pPr>
      <w:r>
        <w:t xml:space="preserve">From July 2023 the Home Office extended the </w:t>
      </w:r>
      <w:r w:rsidR="003B1C8E">
        <w:t xml:space="preserve">Streamlined Asylum Process </w:t>
      </w:r>
      <w:r w:rsidR="00696073">
        <w:t xml:space="preserve">beyond legacy </w:t>
      </w:r>
      <w:r w:rsidR="004F0F53">
        <w:t xml:space="preserve">cases </w:t>
      </w:r>
      <w:r w:rsidR="003B1C8E">
        <w:t>to flow cases from the 5 high grant countries</w:t>
      </w:r>
      <w:r w:rsidR="00FB626D">
        <w:t xml:space="preserve">. (Those </w:t>
      </w:r>
      <w:r w:rsidR="00696073">
        <w:t>claims lodged</w:t>
      </w:r>
      <w:r w:rsidR="00D7539D">
        <w:t xml:space="preserve"> after 28</w:t>
      </w:r>
      <w:r w:rsidR="00915579">
        <w:rPr>
          <w:vertAlign w:val="superscript"/>
        </w:rPr>
        <w:t xml:space="preserve"> </w:t>
      </w:r>
      <w:r w:rsidR="00D7539D">
        <w:t>June 2022).</w:t>
      </w:r>
    </w:p>
    <w:p w14:paraId="122B87DC" w14:textId="148794CD" w:rsidR="00071B4B" w:rsidRPr="00502F5D" w:rsidRDefault="00502F5D" w:rsidP="00B87188">
      <w:pPr>
        <w:rPr>
          <w:rFonts w:ascii="Arial" w:hAnsi="Arial" w:cs="Arial"/>
          <w:b/>
          <w:bCs/>
          <w:szCs w:val="24"/>
        </w:rPr>
      </w:pPr>
      <w:r w:rsidRPr="00502F5D">
        <w:rPr>
          <w:rFonts w:ascii="Arial" w:hAnsi="Arial" w:cs="Arial"/>
          <w:b/>
          <w:bCs/>
          <w:szCs w:val="24"/>
        </w:rPr>
        <w:t>Scope</w:t>
      </w:r>
    </w:p>
    <w:p w14:paraId="7968BB2E" w14:textId="2D6B6449" w:rsidR="00EA3F9E" w:rsidRDefault="00305D10" w:rsidP="00B8718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Advice</w:t>
      </w:r>
      <w:r w:rsidR="00EA3F9E">
        <w:rPr>
          <w:rFonts w:ascii="Arial" w:hAnsi="Arial" w:cs="Arial"/>
          <w:szCs w:val="24"/>
        </w:rPr>
        <w:t xml:space="preserve"> in relation to the PIM</w:t>
      </w:r>
      <w:r>
        <w:rPr>
          <w:rFonts w:ascii="Arial" w:hAnsi="Arial" w:cs="Arial"/>
          <w:szCs w:val="24"/>
        </w:rPr>
        <w:t xml:space="preserve"> is in scope</w:t>
      </w:r>
      <w:r w:rsidR="00EA3F9E">
        <w:rPr>
          <w:rFonts w:ascii="Arial" w:hAnsi="Arial" w:cs="Arial"/>
          <w:szCs w:val="24"/>
        </w:rPr>
        <w:t xml:space="preserve"> – Preparation for attendance and </w:t>
      </w:r>
      <w:r w:rsidR="001A34E4">
        <w:rPr>
          <w:rFonts w:ascii="Arial" w:hAnsi="Arial" w:cs="Arial"/>
          <w:szCs w:val="24"/>
        </w:rPr>
        <w:t>guidance on the process.</w:t>
      </w:r>
    </w:p>
    <w:p w14:paraId="2C269824" w14:textId="4FFAC517" w:rsidR="00460A72" w:rsidRDefault="00502F5D" w:rsidP="00B8718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4828F0">
        <w:rPr>
          <w:rFonts w:ascii="Arial" w:hAnsi="Arial" w:cs="Arial"/>
          <w:szCs w:val="24"/>
        </w:rPr>
        <w:t>ttendance at the PIM</w:t>
      </w:r>
      <w:r w:rsidR="00F5762F">
        <w:rPr>
          <w:rFonts w:ascii="Arial" w:hAnsi="Arial" w:cs="Arial"/>
          <w:szCs w:val="24"/>
        </w:rPr>
        <w:t xml:space="preserve"> itself</w:t>
      </w:r>
      <w:r w:rsidR="004828F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is</w:t>
      </w:r>
      <w:r w:rsidR="00F5762F">
        <w:rPr>
          <w:rFonts w:ascii="Arial" w:hAnsi="Arial" w:cs="Arial"/>
          <w:szCs w:val="24"/>
        </w:rPr>
        <w:t xml:space="preserve"> also</w:t>
      </w:r>
      <w:r w:rsidR="004828F0">
        <w:rPr>
          <w:rFonts w:ascii="Arial" w:hAnsi="Arial" w:cs="Arial"/>
          <w:szCs w:val="24"/>
        </w:rPr>
        <w:t xml:space="preserve"> considered </w:t>
      </w:r>
      <w:r>
        <w:rPr>
          <w:rFonts w:ascii="Arial" w:hAnsi="Arial" w:cs="Arial"/>
          <w:szCs w:val="24"/>
        </w:rPr>
        <w:t>to be</w:t>
      </w:r>
      <w:r w:rsidR="004828F0">
        <w:rPr>
          <w:rFonts w:ascii="Arial" w:hAnsi="Arial" w:cs="Arial"/>
          <w:szCs w:val="24"/>
        </w:rPr>
        <w:t xml:space="preserve"> in scope for </w:t>
      </w:r>
      <w:r>
        <w:rPr>
          <w:rFonts w:ascii="Arial" w:hAnsi="Arial" w:cs="Arial"/>
          <w:szCs w:val="24"/>
        </w:rPr>
        <w:t>L</w:t>
      </w:r>
      <w:r w:rsidR="004828F0">
        <w:rPr>
          <w:rFonts w:ascii="Arial" w:hAnsi="Arial" w:cs="Arial"/>
          <w:szCs w:val="24"/>
        </w:rPr>
        <w:t xml:space="preserve">egal </w:t>
      </w:r>
      <w:r>
        <w:rPr>
          <w:rFonts w:ascii="Arial" w:hAnsi="Arial" w:cs="Arial"/>
          <w:szCs w:val="24"/>
        </w:rPr>
        <w:t>A</w:t>
      </w:r>
      <w:r w:rsidR="004828F0">
        <w:rPr>
          <w:rFonts w:ascii="Arial" w:hAnsi="Arial" w:cs="Arial"/>
          <w:szCs w:val="24"/>
        </w:rPr>
        <w:t>id funding.</w:t>
      </w:r>
    </w:p>
    <w:p w14:paraId="65DDAFEE" w14:textId="01B02015" w:rsidR="00502F5D" w:rsidRDefault="00CE3C7E" w:rsidP="00B8718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Advice and attendance in relation to the PIM </w:t>
      </w:r>
      <w:r w:rsidR="00B54E96">
        <w:rPr>
          <w:rFonts w:ascii="Arial" w:hAnsi="Arial" w:cs="Arial"/>
          <w:szCs w:val="24"/>
        </w:rPr>
        <w:t xml:space="preserve">should be undertaken as part of the </w:t>
      </w:r>
      <w:r w:rsidR="00F6309A">
        <w:rPr>
          <w:rFonts w:ascii="Arial" w:hAnsi="Arial" w:cs="Arial"/>
          <w:szCs w:val="24"/>
        </w:rPr>
        <w:t>c</w:t>
      </w:r>
      <w:r w:rsidR="00B54E96">
        <w:rPr>
          <w:rFonts w:ascii="Arial" w:hAnsi="Arial" w:cs="Arial"/>
          <w:szCs w:val="24"/>
        </w:rPr>
        <w:t>lient’s existing open asylum matter and would not constitute a separate Matter Start.</w:t>
      </w:r>
    </w:p>
    <w:p w14:paraId="4A9DCDD8" w14:textId="131552DB" w:rsidR="002A49E8" w:rsidRPr="003653CC" w:rsidRDefault="002A49E8" w:rsidP="00B87188">
      <w:pPr>
        <w:pStyle w:val="BodyText"/>
        <w:rPr>
          <w:b/>
          <w:bCs/>
          <w:i/>
          <w:iCs/>
        </w:rPr>
      </w:pPr>
      <w:r w:rsidRPr="003653CC">
        <w:rPr>
          <w:b/>
          <w:bCs/>
          <w:i/>
          <w:iCs/>
        </w:rPr>
        <w:t>See 20</w:t>
      </w:r>
      <w:r w:rsidR="00A03E21">
        <w:rPr>
          <w:b/>
          <w:bCs/>
          <w:i/>
          <w:iCs/>
        </w:rPr>
        <w:t>24</w:t>
      </w:r>
      <w:r w:rsidRPr="003653CC">
        <w:rPr>
          <w:b/>
          <w:bCs/>
          <w:i/>
          <w:iCs/>
        </w:rPr>
        <w:t xml:space="preserve"> Standard Civil Contract – Paragraph 3.5 – Provisions on Standard Fees and Graduated Fees</w:t>
      </w:r>
    </w:p>
    <w:p w14:paraId="65B9F4D5" w14:textId="647A9BED" w:rsidR="00502F5D" w:rsidRPr="00502F5D" w:rsidRDefault="00502F5D" w:rsidP="00B87188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Claiming</w:t>
      </w:r>
    </w:p>
    <w:p w14:paraId="582CCE03" w14:textId="56547720" w:rsidR="001C70D0" w:rsidRDefault="001C70D0" w:rsidP="00B8718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attendance </w:t>
      </w:r>
      <w:r w:rsidR="00D3067F">
        <w:rPr>
          <w:rFonts w:ascii="Arial" w:hAnsi="Arial" w:cs="Arial"/>
          <w:szCs w:val="24"/>
        </w:rPr>
        <w:t xml:space="preserve">should not be claimed as an interview add on </w:t>
      </w:r>
      <w:r w:rsidR="00502F5D">
        <w:rPr>
          <w:rFonts w:ascii="Arial" w:hAnsi="Arial" w:cs="Arial"/>
          <w:szCs w:val="24"/>
        </w:rPr>
        <w:t>in</w:t>
      </w:r>
      <w:r w:rsidR="00D3067F">
        <w:rPr>
          <w:rFonts w:ascii="Arial" w:hAnsi="Arial" w:cs="Arial"/>
          <w:szCs w:val="24"/>
        </w:rPr>
        <w:t xml:space="preserve"> standard fee cases but recorded under profit costs</w:t>
      </w:r>
      <w:r w:rsidR="004554D5">
        <w:rPr>
          <w:rFonts w:ascii="Arial" w:hAnsi="Arial" w:cs="Arial"/>
          <w:szCs w:val="24"/>
        </w:rPr>
        <w:t>.</w:t>
      </w:r>
    </w:p>
    <w:p w14:paraId="43C4E2AA" w14:textId="258735E5" w:rsidR="00460A72" w:rsidRPr="001A34E4" w:rsidRDefault="004554D5" w:rsidP="00B8718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For hourly rate cases the attendance </w:t>
      </w:r>
      <w:r w:rsidR="00EA3F9E">
        <w:rPr>
          <w:rFonts w:ascii="Arial" w:hAnsi="Arial" w:cs="Arial"/>
          <w:szCs w:val="24"/>
        </w:rPr>
        <w:t>should be</w:t>
      </w:r>
      <w:r>
        <w:rPr>
          <w:rFonts w:ascii="Arial" w:hAnsi="Arial" w:cs="Arial"/>
          <w:szCs w:val="24"/>
        </w:rPr>
        <w:t xml:space="preserve"> recorded within the £800 cost limit.</w:t>
      </w:r>
    </w:p>
    <w:p w14:paraId="40D27CE6" w14:textId="75DDD1EF" w:rsidR="001A34E4" w:rsidRDefault="001A34E4" w:rsidP="00B87188">
      <w:pPr>
        <w:pStyle w:val="BodyText"/>
      </w:pPr>
      <w:r>
        <w:t>For further detailed guidance on PIM’s, here is the Home Office link:</w:t>
      </w:r>
    </w:p>
    <w:p w14:paraId="660E4E7B" w14:textId="77777777" w:rsidR="001A34E4" w:rsidRPr="00915579" w:rsidRDefault="00721637" w:rsidP="00B87188">
      <w:pPr>
        <w:shd w:val="clear" w:color="auto" w:fill="FFFFFF"/>
        <w:rPr>
          <w:rFonts w:ascii="Arial" w:hAnsi="Arial" w:cs="Arial"/>
          <w:color w:val="007B77" w:themeColor="accent5" w:themeShade="BF"/>
          <w:sz w:val="22"/>
        </w:rPr>
      </w:pPr>
      <w:hyperlink r:id="rId8" w:history="1">
        <w:r w:rsidR="001A34E4" w:rsidRPr="00915579">
          <w:rPr>
            <w:rStyle w:val="Hyperlink"/>
            <w:rFonts w:ascii="Arial" w:hAnsi="Arial" w:cs="Arial"/>
            <w:color w:val="007B77" w:themeColor="accent5" w:themeShade="BF"/>
            <w:szCs w:val="24"/>
          </w:rPr>
          <w:t>https://assets.publishing.service.gov.uk/government/uploads/system/uploads/attachment_data/file/1143305/Streamlined_asylum_processing_for_children_s_casework.pdf</w:t>
        </w:r>
      </w:hyperlink>
    </w:p>
    <w:p w14:paraId="54EEB2BA" w14:textId="212BE184" w:rsidR="003D00FC" w:rsidRPr="00157194" w:rsidRDefault="003D00FC" w:rsidP="00B87188">
      <w:pPr>
        <w:pStyle w:val="Heading1"/>
        <w:rPr>
          <w:sz w:val="32"/>
        </w:rPr>
      </w:pPr>
      <w:r w:rsidRPr="00157194">
        <w:rPr>
          <w:sz w:val="32"/>
        </w:rPr>
        <w:lastRenderedPageBreak/>
        <w:t>Relevant guidance and legislation</w:t>
      </w:r>
    </w:p>
    <w:p w14:paraId="6B2F5274" w14:textId="2EB4F687" w:rsidR="002A49E8" w:rsidRDefault="00721637" w:rsidP="00B87188">
      <w:pPr>
        <w:rPr>
          <w:rStyle w:val="Hyperlink"/>
        </w:rPr>
      </w:pPr>
      <w:hyperlink r:id="rId9" w:history="1">
        <w:r w:rsidR="002A49E8">
          <w:rPr>
            <w:rStyle w:val="Hyperlink"/>
          </w:rPr>
          <w:t>Guide to determining</w:t>
        </w:r>
        <w:r w:rsidR="00BA0132">
          <w:rPr>
            <w:rStyle w:val="Hyperlink"/>
          </w:rPr>
          <w:t xml:space="preserve"> financial eligibility for</w:t>
        </w:r>
        <w:r w:rsidR="002A49E8">
          <w:rPr>
            <w:rStyle w:val="Hyperlink"/>
          </w:rPr>
          <w:t xml:space="preserve"> controlled work (publishing.service.gov.uk)</w:t>
        </w:r>
      </w:hyperlink>
    </w:p>
    <w:p w14:paraId="117B2E12" w14:textId="77777777" w:rsidR="002A49E8" w:rsidRDefault="00721637" w:rsidP="00B87188">
      <w:pPr>
        <w:rPr>
          <w:rStyle w:val="Hyperlink"/>
        </w:rPr>
      </w:pPr>
      <w:hyperlink r:id="rId10" w:history="1">
        <w:r w:rsidR="002A49E8">
          <w:rPr>
            <w:rStyle w:val="Hyperlink"/>
          </w:rPr>
          <w:t>Ministry of Justice: Recorded webinars: Civil: Changes to the Immigration and Asylum specification</w:t>
        </w:r>
      </w:hyperlink>
    </w:p>
    <w:p w14:paraId="50D485EF" w14:textId="5D4DE0A3" w:rsidR="00C5187F" w:rsidRDefault="00721637" w:rsidP="00B87188">
      <w:pPr>
        <w:rPr>
          <w:rStyle w:val="Hyperlink"/>
        </w:rPr>
      </w:pPr>
      <w:hyperlink r:id="rId11" w:history="1">
        <w:r w:rsidR="00C5187F">
          <w:rPr>
            <w:rStyle w:val="Hyperlink"/>
          </w:rPr>
          <w:t>Microsoft Word - 8 2024 Immigration and Asylum Category Specific Rules.docx (publishing.service.gov.uk)</w:t>
        </w:r>
      </w:hyperlink>
    </w:p>
    <w:p w14:paraId="35489932" w14:textId="1B452A29" w:rsidR="002A49E8" w:rsidRDefault="00721637" w:rsidP="00B87188">
      <w:hyperlink r:id="rId12" w:history="1">
        <w:r w:rsidR="00C5187F" w:rsidRPr="00F50C62">
          <w:rPr>
            <w:rStyle w:val="Hyperlink"/>
          </w:rPr>
          <w:t>https://assets.publishing.service.gov.uk/government/uploads/system/uploads/attachment_data/file/1137746/Streamlined_asylum_processing.pdf</w:t>
        </w:r>
      </w:hyperlink>
    </w:p>
    <w:p w14:paraId="2C08493F" w14:textId="77777777" w:rsidR="003D00FC" w:rsidRPr="00DD0317" w:rsidRDefault="003D00FC" w:rsidP="00B87188"/>
    <w:sectPr w:rsidR="003D00FC" w:rsidRPr="00DD0317" w:rsidSect="00F507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043FC" w14:textId="77777777" w:rsidR="00966F13" w:rsidRDefault="00966F13" w:rsidP="00B91315">
      <w:pPr>
        <w:spacing w:after="0" w:line="240" w:lineRule="auto"/>
      </w:pPr>
      <w:r>
        <w:separator/>
      </w:r>
    </w:p>
  </w:endnote>
  <w:endnote w:type="continuationSeparator" w:id="0">
    <w:p w14:paraId="49AF658F" w14:textId="77777777" w:rsidR="00966F13" w:rsidRDefault="00966F13" w:rsidP="00B91315">
      <w:pPr>
        <w:spacing w:after="0" w:line="240" w:lineRule="auto"/>
      </w:pPr>
      <w:r>
        <w:continuationSeparator/>
      </w:r>
    </w:p>
  </w:endnote>
  <w:endnote w:type="continuationNotice" w:id="1">
    <w:p w14:paraId="40171310" w14:textId="77777777" w:rsidR="00966F13" w:rsidRDefault="00966F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8FD5" w14:textId="57B4A8B1" w:rsidR="007827AA" w:rsidRDefault="007827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1" behindDoc="0" locked="0" layoutInCell="1" allowOverlap="1" wp14:anchorId="48B85FF9" wp14:editId="1AB917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13E33" w14:textId="54CC1CDE" w:rsidR="007827AA" w:rsidRPr="007827AA" w:rsidRDefault="007827AA" w:rsidP="007827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7827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5FF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left:0;text-align:left;margin-left:0;margin-top:0;width:34.95pt;height:34.95pt;z-index:2516633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1513E33" w14:textId="54CC1CDE" w:rsidR="007827AA" w:rsidRPr="007827AA" w:rsidRDefault="007827AA" w:rsidP="007827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7827AA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3C4A" w14:textId="79B346BD" w:rsidR="009A1CE1" w:rsidRDefault="007827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5" behindDoc="0" locked="0" layoutInCell="1" allowOverlap="1" wp14:anchorId="6DADAC1B" wp14:editId="3E02ACBB">
              <wp:simplePos x="720725" y="101574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29367" w14:textId="1EBDAF36" w:rsidR="007827AA" w:rsidRPr="007827AA" w:rsidRDefault="007827AA" w:rsidP="007827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7827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DAC1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left:0;text-align:left;margin-left:0;margin-top:0;width:34.95pt;height:34.95pt;z-index:2516643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629367" w14:textId="1EBDAF36" w:rsidR="007827AA" w:rsidRPr="007827AA" w:rsidRDefault="007827AA" w:rsidP="007827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7827AA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0242">
      <w:fldChar w:fldCharType="begin"/>
    </w:r>
    <w:r w:rsidR="00990242">
      <w:instrText xml:space="preserve"> PAGE   \* MERGEFORMAT </w:instrText>
    </w:r>
    <w:r w:rsidR="00990242">
      <w:fldChar w:fldCharType="separate"/>
    </w:r>
    <w:r w:rsidR="004978C4">
      <w:rPr>
        <w:noProof/>
      </w:rPr>
      <w:t>2</w:t>
    </w:r>
    <w:r w:rsidR="0099024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5543" w14:textId="3DC9B4FC" w:rsidR="00026481" w:rsidRDefault="007827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7E30F29F" wp14:editId="28AF3D08">
              <wp:simplePos x="723900" y="1016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9C275" w14:textId="5845F3B8" w:rsidR="007827AA" w:rsidRPr="007827AA" w:rsidRDefault="007827AA" w:rsidP="007827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7827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0F2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left:0;text-align:left;margin-left:0;margin-top:0;width:34.95pt;height:34.95pt;z-index:25166233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519C275" w14:textId="5845F3B8" w:rsidR="007827AA" w:rsidRPr="007827AA" w:rsidRDefault="007827AA" w:rsidP="007827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7827AA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6481">
      <w:rPr>
        <w:noProof/>
      </w:rPr>
      <w:drawing>
        <wp:anchor distT="0" distB="0" distL="114300" distR="114300" simplePos="0" relativeHeight="251658240" behindDoc="1" locked="0" layoutInCell="1" allowOverlap="1" wp14:anchorId="761770C7" wp14:editId="113B2B27">
          <wp:simplePos x="0" y="0"/>
          <wp:positionH relativeFrom="page">
            <wp:posOffset>0</wp:posOffset>
          </wp:positionH>
          <wp:positionV relativeFrom="page">
            <wp:posOffset>9584870</wp:posOffset>
          </wp:positionV>
          <wp:extent cx="7558417" cy="1105989"/>
          <wp:effectExtent l="0" t="0" r="444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53"/>
                  <a:stretch/>
                </pic:blipFill>
                <pic:spPr bwMode="auto">
                  <a:xfrm>
                    <a:off x="0" y="0"/>
                    <a:ext cx="7559675" cy="11061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028A2" w14:textId="77777777" w:rsidR="00966F13" w:rsidRDefault="00966F13" w:rsidP="00B91315">
      <w:pPr>
        <w:spacing w:after="0" w:line="240" w:lineRule="auto"/>
      </w:pPr>
      <w:r>
        <w:separator/>
      </w:r>
    </w:p>
  </w:footnote>
  <w:footnote w:type="continuationSeparator" w:id="0">
    <w:p w14:paraId="3C068CC3" w14:textId="77777777" w:rsidR="00966F13" w:rsidRDefault="00966F13" w:rsidP="00B91315">
      <w:pPr>
        <w:spacing w:after="0" w:line="240" w:lineRule="auto"/>
      </w:pPr>
      <w:r>
        <w:continuationSeparator/>
      </w:r>
    </w:p>
  </w:footnote>
  <w:footnote w:type="continuationNotice" w:id="1">
    <w:p w14:paraId="228CFB88" w14:textId="77777777" w:rsidR="00966F13" w:rsidRDefault="00966F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0664" w14:textId="33175369" w:rsidR="007827AA" w:rsidRDefault="00782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20E7C1B5" wp14:editId="419C53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4894B" w14:textId="19A3FCAE" w:rsidR="007827AA" w:rsidRPr="007827AA" w:rsidRDefault="007827AA" w:rsidP="007827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7827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7C1B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0;width:34.95pt;height:34.95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9D4894B" w14:textId="19A3FCAE" w:rsidR="007827AA" w:rsidRPr="007827AA" w:rsidRDefault="007827AA" w:rsidP="007827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7827AA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8593" w14:textId="69EC0FAF" w:rsidR="007827AA" w:rsidRDefault="00782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20229121" wp14:editId="2EAA9912">
              <wp:simplePos x="720725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B78AB" w14:textId="66B0FF01" w:rsidR="007827AA" w:rsidRPr="007827AA" w:rsidRDefault="007827AA" w:rsidP="007827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7827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291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34.95pt;height:34.95pt;z-index:2516613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8DB78AB" w14:textId="66B0FF01" w:rsidR="007827AA" w:rsidRPr="007827AA" w:rsidRDefault="007827AA" w:rsidP="007827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7827AA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AB5F" w14:textId="1CD50419" w:rsidR="00F507D8" w:rsidRDefault="00782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330B06C7" wp14:editId="11469971">
              <wp:simplePos x="7239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F2B96" w14:textId="5287D343" w:rsidR="007827AA" w:rsidRPr="007827AA" w:rsidRDefault="007827AA" w:rsidP="007827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7827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B06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59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F8F2B96" w14:textId="5287D343" w:rsidR="007827AA" w:rsidRPr="007827AA" w:rsidRDefault="007827AA" w:rsidP="007827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7827AA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2B0D" w:rsidRPr="006D258B">
      <w:rPr>
        <w:noProof/>
      </w:rPr>
      <w:drawing>
        <wp:anchor distT="0" distB="0" distL="114300" distR="114300" simplePos="0" relativeHeight="251658241" behindDoc="1" locked="0" layoutInCell="0" allowOverlap="1" wp14:anchorId="28E4940F" wp14:editId="5B095CD5">
          <wp:simplePos x="0" y="0"/>
          <wp:positionH relativeFrom="page">
            <wp:posOffset>779780</wp:posOffset>
          </wp:positionH>
          <wp:positionV relativeFrom="page">
            <wp:posOffset>718185</wp:posOffset>
          </wp:positionV>
          <wp:extent cx="1208405" cy="1033780"/>
          <wp:effectExtent l="0" t="0" r="0" b="0"/>
          <wp:wrapNone/>
          <wp:docPr id="2" name="Picture 2" descr="Royal Coat of arms (A black and white logo with a lion and lion head) and title of Legal Aid Agen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oyal Coat of arms (A black and white logo with a lion and lion head) and title of Legal Aid Agenc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F588592"/>
    <w:lvl w:ilvl="0">
      <w:start w:val="1"/>
      <w:numFmt w:val="bullet"/>
      <w:pStyle w:val="ListBullet2"/>
      <w:lvlText w:val=""/>
      <w:lvlJc w:val="left"/>
      <w:pPr>
        <w:ind w:left="717" w:hanging="360"/>
      </w:pPr>
      <w:rPr>
        <w:rFonts w:ascii="Symbol" w:hAnsi="Symbol" w:hint="default"/>
        <w:color w:val="AFCC46"/>
      </w:rPr>
    </w:lvl>
  </w:abstractNum>
  <w:abstractNum w:abstractNumId="1" w15:restartNumberingAfterBreak="0">
    <w:nsid w:val="FFFFFF88"/>
    <w:multiLevelType w:val="singleLevel"/>
    <w:tmpl w:val="4CB2C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E0CA64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D55"/>
      </w:rPr>
    </w:lvl>
  </w:abstractNum>
  <w:abstractNum w:abstractNumId="3" w15:restartNumberingAfterBreak="0">
    <w:nsid w:val="03627890"/>
    <w:multiLevelType w:val="hybridMultilevel"/>
    <w:tmpl w:val="6318E5F2"/>
    <w:lvl w:ilvl="0" w:tplc="A97EE9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0653DD"/>
    <w:multiLevelType w:val="hybridMultilevel"/>
    <w:tmpl w:val="1720ADEE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A4F0D"/>
    <w:multiLevelType w:val="hybridMultilevel"/>
    <w:tmpl w:val="47C231F4"/>
    <w:lvl w:ilvl="0" w:tplc="A97EE9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C0529"/>
    <w:multiLevelType w:val="hybridMultilevel"/>
    <w:tmpl w:val="1A7421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2B6602"/>
    <w:multiLevelType w:val="hybridMultilevel"/>
    <w:tmpl w:val="AA8E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F649C"/>
    <w:multiLevelType w:val="hybridMultilevel"/>
    <w:tmpl w:val="F3209844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53A73"/>
    <w:multiLevelType w:val="hybridMultilevel"/>
    <w:tmpl w:val="1EBA4C10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60CA6"/>
    <w:multiLevelType w:val="hybridMultilevel"/>
    <w:tmpl w:val="C0D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6464B"/>
    <w:multiLevelType w:val="hybridMultilevel"/>
    <w:tmpl w:val="0D54921C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72FDD"/>
    <w:multiLevelType w:val="hybridMultilevel"/>
    <w:tmpl w:val="D368EA2E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E387C"/>
    <w:multiLevelType w:val="hybridMultilevel"/>
    <w:tmpl w:val="8DB6EBF8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6377C"/>
    <w:multiLevelType w:val="hybridMultilevel"/>
    <w:tmpl w:val="FE0E0B90"/>
    <w:lvl w:ilvl="0" w:tplc="97B477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2D74B5"/>
    <w:multiLevelType w:val="hybridMultilevel"/>
    <w:tmpl w:val="27008626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06103"/>
    <w:multiLevelType w:val="hybridMultilevel"/>
    <w:tmpl w:val="6BE0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A57A1"/>
    <w:multiLevelType w:val="hybridMultilevel"/>
    <w:tmpl w:val="87B8FCF0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217093">
    <w:abstractNumId w:val="2"/>
  </w:num>
  <w:num w:numId="2" w16cid:durableId="1592929816">
    <w:abstractNumId w:val="0"/>
  </w:num>
  <w:num w:numId="3" w16cid:durableId="1758361433">
    <w:abstractNumId w:val="1"/>
  </w:num>
  <w:num w:numId="4" w16cid:durableId="853690712">
    <w:abstractNumId w:val="2"/>
    <w:lvlOverride w:ilvl="0">
      <w:startOverride w:val="1"/>
    </w:lvlOverride>
  </w:num>
  <w:num w:numId="5" w16cid:durableId="362677657">
    <w:abstractNumId w:val="0"/>
    <w:lvlOverride w:ilvl="0">
      <w:startOverride w:val="1"/>
    </w:lvlOverride>
  </w:num>
  <w:num w:numId="6" w16cid:durableId="1159926565">
    <w:abstractNumId w:val="13"/>
  </w:num>
  <w:num w:numId="7" w16cid:durableId="2137066089">
    <w:abstractNumId w:val="5"/>
  </w:num>
  <w:num w:numId="8" w16cid:durableId="208610206">
    <w:abstractNumId w:val="11"/>
  </w:num>
  <w:num w:numId="9" w16cid:durableId="2031643982">
    <w:abstractNumId w:val="16"/>
  </w:num>
  <w:num w:numId="10" w16cid:durableId="1676301474">
    <w:abstractNumId w:val="3"/>
  </w:num>
  <w:num w:numId="11" w16cid:durableId="535847050">
    <w:abstractNumId w:val="12"/>
  </w:num>
  <w:num w:numId="12" w16cid:durableId="1395425130">
    <w:abstractNumId w:val="4"/>
  </w:num>
  <w:num w:numId="13" w16cid:durableId="444345912">
    <w:abstractNumId w:val="17"/>
  </w:num>
  <w:num w:numId="14" w16cid:durableId="842427556">
    <w:abstractNumId w:val="9"/>
  </w:num>
  <w:num w:numId="15" w16cid:durableId="1075275797">
    <w:abstractNumId w:val="8"/>
  </w:num>
  <w:num w:numId="16" w16cid:durableId="1547642424">
    <w:abstractNumId w:val="15"/>
  </w:num>
  <w:num w:numId="17" w16cid:durableId="1402367190">
    <w:abstractNumId w:val="14"/>
  </w:num>
  <w:num w:numId="18" w16cid:durableId="957836581">
    <w:abstractNumId w:val="6"/>
  </w:num>
  <w:num w:numId="19" w16cid:durableId="554505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862975">
    <w:abstractNumId w:val="7"/>
  </w:num>
  <w:num w:numId="21" w16cid:durableId="1645308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0D"/>
    <w:rsid w:val="000015E4"/>
    <w:rsid w:val="000114FA"/>
    <w:rsid w:val="00022442"/>
    <w:rsid w:val="00023AD9"/>
    <w:rsid w:val="000243DE"/>
    <w:rsid w:val="00026481"/>
    <w:rsid w:val="00046363"/>
    <w:rsid w:val="00050534"/>
    <w:rsid w:val="00054C22"/>
    <w:rsid w:val="00071B4B"/>
    <w:rsid w:val="00073995"/>
    <w:rsid w:val="00075411"/>
    <w:rsid w:val="000853EB"/>
    <w:rsid w:val="00086E75"/>
    <w:rsid w:val="00090E40"/>
    <w:rsid w:val="00090FCA"/>
    <w:rsid w:val="00095C01"/>
    <w:rsid w:val="000964C6"/>
    <w:rsid w:val="000A08E3"/>
    <w:rsid w:val="000B34DF"/>
    <w:rsid w:val="000B62A0"/>
    <w:rsid w:val="000B74B5"/>
    <w:rsid w:val="000C1075"/>
    <w:rsid w:val="000C3AE1"/>
    <w:rsid w:val="000C3B48"/>
    <w:rsid w:val="000C621A"/>
    <w:rsid w:val="000D3F01"/>
    <w:rsid w:val="000D4E27"/>
    <w:rsid w:val="000E30E7"/>
    <w:rsid w:val="000E31E7"/>
    <w:rsid w:val="000E6BA3"/>
    <w:rsid w:val="000E7E69"/>
    <w:rsid w:val="000F347F"/>
    <w:rsid w:val="000F77A5"/>
    <w:rsid w:val="0010112E"/>
    <w:rsid w:val="00103119"/>
    <w:rsid w:val="00104907"/>
    <w:rsid w:val="00106051"/>
    <w:rsid w:val="00106F3A"/>
    <w:rsid w:val="0011569B"/>
    <w:rsid w:val="00115DB7"/>
    <w:rsid w:val="00120721"/>
    <w:rsid w:val="00131266"/>
    <w:rsid w:val="00136CF3"/>
    <w:rsid w:val="00140FF0"/>
    <w:rsid w:val="0015340F"/>
    <w:rsid w:val="00154235"/>
    <w:rsid w:val="00157194"/>
    <w:rsid w:val="001601AF"/>
    <w:rsid w:val="001649C5"/>
    <w:rsid w:val="00164AAF"/>
    <w:rsid w:val="00165232"/>
    <w:rsid w:val="00175D09"/>
    <w:rsid w:val="0018474D"/>
    <w:rsid w:val="00185700"/>
    <w:rsid w:val="00187CF6"/>
    <w:rsid w:val="001A34E4"/>
    <w:rsid w:val="001A46F8"/>
    <w:rsid w:val="001A71CD"/>
    <w:rsid w:val="001B4186"/>
    <w:rsid w:val="001B5017"/>
    <w:rsid w:val="001C31CA"/>
    <w:rsid w:val="001C4FC8"/>
    <w:rsid w:val="001C6F2A"/>
    <w:rsid w:val="001C70D0"/>
    <w:rsid w:val="001C7617"/>
    <w:rsid w:val="001E7F19"/>
    <w:rsid w:val="001F31F7"/>
    <w:rsid w:val="001F6FAC"/>
    <w:rsid w:val="001F7938"/>
    <w:rsid w:val="00207417"/>
    <w:rsid w:val="00207C1A"/>
    <w:rsid w:val="00215F27"/>
    <w:rsid w:val="00221E17"/>
    <w:rsid w:val="00227DDF"/>
    <w:rsid w:val="00231D77"/>
    <w:rsid w:val="0023357D"/>
    <w:rsid w:val="002340CD"/>
    <w:rsid w:val="00240F37"/>
    <w:rsid w:val="002428F9"/>
    <w:rsid w:val="00246F67"/>
    <w:rsid w:val="0025173E"/>
    <w:rsid w:val="00251D73"/>
    <w:rsid w:val="0027430D"/>
    <w:rsid w:val="0027489D"/>
    <w:rsid w:val="00280FEE"/>
    <w:rsid w:val="002822FB"/>
    <w:rsid w:val="0028254E"/>
    <w:rsid w:val="00283166"/>
    <w:rsid w:val="0028397F"/>
    <w:rsid w:val="00290FF5"/>
    <w:rsid w:val="0029203D"/>
    <w:rsid w:val="00293CEB"/>
    <w:rsid w:val="002A0224"/>
    <w:rsid w:val="002A0AFD"/>
    <w:rsid w:val="002A4326"/>
    <w:rsid w:val="002A49E8"/>
    <w:rsid w:val="002A64EE"/>
    <w:rsid w:val="002B6DB5"/>
    <w:rsid w:val="002D2649"/>
    <w:rsid w:val="002D3950"/>
    <w:rsid w:val="002D3C03"/>
    <w:rsid w:val="002E1027"/>
    <w:rsid w:val="002E2C0C"/>
    <w:rsid w:val="002F075A"/>
    <w:rsid w:val="002F4037"/>
    <w:rsid w:val="00301519"/>
    <w:rsid w:val="0030187E"/>
    <w:rsid w:val="00303445"/>
    <w:rsid w:val="00303AA0"/>
    <w:rsid w:val="00305D10"/>
    <w:rsid w:val="00310B90"/>
    <w:rsid w:val="00315E0B"/>
    <w:rsid w:val="003210C1"/>
    <w:rsid w:val="00322EE6"/>
    <w:rsid w:val="003246C1"/>
    <w:rsid w:val="00324D4A"/>
    <w:rsid w:val="00325698"/>
    <w:rsid w:val="00330777"/>
    <w:rsid w:val="003313B6"/>
    <w:rsid w:val="00331574"/>
    <w:rsid w:val="00333C30"/>
    <w:rsid w:val="0033522E"/>
    <w:rsid w:val="003355F1"/>
    <w:rsid w:val="00344F48"/>
    <w:rsid w:val="0035242B"/>
    <w:rsid w:val="00354B7D"/>
    <w:rsid w:val="00355A52"/>
    <w:rsid w:val="0035651E"/>
    <w:rsid w:val="0036048A"/>
    <w:rsid w:val="00362F2C"/>
    <w:rsid w:val="00364EBA"/>
    <w:rsid w:val="003650DE"/>
    <w:rsid w:val="003653CC"/>
    <w:rsid w:val="00372380"/>
    <w:rsid w:val="00374374"/>
    <w:rsid w:val="0038087B"/>
    <w:rsid w:val="00382443"/>
    <w:rsid w:val="00397C3C"/>
    <w:rsid w:val="003A19C8"/>
    <w:rsid w:val="003A35BC"/>
    <w:rsid w:val="003A3C5C"/>
    <w:rsid w:val="003B1C8E"/>
    <w:rsid w:val="003B1E98"/>
    <w:rsid w:val="003B6860"/>
    <w:rsid w:val="003C0C21"/>
    <w:rsid w:val="003C126C"/>
    <w:rsid w:val="003C1A93"/>
    <w:rsid w:val="003C2A74"/>
    <w:rsid w:val="003C38A5"/>
    <w:rsid w:val="003D00FC"/>
    <w:rsid w:val="003D27AC"/>
    <w:rsid w:val="003D6709"/>
    <w:rsid w:val="003E0AF4"/>
    <w:rsid w:val="003E107C"/>
    <w:rsid w:val="003E4567"/>
    <w:rsid w:val="003E67AB"/>
    <w:rsid w:val="003E7911"/>
    <w:rsid w:val="003F3D5D"/>
    <w:rsid w:val="003F7990"/>
    <w:rsid w:val="00421117"/>
    <w:rsid w:val="0042654E"/>
    <w:rsid w:val="00431135"/>
    <w:rsid w:val="0043114E"/>
    <w:rsid w:val="004350FE"/>
    <w:rsid w:val="004411F7"/>
    <w:rsid w:val="00442E4F"/>
    <w:rsid w:val="00446074"/>
    <w:rsid w:val="0044659B"/>
    <w:rsid w:val="00446DDB"/>
    <w:rsid w:val="004531F7"/>
    <w:rsid w:val="0045367D"/>
    <w:rsid w:val="004538AA"/>
    <w:rsid w:val="004538AE"/>
    <w:rsid w:val="00453E1D"/>
    <w:rsid w:val="004554D5"/>
    <w:rsid w:val="0045667B"/>
    <w:rsid w:val="00456DE3"/>
    <w:rsid w:val="00460A72"/>
    <w:rsid w:val="004612FD"/>
    <w:rsid w:val="004657F4"/>
    <w:rsid w:val="00470E06"/>
    <w:rsid w:val="004717CF"/>
    <w:rsid w:val="004823F6"/>
    <w:rsid w:val="004828F0"/>
    <w:rsid w:val="00486D8A"/>
    <w:rsid w:val="00487A54"/>
    <w:rsid w:val="00487C88"/>
    <w:rsid w:val="00487FE8"/>
    <w:rsid w:val="004978C4"/>
    <w:rsid w:val="00497AC9"/>
    <w:rsid w:val="004A12A3"/>
    <w:rsid w:val="004A1F6A"/>
    <w:rsid w:val="004A2078"/>
    <w:rsid w:val="004B3CD2"/>
    <w:rsid w:val="004B3FED"/>
    <w:rsid w:val="004B4015"/>
    <w:rsid w:val="004B443C"/>
    <w:rsid w:val="004B46DF"/>
    <w:rsid w:val="004B6F90"/>
    <w:rsid w:val="004C56B8"/>
    <w:rsid w:val="004D663C"/>
    <w:rsid w:val="004E1067"/>
    <w:rsid w:val="004F0F53"/>
    <w:rsid w:val="004F547D"/>
    <w:rsid w:val="004F7FDB"/>
    <w:rsid w:val="00502F5D"/>
    <w:rsid w:val="005053A3"/>
    <w:rsid w:val="00513AF9"/>
    <w:rsid w:val="00526855"/>
    <w:rsid w:val="0053609A"/>
    <w:rsid w:val="00537F43"/>
    <w:rsid w:val="00541BA0"/>
    <w:rsid w:val="00544122"/>
    <w:rsid w:val="00545626"/>
    <w:rsid w:val="00545B6C"/>
    <w:rsid w:val="005505AA"/>
    <w:rsid w:val="00551292"/>
    <w:rsid w:val="00552E7B"/>
    <w:rsid w:val="00555DC6"/>
    <w:rsid w:val="00561972"/>
    <w:rsid w:val="00580E30"/>
    <w:rsid w:val="005814EC"/>
    <w:rsid w:val="00581780"/>
    <w:rsid w:val="0058338D"/>
    <w:rsid w:val="00584833"/>
    <w:rsid w:val="00586E1D"/>
    <w:rsid w:val="00590D38"/>
    <w:rsid w:val="00596034"/>
    <w:rsid w:val="005A23FD"/>
    <w:rsid w:val="005A3499"/>
    <w:rsid w:val="005A38F5"/>
    <w:rsid w:val="005A5C88"/>
    <w:rsid w:val="005B2643"/>
    <w:rsid w:val="005B406E"/>
    <w:rsid w:val="005C319B"/>
    <w:rsid w:val="005D1128"/>
    <w:rsid w:val="005D2C41"/>
    <w:rsid w:val="005E51D0"/>
    <w:rsid w:val="00600A09"/>
    <w:rsid w:val="00604D2B"/>
    <w:rsid w:val="0061383F"/>
    <w:rsid w:val="00613EE9"/>
    <w:rsid w:val="0062239C"/>
    <w:rsid w:val="0062433C"/>
    <w:rsid w:val="00626AFE"/>
    <w:rsid w:val="0063741D"/>
    <w:rsid w:val="00645074"/>
    <w:rsid w:val="006507F0"/>
    <w:rsid w:val="006541FF"/>
    <w:rsid w:val="00661A78"/>
    <w:rsid w:val="00661B1E"/>
    <w:rsid w:val="00670040"/>
    <w:rsid w:val="0067044E"/>
    <w:rsid w:val="00676D2C"/>
    <w:rsid w:val="00685210"/>
    <w:rsid w:val="00692814"/>
    <w:rsid w:val="00694555"/>
    <w:rsid w:val="00696073"/>
    <w:rsid w:val="006A5B99"/>
    <w:rsid w:val="006A70D9"/>
    <w:rsid w:val="006B2CE5"/>
    <w:rsid w:val="006B44E2"/>
    <w:rsid w:val="006B44FB"/>
    <w:rsid w:val="006B75E3"/>
    <w:rsid w:val="006C522B"/>
    <w:rsid w:val="006C6086"/>
    <w:rsid w:val="006C61C7"/>
    <w:rsid w:val="006E1F55"/>
    <w:rsid w:val="006F22F6"/>
    <w:rsid w:val="006F31C6"/>
    <w:rsid w:val="006F5ABC"/>
    <w:rsid w:val="006F7EA1"/>
    <w:rsid w:val="00717DA1"/>
    <w:rsid w:val="007206F9"/>
    <w:rsid w:val="00721637"/>
    <w:rsid w:val="0072633F"/>
    <w:rsid w:val="00727B1D"/>
    <w:rsid w:val="00727B85"/>
    <w:rsid w:val="00731BCD"/>
    <w:rsid w:val="00736734"/>
    <w:rsid w:val="00737A45"/>
    <w:rsid w:val="00744663"/>
    <w:rsid w:val="00755028"/>
    <w:rsid w:val="00757B5D"/>
    <w:rsid w:val="0076441B"/>
    <w:rsid w:val="007827AA"/>
    <w:rsid w:val="007832F8"/>
    <w:rsid w:val="00791F42"/>
    <w:rsid w:val="00792A2F"/>
    <w:rsid w:val="00793FFF"/>
    <w:rsid w:val="007974A6"/>
    <w:rsid w:val="007A1147"/>
    <w:rsid w:val="007A1615"/>
    <w:rsid w:val="007A2C80"/>
    <w:rsid w:val="007A37DB"/>
    <w:rsid w:val="007B3910"/>
    <w:rsid w:val="007C050A"/>
    <w:rsid w:val="007C0D9D"/>
    <w:rsid w:val="007C1300"/>
    <w:rsid w:val="007C2BA0"/>
    <w:rsid w:val="007C51EE"/>
    <w:rsid w:val="007C5AF1"/>
    <w:rsid w:val="007C7B08"/>
    <w:rsid w:val="007D1840"/>
    <w:rsid w:val="007E169C"/>
    <w:rsid w:val="007E67AA"/>
    <w:rsid w:val="007F5212"/>
    <w:rsid w:val="00801E49"/>
    <w:rsid w:val="00803A3F"/>
    <w:rsid w:val="00803E48"/>
    <w:rsid w:val="00806107"/>
    <w:rsid w:val="008114F6"/>
    <w:rsid w:val="0081530C"/>
    <w:rsid w:val="0082794D"/>
    <w:rsid w:val="00830C45"/>
    <w:rsid w:val="00836D5A"/>
    <w:rsid w:val="00844013"/>
    <w:rsid w:val="0085123C"/>
    <w:rsid w:val="00857062"/>
    <w:rsid w:val="00864E88"/>
    <w:rsid w:val="008717B4"/>
    <w:rsid w:val="00873F47"/>
    <w:rsid w:val="00877BCA"/>
    <w:rsid w:val="0088705C"/>
    <w:rsid w:val="008968BC"/>
    <w:rsid w:val="008A344F"/>
    <w:rsid w:val="008A4EE4"/>
    <w:rsid w:val="008B29B8"/>
    <w:rsid w:val="008B2C35"/>
    <w:rsid w:val="008B3218"/>
    <w:rsid w:val="008C2535"/>
    <w:rsid w:val="008C5CA2"/>
    <w:rsid w:val="008C6773"/>
    <w:rsid w:val="008D0E9F"/>
    <w:rsid w:val="008D1798"/>
    <w:rsid w:val="008E5048"/>
    <w:rsid w:val="008E5985"/>
    <w:rsid w:val="008F682C"/>
    <w:rsid w:val="00903CE7"/>
    <w:rsid w:val="00915579"/>
    <w:rsid w:val="00916276"/>
    <w:rsid w:val="009179CD"/>
    <w:rsid w:val="00917B3D"/>
    <w:rsid w:val="00917C2D"/>
    <w:rsid w:val="00920D13"/>
    <w:rsid w:val="00921414"/>
    <w:rsid w:val="00921506"/>
    <w:rsid w:val="0092214F"/>
    <w:rsid w:val="00923D68"/>
    <w:rsid w:val="00932F63"/>
    <w:rsid w:val="00932F7F"/>
    <w:rsid w:val="009421CB"/>
    <w:rsid w:val="00942700"/>
    <w:rsid w:val="009466D5"/>
    <w:rsid w:val="009508FD"/>
    <w:rsid w:val="009528CB"/>
    <w:rsid w:val="00953980"/>
    <w:rsid w:val="00955C11"/>
    <w:rsid w:val="00957F59"/>
    <w:rsid w:val="00964F8F"/>
    <w:rsid w:val="00966F13"/>
    <w:rsid w:val="009709FC"/>
    <w:rsid w:val="00973376"/>
    <w:rsid w:val="009750E6"/>
    <w:rsid w:val="00984EC4"/>
    <w:rsid w:val="00985DAD"/>
    <w:rsid w:val="00990242"/>
    <w:rsid w:val="00990D2C"/>
    <w:rsid w:val="00990F3B"/>
    <w:rsid w:val="009968EB"/>
    <w:rsid w:val="00997A69"/>
    <w:rsid w:val="009A1CE1"/>
    <w:rsid w:val="009A3E46"/>
    <w:rsid w:val="009A5782"/>
    <w:rsid w:val="009A6A9A"/>
    <w:rsid w:val="009A7B99"/>
    <w:rsid w:val="009A7CEC"/>
    <w:rsid w:val="009B02CA"/>
    <w:rsid w:val="009B0CD8"/>
    <w:rsid w:val="009B2E19"/>
    <w:rsid w:val="009B5CBD"/>
    <w:rsid w:val="009C32F9"/>
    <w:rsid w:val="009C36AF"/>
    <w:rsid w:val="009C3F6C"/>
    <w:rsid w:val="009D28D5"/>
    <w:rsid w:val="009E1BF4"/>
    <w:rsid w:val="009E3EBE"/>
    <w:rsid w:val="009E5BF6"/>
    <w:rsid w:val="009F118B"/>
    <w:rsid w:val="009F224C"/>
    <w:rsid w:val="009F61E3"/>
    <w:rsid w:val="00A00EA8"/>
    <w:rsid w:val="00A017AA"/>
    <w:rsid w:val="00A03E21"/>
    <w:rsid w:val="00A07827"/>
    <w:rsid w:val="00A10ABE"/>
    <w:rsid w:val="00A10F25"/>
    <w:rsid w:val="00A1152A"/>
    <w:rsid w:val="00A13F24"/>
    <w:rsid w:val="00A21B72"/>
    <w:rsid w:val="00A22505"/>
    <w:rsid w:val="00A240CB"/>
    <w:rsid w:val="00A24D66"/>
    <w:rsid w:val="00A31385"/>
    <w:rsid w:val="00A351F1"/>
    <w:rsid w:val="00A37742"/>
    <w:rsid w:val="00A42503"/>
    <w:rsid w:val="00A44EEB"/>
    <w:rsid w:val="00A4710D"/>
    <w:rsid w:val="00A53AAD"/>
    <w:rsid w:val="00A54BA5"/>
    <w:rsid w:val="00A555B2"/>
    <w:rsid w:val="00A6234F"/>
    <w:rsid w:val="00A64D0C"/>
    <w:rsid w:val="00A6715B"/>
    <w:rsid w:val="00A72A38"/>
    <w:rsid w:val="00A736F4"/>
    <w:rsid w:val="00A74A4F"/>
    <w:rsid w:val="00A8664D"/>
    <w:rsid w:val="00A92D7C"/>
    <w:rsid w:val="00A96B55"/>
    <w:rsid w:val="00AA21DA"/>
    <w:rsid w:val="00AA7D2E"/>
    <w:rsid w:val="00AB1599"/>
    <w:rsid w:val="00AB75AF"/>
    <w:rsid w:val="00AB7B44"/>
    <w:rsid w:val="00AC6247"/>
    <w:rsid w:val="00AD05F3"/>
    <w:rsid w:val="00AD3228"/>
    <w:rsid w:val="00AD4382"/>
    <w:rsid w:val="00AD52C7"/>
    <w:rsid w:val="00AE30A4"/>
    <w:rsid w:val="00AE4DF7"/>
    <w:rsid w:val="00AE7F5E"/>
    <w:rsid w:val="00AF712B"/>
    <w:rsid w:val="00B03D66"/>
    <w:rsid w:val="00B11515"/>
    <w:rsid w:val="00B117AA"/>
    <w:rsid w:val="00B1206F"/>
    <w:rsid w:val="00B121F0"/>
    <w:rsid w:val="00B21E40"/>
    <w:rsid w:val="00B31839"/>
    <w:rsid w:val="00B42580"/>
    <w:rsid w:val="00B4332F"/>
    <w:rsid w:val="00B44685"/>
    <w:rsid w:val="00B4736D"/>
    <w:rsid w:val="00B50BED"/>
    <w:rsid w:val="00B52225"/>
    <w:rsid w:val="00B539C2"/>
    <w:rsid w:val="00B54E96"/>
    <w:rsid w:val="00B64889"/>
    <w:rsid w:val="00B732D2"/>
    <w:rsid w:val="00B81DCC"/>
    <w:rsid w:val="00B87188"/>
    <w:rsid w:val="00B91315"/>
    <w:rsid w:val="00B92C75"/>
    <w:rsid w:val="00BA0132"/>
    <w:rsid w:val="00BA3D51"/>
    <w:rsid w:val="00BB333D"/>
    <w:rsid w:val="00BB5F5A"/>
    <w:rsid w:val="00BC4DBC"/>
    <w:rsid w:val="00BC6021"/>
    <w:rsid w:val="00BD3AA1"/>
    <w:rsid w:val="00BD4013"/>
    <w:rsid w:val="00BD5597"/>
    <w:rsid w:val="00BD6FE8"/>
    <w:rsid w:val="00BE48BB"/>
    <w:rsid w:val="00BF0FE2"/>
    <w:rsid w:val="00BF23EA"/>
    <w:rsid w:val="00BF5495"/>
    <w:rsid w:val="00C01D21"/>
    <w:rsid w:val="00C117CC"/>
    <w:rsid w:val="00C14053"/>
    <w:rsid w:val="00C208F4"/>
    <w:rsid w:val="00C2331A"/>
    <w:rsid w:val="00C32422"/>
    <w:rsid w:val="00C33A30"/>
    <w:rsid w:val="00C42922"/>
    <w:rsid w:val="00C434E8"/>
    <w:rsid w:val="00C5187F"/>
    <w:rsid w:val="00C54180"/>
    <w:rsid w:val="00C66C76"/>
    <w:rsid w:val="00C70753"/>
    <w:rsid w:val="00C770A7"/>
    <w:rsid w:val="00C83D71"/>
    <w:rsid w:val="00C85C8A"/>
    <w:rsid w:val="00C85FBA"/>
    <w:rsid w:val="00C86D48"/>
    <w:rsid w:val="00C90F59"/>
    <w:rsid w:val="00C9428C"/>
    <w:rsid w:val="00C95EC2"/>
    <w:rsid w:val="00CA5784"/>
    <w:rsid w:val="00CA6ACF"/>
    <w:rsid w:val="00CB30BF"/>
    <w:rsid w:val="00CB51C8"/>
    <w:rsid w:val="00CD3474"/>
    <w:rsid w:val="00CD463D"/>
    <w:rsid w:val="00CD58F6"/>
    <w:rsid w:val="00CE0343"/>
    <w:rsid w:val="00CE3C7E"/>
    <w:rsid w:val="00CE7244"/>
    <w:rsid w:val="00CF62DC"/>
    <w:rsid w:val="00D037C8"/>
    <w:rsid w:val="00D11606"/>
    <w:rsid w:val="00D16A8F"/>
    <w:rsid w:val="00D3067F"/>
    <w:rsid w:val="00D313A0"/>
    <w:rsid w:val="00D33F6A"/>
    <w:rsid w:val="00D3423F"/>
    <w:rsid w:val="00D45554"/>
    <w:rsid w:val="00D46728"/>
    <w:rsid w:val="00D50660"/>
    <w:rsid w:val="00D515B8"/>
    <w:rsid w:val="00D52BD8"/>
    <w:rsid w:val="00D52C55"/>
    <w:rsid w:val="00D64ED2"/>
    <w:rsid w:val="00D6590D"/>
    <w:rsid w:val="00D65D37"/>
    <w:rsid w:val="00D70AD3"/>
    <w:rsid w:val="00D7539D"/>
    <w:rsid w:val="00D76957"/>
    <w:rsid w:val="00D80D24"/>
    <w:rsid w:val="00D92252"/>
    <w:rsid w:val="00D94B95"/>
    <w:rsid w:val="00D97E32"/>
    <w:rsid w:val="00DA72B9"/>
    <w:rsid w:val="00DB5716"/>
    <w:rsid w:val="00DB6FAA"/>
    <w:rsid w:val="00DC67D8"/>
    <w:rsid w:val="00DD0317"/>
    <w:rsid w:val="00DD045F"/>
    <w:rsid w:val="00DE06D1"/>
    <w:rsid w:val="00DE7D68"/>
    <w:rsid w:val="00DF09CF"/>
    <w:rsid w:val="00E00C62"/>
    <w:rsid w:val="00E00D82"/>
    <w:rsid w:val="00E00F72"/>
    <w:rsid w:val="00E00F94"/>
    <w:rsid w:val="00E02A03"/>
    <w:rsid w:val="00E03B88"/>
    <w:rsid w:val="00E0506A"/>
    <w:rsid w:val="00E067D7"/>
    <w:rsid w:val="00E105AF"/>
    <w:rsid w:val="00E12180"/>
    <w:rsid w:val="00E15EAC"/>
    <w:rsid w:val="00E4123E"/>
    <w:rsid w:val="00E41B07"/>
    <w:rsid w:val="00E425E2"/>
    <w:rsid w:val="00E45179"/>
    <w:rsid w:val="00E725C7"/>
    <w:rsid w:val="00E77B94"/>
    <w:rsid w:val="00E812B6"/>
    <w:rsid w:val="00E83685"/>
    <w:rsid w:val="00E846CD"/>
    <w:rsid w:val="00E91929"/>
    <w:rsid w:val="00E91EFD"/>
    <w:rsid w:val="00EA2D6F"/>
    <w:rsid w:val="00EA3F9E"/>
    <w:rsid w:val="00EA749E"/>
    <w:rsid w:val="00EB6E75"/>
    <w:rsid w:val="00EB78C9"/>
    <w:rsid w:val="00EC385B"/>
    <w:rsid w:val="00ED2A1E"/>
    <w:rsid w:val="00ED66FA"/>
    <w:rsid w:val="00ED6785"/>
    <w:rsid w:val="00ED7896"/>
    <w:rsid w:val="00EE2B0D"/>
    <w:rsid w:val="00EE5347"/>
    <w:rsid w:val="00EF2954"/>
    <w:rsid w:val="00F02904"/>
    <w:rsid w:val="00F116F1"/>
    <w:rsid w:val="00F12B21"/>
    <w:rsid w:val="00F228EA"/>
    <w:rsid w:val="00F507D8"/>
    <w:rsid w:val="00F5482D"/>
    <w:rsid w:val="00F5762F"/>
    <w:rsid w:val="00F57FD3"/>
    <w:rsid w:val="00F60051"/>
    <w:rsid w:val="00F6309A"/>
    <w:rsid w:val="00F63D41"/>
    <w:rsid w:val="00F6533F"/>
    <w:rsid w:val="00F70C69"/>
    <w:rsid w:val="00F74FDE"/>
    <w:rsid w:val="00F76B14"/>
    <w:rsid w:val="00F93B77"/>
    <w:rsid w:val="00F96B61"/>
    <w:rsid w:val="00F97B0E"/>
    <w:rsid w:val="00FB5371"/>
    <w:rsid w:val="00FB626D"/>
    <w:rsid w:val="00FC22F6"/>
    <w:rsid w:val="00FC3779"/>
    <w:rsid w:val="00FD04D5"/>
    <w:rsid w:val="00FD1724"/>
    <w:rsid w:val="00FD55A0"/>
    <w:rsid w:val="00FD7071"/>
    <w:rsid w:val="00FE0E5B"/>
    <w:rsid w:val="00FF37C0"/>
    <w:rsid w:val="00FF3B03"/>
    <w:rsid w:val="00FF424C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5FF7E"/>
  <w15:chartTrackingRefBased/>
  <w15:docId w15:val="{871EAD91-901A-42C6-8E13-AB1F9628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 w:qFormat="1"/>
    <w:lsdException w:name="annotation text" w:semiHidden="1"/>
    <w:lsdException w:name="header" w:uiPriority="8"/>
    <w:lsdException w:name="footer" w:uiPriority="8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uiPriority="1"/>
    <w:lsdException w:name="annotation reference" w:semiHidden="1"/>
    <w:lsdException w:name="line number" w:semiHidden="1"/>
    <w:lsdException w:name="page number" w:semiHidden="1" w:uiPriority="8"/>
    <w:lsdException w:name="endnote reference" w:semiHidden="1" w:uiPriority="3"/>
    <w:lsdException w:name="endnote text" w:semiHidden="1" w:uiPriority="3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8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1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/>
    <w:lsdException w:name="Salutation" w:semiHidden="1"/>
    <w:lsdException w:name="Date" w:semiHidden="1" w:uiPriority="8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8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8"/>
    <w:semiHidden/>
    <w:qFormat/>
    <w:rsid w:val="002A0AFD"/>
    <w:pPr>
      <w:spacing w:after="240" w:line="276" w:lineRule="auto"/>
    </w:pPr>
    <w:rPr>
      <w:sz w:val="24"/>
    </w:rPr>
  </w:style>
  <w:style w:type="paragraph" w:styleId="Heading1">
    <w:name w:val="heading 1"/>
    <w:next w:val="BodyText"/>
    <w:link w:val="Heading1Char"/>
    <w:qFormat/>
    <w:rsid w:val="002A0AFD"/>
    <w:pPr>
      <w:keepNext/>
      <w:keepLines/>
      <w:spacing w:before="480" w:after="48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006D55"/>
      <w:sz w:val="48"/>
      <w:szCs w:val="32"/>
    </w:rPr>
  </w:style>
  <w:style w:type="paragraph" w:styleId="Heading2">
    <w:name w:val="heading 2"/>
    <w:next w:val="BodyText"/>
    <w:link w:val="Heading2Char"/>
    <w:qFormat/>
    <w:rsid w:val="00F507D8"/>
    <w:pPr>
      <w:keepNext/>
      <w:keepLines/>
      <w:spacing w:before="240" w:after="120" w:line="276" w:lineRule="auto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next w:val="BodyText"/>
    <w:link w:val="Heading3Char"/>
    <w:qFormat/>
    <w:rsid w:val="002F075A"/>
    <w:pPr>
      <w:keepNext/>
      <w:keepLines/>
      <w:spacing w:after="0" w:line="276" w:lineRule="auto"/>
      <w:contextualSpacing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next w:val="BodyText"/>
    <w:link w:val="Heading4Char"/>
    <w:qFormat/>
    <w:rsid w:val="002F075A"/>
    <w:pPr>
      <w:keepNext/>
      <w:keepLines/>
      <w:spacing w:after="0" w:line="276" w:lineRule="auto"/>
      <w:contextualSpacing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BodyText"/>
    <w:link w:val="FootnoteTextChar"/>
    <w:uiPriority w:val="3"/>
    <w:qFormat/>
    <w:rsid w:val="00916276"/>
    <w:pPr>
      <w:spacing w:after="40" w:line="240" w:lineRule="auto"/>
      <w:ind w:left="284" w:hanging="28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916276"/>
    <w:rPr>
      <w:sz w:val="20"/>
      <w:szCs w:val="20"/>
    </w:rPr>
  </w:style>
  <w:style w:type="character" w:styleId="FootnoteReference">
    <w:name w:val="footnote reference"/>
    <w:basedOn w:val="DefaultParagraphFont"/>
    <w:uiPriority w:val="3"/>
    <w:semiHidden/>
    <w:rsid w:val="00B91315"/>
    <w:rPr>
      <w:vertAlign w:val="superscript"/>
    </w:rPr>
  </w:style>
  <w:style w:type="paragraph" w:styleId="Title">
    <w:name w:val="Title"/>
    <w:next w:val="Subtitle"/>
    <w:link w:val="TitleChar"/>
    <w:uiPriority w:val="8"/>
    <w:semiHidden/>
    <w:qFormat/>
    <w:rsid w:val="00F507D8"/>
    <w:pPr>
      <w:spacing w:before="2940" w:after="0" w:line="240" w:lineRule="auto"/>
      <w:contextualSpacing/>
    </w:pPr>
    <w:rPr>
      <w:rFonts w:asciiTheme="majorHAnsi" w:eastAsiaTheme="majorEastAsia" w:hAnsiTheme="majorHAnsi" w:cstheme="majorBidi"/>
      <w:b/>
      <w:color w:val="1D609D" w:themeColor="accent1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8"/>
    <w:semiHidden/>
    <w:rsid w:val="00F507D8"/>
    <w:rPr>
      <w:rFonts w:asciiTheme="majorHAnsi" w:eastAsiaTheme="majorEastAsia" w:hAnsiTheme="majorHAnsi" w:cstheme="majorBidi"/>
      <w:b/>
      <w:color w:val="1D609D" w:themeColor="accent1"/>
      <w:sz w:val="68"/>
      <w:szCs w:val="56"/>
    </w:rPr>
  </w:style>
  <w:style w:type="paragraph" w:styleId="Subtitle">
    <w:name w:val="Subtitle"/>
    <w:next w:val="BodyText"/>
    <w:link w:val="SubtitleChar"/>
    <w:uiPriority w:val="8"/>
    <w:semiHidden/>
    <w:rsid w:val="00F507D8"/>
    <w:pPr>
      <w:numPr>
        <w:ilvl w:val="1"/>
      </w:numPr>
      <w:spacing w:after="0" w:line="240" w:lineRule="auto"/>
      <w:contextualSpacing/>
    </w:pPr>
    <w:rPr>
      <w:rFonts w:asciiTheme="majorHAnsi" w:eastAsiaTheme="minorEastAsia" w:hAnsiTheme="majorHAnsi"/>
      <w:b/>
      <w:color w:val="1D609D" w:themeColor="accent1"/>
      <w:sz w:val="48"/>
    </w:rPr>
  </w:style>
  <w:style w:type="character" w:customStyle="1" w:styleId="SubtitleChar">
    <w:name w:val="Subtitle Char"/>
    <w:basedOn w:val="DefaultParagraphFont"/>
    <w:link w:val="Subtitle"/>
    <w:uiPriority w:val="8"/>
    <w:semiHidden/>
    <w:rsid w:val="00F507D8"/>
    <w:rPr>
      <w:rFonts w:asciiTheme="majorHAnsi" w:eastAsiaTheme="minorEastAsia" w:hAnsiTheme="majorHAnsi"/>
      <w:b/>
      <w:color w:val="1D609D" w:themeColor="accent1"/>
      <w:sz w:val="48"/>
    </w:rPr>
  </w:style>
  <w:style w:type="character" w:styleId="FollowedHyperlink">
    <w:name w:val="FollowedHyperlink"/>
    <w:uiPriority w:val="8"/>
    <w:unhideWhenUsed/>
    <w:rsid w:val="004978C4"/>
    <w:rPr>
      <w:color w:val="006D55"/>
      <w:u w:val="single"/>
    </w:rPr>
  </w:style>
  <w:style w:type="character" w:customStyle="1" w:styleId="Heading1Char">
    <w:name w:val="Heading 1 Char"/>
    <w:basedOn w:val="DefaultParagraphFont"/>
    <w:link w:val="Heading1"/>
    <w:rsid w:val="002A0AFD"/>
    <w:rPr>
      <w:rFonts w:asciiTheme="majorHAnsi" w:eastAsiaTheme="majorEastAsia" w:hAnsiTheme="majorHAnsi" w:cstheme="majorBidi"/>
      <w:b/>
      <w:color w:val="006D55"/>
      <w:sz w:val="48"/>
      <w:szCs w:val="32"/>
    </w:rPr>
  </w:style>
  <w:style w:type="paragraph" w:styleId="TOCHeading">
    <w:name w:val="TOC Heading"/>
    <w:basedOn w:val="Heading1"/>
    <w:next w:val="BodyText"/>
    <w:uiPriority w:val="8"/>
    <w:semiHidden/>
    <w:rsid w:val="00AD05F3"/>
    <w:pPr>
      <w:outlineLvl w:val="9"/>
    </w:pPr>
  </w:style>
  <w:style w:type="character" w:customStyle="1" w:styleId="Heading2Char">
    <w:name w:val="Heading 2 Char"/>
    <w:basedOn w:val="DefaultParagraphFont"/>
    <w:link w:val="Heading2"/>
    <w:rsid w:val="00F507D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2F075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F075A"/>
    <w:rPr>
      <w:rFonts w:asciiTheme="majorHAnsi" w:eastAsiaTheme="majorEastAsia" w:hAnsiTheme="majorHAnsi" w:cstheme="majorBidi"/>
      <w:i/>
      <w:iCs/>
      <w:sz w:val="24"/>
    </w:rPr>
  </w:style>
  <w:style w:type="paragraph" w:styleId="BodyText">
    <w:name w:val="Body Text"/>
    <w:link w:val="BodyTextChar"/>
    <w:uiPriority w:val="1"/>
    <w:qFormat/>
    <w:rsid w:val="002F075A"/>
    <w:pPr>
      <w:spacing w:after="240" w:line="276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075A"/>
    <w:rPr>
      <w:sz w:val="24"/>
    </w:rPr>
  </w:style>
  <w:style w:type="paragraph" w:styleId="BodyTextIndent">
    <w:name w:val="Body Text Indent"/>
    <w:basedOn w:val="BodyText"/>
    <w:link w:val="BodyTextIndentChar"/>
    <w:uiPriority w:val="1"/>
    <w:qFormat/>
    <w:rsid w:val="002F075A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2F075A"/>
    <w:rPr>
      <w:sz w:val="24"/>
    </w:rPr>
  </w:style>
  <w:style w:type="paragraph" w:styleId="ListBullet">
    <w:name w:val="List Bullet"/>
    <w:basedOn w:val="BodyText"/>
    <w:uiPriority w:val="2"/>
    <w:qFormat/>
    <w:rsid w:val="002A0AFD"/>
    <w:pPr>
      <w:numPr>
        <w:numId w:val="1"/>
      </w:numPr>
      <w:contextualSpacing/>
    </w:pPr>
  </w:style>
  <w:style w:type="paragraph" w:styleId="ListBullet2">
    <w:name w:val="List Bullet 2"/>
    <w:uiPriority w:val="2"/>
    <w:qFormat/>
    <w:rsid w:val="002A0AFD"/>
    <w:pPr>
      <w:numPr>
        <w:numId w:val="2"/>
      </w:numPr>
      <w:spacing w:after="240" w:line="276" w:lineRule="auto"/>
      <w:contextualSpacing/>
    </w:pPr>
    <w:rPr>
      <w:sz w:val="24"/>
    </w:rPr>
  </w:style>
  <w:style w:type="paragraph" w:styleId="ListNumber">
    <w:name w:val="List Number"/>
    <w:basedOn w:val="BodyText"/>
    <w:uiPriority w:val="1"/>
    <w:qFormat/>
    <w:rsid w:val="002F075A"/>
    <w:pPr>
      <w:numPr>
        <w:numId w:val="3"/>
      </w:numPr>
    </w:pPr>
  </w:style>
  <w:style w:type="paragraph" w:styleId="Header">
    <w:name w:val="header"/>
    <w:basedOn w:val="BodyText"/>
    <w:link w:val="HeaderChar"/>
    <w:uiPriority w:val="8"/>
    <w:semiHidden/>
    <w:rsid w:val="009A1CE1"/>
    <w:pPr>
      <w:spacing w:after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BC4DBC"/>
    <w:rPr>
      <w:sz w:val="18"/>
    </w:rPr>
  </w:style>
  <w:style w:type="paragraph" w:styleId="Footer">
    <w:name w:val="footer"/>
    <w:basedOn w:val="BodyText"/>
    <w:link w:val="FooterChar"/>
    <w:uiPriority w:val="8"/>
    <w:semiHidden/>
    <w:rsid w:val="00990242"/>
    <w:pPr>
      <w:spacing w:after="0" w:line="240" w:lineRule="auto"/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uiPriority w:val="8"/>
    <w:semiHidden/>
    <w:rsid w:val="00BC4DBC"/>
    <w:rPr>
      <w:b/>
      <w:sz w:val="24"/>
    </w:rPr>
  </w:style>
  <w:style w:type="paragraph" w:styleId="TOC1">
    <w:name w:val="toc 1"/>
    <w:basedOn w:val="BodyText"/>
    <w:uiPriority w:val="39"/>
    <w:semiHidden/>
    <w:rsid w:val="003D27AC"/>
    <w:pPr>
      <w:tabs>
        <w:tab w:val="right" w:pos="9639"/>
      </w:tabs>
      <w:spacing w:before="240" w:after="120"/>
    </w:pPr>
    <w:rPr>
      <w:b/>
    </w:rPr>
  </w:style>
  <w:style w:type="paragraph" w:styleId="TOC2">
    <w:name w:val="toc 2"/>
    <w:basedOn w:val="TOC1"/>
    <w:next w:val="BodyText"/>
    <w:uiPriority w:val="39"/>
    <w:semiHidden/>
    <w:rsid w:val="003D27AC"/>
    <w:pPr>
      <w:spacing w:before="0"/>
    </w:pPr>
    <w:rPr>
      <w:b w:val="0"/>
    </w:rPr>
  </w:style>
  <w:style w:type="character" w:styleId="Hyperlink">
    <w:name w:val="Hyperlink"/>
    <w:uiPriority w:val="7"/>
    <w:unhideWhenUsed/>
    <w:rsid w:val="004978C4"/>
    <w:rPr>
      <w:color w:val="006D55"/>
      <w:u w:val="single"/>
    </w:rPr>
  </w:style>
  <w:style w:type="paragraph" w:customStyle="1" w:styleId="EmphasisHeading">
    <w:name w:val="Emphasis Heading"/>
    <w:basedOn w:val="BodyText"/>
    <w:next w:val="EmphasisText"/>
    <w:uiPriority w:val="3"/>
    <w:qFormat/>
    <w:rsid w:val="002A0AFD"/>
    <w:pPr>
      <w:keepNext/>
      <w:keepLines/>
      <w:pBdr>
        <w:top w:val="single" w:sz="48" w:space="6" w:color="EEF3DA"/>
        <w:left w:val="single" w:sz="48" w:space="4" w:color="EEF3DA"/>
        <w:bottom w:val="single" w:sz="48" w:space="6" w:color="EEF3DA"/>
        <w:right w:val="single" w:sz="48" w:space="4" w:color="EEF3DA"/>
      </w:pBdr>
      <w:shd w:val="clear" w:color="auto" w:fill="EEF3DA"/>
      <w:spacing w:before="240"/>
      <w:ind w:left="199"/>
    </w:pPr>
    <w:rPr>
      <w:b/>
    </w:rPr>
  </w:style>
  <w:style w:type="paragraph" w:customStyle="1" w:styleId="EmphasisText">
    <w:name w:val="Emphasis Text"/>
    <w:basedOn w:val="BodyText"/>
    <w:uiPriority w:val="3"/>
    <w:qFormat/>
    <w:rsid w:val="002A0AFD"/>
    <w:pPr>
      <w:keepLines/>
      <w:pBdr>
        <w:top w:val="single" w:sz="48" w:space="6" w:color="EEF3DA"/>
        <w:left w:val="single" w:sz="48" w:space="4" w:color="EEF3DA"/>
        <w:bottom w:val="single" w:sz="48" w:space="6" w:color="EEF3DA"/>
        <w:right w:val="single" w:sz="48" w:space="4" w:color="EEF3DA"/>
      </w:pBdr>
      <w:shd w:val="clear" w:color="auto" w:fill="EEF3DA"/>
      <w:ind w:left="199"/>
    </w:pPr>
  </w:style>
  <w:style w:type="table" w:styleId="TableGrid">
    <w:name w:val="Table Grid"/>
    <w:basedOn w:val="TableNormal"/>
    <w:uiPriority w:val="39"/>
    <w:rsid w:val="001C6F2A"/>
    <w:pPr>
      <w:spacing w:after="0" w:line="240" w:lineRule="auto"/>
    </w:pPr>
    <w:tblPr>
      <w:tblBorders>
        <w:top w:val="single" w:sz="4" w:space="0" w:color="006D55"/>
        <w:left w:val="single" w:sz="4" w:space="0" w:color="006D55"/>
        <w:bottom w:val="single" w:sz="4" w:space="0" w:color="006D55"/>
        <w:right w:val="single" w:sz="4" w:space="0" w:color="006D55"/>
        <w:insideH w:val="single" w:sz="4" w:space="0" w:color="006D55"/>
        <w:insideV w:val="single" w:sz="4" w:space="0" w:color="006D55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keepLines/>
        <w:widowControl/>
        <w:wordWrap/>
      </w:pPr>
      <w:rPr>
        <w:b/>
        <w:color w:val="FFFFFF" w:themeColor="background1"/>
      </w:rPr>
      <w:tblPr/>
      <w:tcPr>
        <w:shd w:val="clear" w:color="auto" w:fill="006D55"/>
      </w:tcPr>
    </w:tblStylePr>
    <w:tblStylePr w:type="firstCol">
      <w:rPr>
        <w:b/>
        <w:i w:val="0"/>
      </w:rPr>
    </w:tblStylePr>
  </w:style>
  <w:style w:type="paragraph" w:customStyle="1" w:styleId="Covertext">
    <w:name w:val="Cover text"/>
    <w:basedOn w:val="BodyText"/>
    <w:uiPriority w:val="8"/>
    <w:semiHidden/>
    <w:qFormat/>
    <w:rsid w:val="00AE4DF7"/>
    <w:pPr>
      <w:spacing w:after="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rsid w:val="00AD52C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01519"/>
    <w:pPr>
      <w:spacing w:after="160" w:line="259" w:lineRule="auto"/>
      <w:ind w:left="720"/>
      <w:contextualSpacing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rsid w:val="00950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0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0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8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147"/>
    <w:pPr>
      <w:spacing w:after="0" w:line="240" w:lineRule="auto"/>
    </w:pPr>
    <w:rPr>
      <w:sz w:val="24"/>
    </w:rPr>
  </w:style>
  <w:style w:type="character" w:customStyle="1" w:styleId="normaltextrun">
    <w:name w:val="normaltextrun"/>
    <w:basedOn w:val="DefaultParagraphFont"/>
    <w:rsid w:val="008C2535"/>
  </w:style>
  <w:style w:type="character" w:customStyle="1" w:styleId="eop">
    <w:name w:val="eop"/>
    <w:basedOn w:val="DefaultParagraphFont"/>
    <w:rsid w:val="008C2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1143305/Streamlined_asylum_processing_for_children_s_casework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sets.publishing.service.gov.uk/government/uploads/system/uploads/attachment_data/file/1137746/Streamlined_asylum_processing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sets.publishing.service.gov.uk/media/66a9ff2d0808eaf43b50da63/4_8_2024_Immigration_and_Asylum_Category_Specific_Rule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egalaidlearning.justice.gov.uk/totara/dashboard/index.php?id=7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ssets.publishing.service.gov.uk/government/uploads/system/uploads/attachment_data/file/1157029/Lord_Chancellor_s_guide_to_determining_financial_eligibility_for_controlled_work_and_family_mediation_May_2023.pdf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MoJ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D609D"/>
      </a:accent1>
      <a:accent2>
        <a:srgbClr val="30AA51"/>
      </a:accent2>
      <a:accent3>
        <a:srgbClr val="E9426E"/>
      </a:accent3>
      <a:accent4>
        <a:srgbClr val="565B96"/>
      </a:accent4>
      <a:accent5>
        <a:srgbClr val="00A5A1"/>
      </a:accent5>
      <a:accent6>
        <a:srgbClr val="EE7127"/>
      </a:accent6>
      <a:hlink>
        <a:srgbClr val="00B1EB"/>
      </a:hlink>
      <a:folHlink>
        <a:srgbClr val="00B1EB"/>
      </a:folHlink>
    </a:clrScheme>
    <a:fontScheme name="MoJ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C2305-053F-437C-A826-F850D2B5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Manager>LAA</Manager>
  <Company>LAA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Bond, Catherine (LAA)</dc:creator>
  <cp:keywords>[Key words for search engines, separated by commas]</cp:keywords>
  <dc:description/>
  <cp:lastModifiedBy>Sharp, Catherine | She/Hers</cp:lastModifiedBy>
  <cp:revision>10</cp:revision>
  <dcterms:created xsi:type="dcterms:W3CDTF">2024-10-01T12:52:00Z</dcterms:created>
  <dcterms:modified xsi:type="dcterms:W3CDTF">2024-10-09T14:05:00Z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ed1d2f5-2977-4ce1-839d-57a403841e1f_Enabled">
    <vt:lpwstr>true</vt:lpwstr>
  </property>
  <property fmtid="{D5CDD505-2E9C-101B-9397-08002B2CF9AE}" pid="9" name="MSIP_Label_eed1d2f5-2977-4ce1-839d-57a403841e1f_SetDate">
    <vt:lpwstr>2024-07-01T18:14:39Z</vt:lpwstr>
  </property>
  <property fmtid="{D5CDD505-2E9C-101B-9397-08002B2CF9AE}" pid="10" name="MSIP_Label_eed1d2f5-2977-4ce1-839d-57a403841e1f_Method">
    <vt:lpwstr>Privileged</vt:lpwstr>
  </property>
  <property fmtid="{D5CDD505-2E9C-101B-9397-08002B2CF9AE}" pid="11" name="MSIP_Label_eed1d2f5-2977-4ce1-839d-57a403841e1f_Name">
    <vt:lpwstr>OFFICIAL</vt:lpwstr>
  </property>
  <property fmtid="{D5CDD505-2E9C-101B-9397-08002B2CF9AE}" pid="12" name="MSIP_Label_eed1d2f5-2977-4ce1-839d-57a403841e1f_SiteId">
    <vt:lpwstr>c6874728-71e6-41fe-a9e1-2e8c36776ad8</vt:lpwstr>
  </property>
  <property fmtid="{D5CDD505-2E9C-101B-9397-08002B2CF9AE}" pid="13" name="MSIP_Label_eed1d2f5-2977-4ce1-839d-57a403841e1f_ActionId">
    <vt:lpwstr>493fa058-9b65-4d8a-a1f4-42c873a36f76</vt:lpwstr>
  </property>
  <property fmtid="{D5CDD505-2E9C-101B-9397-08002B2CF9AE}" pid="14" name="MSIP_Label_eed1d2f5-2977-4ce1-839d-57a403841e1f_ContentBits">
    <vt:lpwstr>3</vt:lpwstr>
  </property>
</Properties>
</file>