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6AE1" w14:textId="77777777" w:rsidR="00A92BBE" w:rsidRDefault="00C755F2" w:rsidP="00D82D2E">
      <w:pPr>
        <w:pStyle w:val="BodyText"/>
        <w:spacing w:after="1120"/>
      </w:pPr>
      <w:r>
        <w:rPr>
          <w:noProof/>
        </w:rPr>
        <w:drawing>
          <wp:inline distT="0" distB="0" distL="0" distR="0" wp14:anchorId="22FAFA2D" wp14:editId="68ACCCA1">
            <wp:extent cx="1226511" cy="1071000"/>
            <wp:effectExtent l="0" t="0" r="0" b="0"/>
            <wp:docPr id="4" name="Picture 4" descr="LA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A logo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5D39EDF7" w14:textId="3F34C6C4" w:rsidR="00A92BBE" w:rsidRPr="002262BD" w:rsidRDefault="00A92BBE" w:rsidP="00A92BBE">
      <w:pPr>
        <w:pStyle w:val="Heading1"/>
        <w:jc w:val="center"/>
        <w:rPr>
          <w:rFonts w:asciiTheme="minorHAnsi" w:hAnsiTheme="minorHAnsi" w:cstheme="minorHAnsi"/>
          <w:sz w:val="72"/>
          <w:szCs w:val="72"/>
        </w:rPr>
      </w:pPr>
      <w:r w:rsidRPr="002262BD">
        <w:rPr>
          <w:rFonts w:asciiTheme="minorHAnsi" w:hAnsiTheme="minorHAnsi" w:cstheme="minorHAnsi"/>
          <w:sz w:val="72"/>
          <w:szCs w:val="72"/>
        </w:rPr>
        <w:t>Immigration &amp; Asylum Key</w:t>
      </w:r>
      <w:r w:rsidR="004E064D">
        <w:rPr>
          <w:rFonts w:asciiTheme="minorHAnsi" w:hAnsiTheme="minorHAnsi" w:cstheme="minorHAnsi"/>
          <w:sz w:val="72"/>
          <w:szCs w:val="72"/>
        </w:rPr>
        <w:t>c</w:t>
      </w:r>
      <w:r w:rsidRPr="002262BD">
        <w:rPr>
          <w:rFonts w:asciiTheme="minorHAnsi" w:hAnsiTheme="minorHAnsi" w:cstheme="minorHAnsi"/>
          <w:sz w:val="72"/>
          <w:szCs w:val="72"/>
        </w:rPr>
        <w:t xml:space="preserve">ard </w:t>
      </w:r>
      <w:r>
        <w:rPr>
          <w:rFonts w:asciiTheme="minorHAnsi" w:hAnsiTheme="minorHAnsi" w:cstheme="minorHAnsi"/>
          <w:sz w:val="72"/>
          <w:szCs w:val="72"/>
        </w:rPr>
        <w:t>10</w:t>
      </w:r>
    </w:p>
    <w:p w14:paraId="6A05959F" w14:textId="21BD2393" w:rsidR="001031CB" w:rsidRPr="001031CB" w:rsidRDefault="001031CB" w:rsidP="001031CB">
      <w:pPr>
        <w:keepNext/>
        <w:keepLines/>
        <w:spacing w:before="480" w:after="480" w:line="240" w:lineRule="auto"/>
        <w:jc w:val="center"/>
        <w:outlineLvl w:val="0"/>
        <w:rPr>
          <w:rFonts w:asciiTheme="majorHAnsi" w:eastAsiaTheme="minorEastAsia" w:hAnsiTheme="majorHAnsi" w:cstheme="majorBidi"/>
          <w:b/>
          <w:color w:val="214A35"/>
          <w:sz w:val="48"/>
          <w:szCs w:val="32"/>
        </w:rPr>
      </w:pPr>
      <w:bookmarkStart w:id="0" w:name="_Toc145585450"/>
      <w:r w:rsidRPr="001031CB">
        <w:rPr>
          <w:rFonts w:asciiTheme="majorHAnsi" w:eastAsiaTheme="minorEastAsia" w:hAnsiTheme="majorHAnsi" w:cstheme="majorBidi"/>
          <w:b/>
          <w:color w:val="214A35"/>
          <w:sz w:val="48"/>
          <w:szCs w:val="32"/>
        </w:rPr>
        <w:t xml:space="preserve">Exceptional </w:t>
      </w:r>
      <w:r w:rsidR="00090C5D">
        <w:rPr>
          <w:rFonts w:asciiTheme="majorHAnsi" w:eastAsiaTheme="minorEastAsia" w:hAnsiTheme="majorHAnsi" w:cstheme="majorBidi"/>
          <w:b/>
          <w:color w:val="214A35"/>
          <w:sz w:val="48"/>
          <w:szCs w:val="32"/>
        </w:rPr>
        <w:t>c</w:t>
      </w:r>
      <w:r w:rsidRPr="001031CB">
        <w:rPr>
          <w:rFonts w:asciiTheme="majorHAnsi" w:eastAsiaTheme="minorEastAsia" w:hAnsiTheme="majorHAnsi" w:cstheme="majorBidi"/>
          <w:b/>
          <w:color w:val="214A35"/>
          <w:sz w:val="48"/>
          <w:szCs w:val="32"/>
        </w:rPr>
        <w:t xml:space="preserve">ase </w:t>
      </w:r>
      <w:r w:rsidR="00090C5D">
        <w:rPr>
          <w:rFonts w:asciiTheme="majorHAnsi" w:eastAsiaTheme="minorEastAsia" w:hAnsiTheme="majorHAnsi" w:cstheme="majorBidi"/>
          <w:b/>
          <w:color w:val="214A35"/>
          <w:sz w:val="48"/>
          <w:szCs w:val="32"/>
        </w:rPr>
        <w:t>f</w:t>
      </w:r>
      <w:r w:rsidRPr="001031CB">
        <w:rPr>
          <w:rFonts w:asciiTheme="majorHAnsi" w:eastAsiaTheme="minorEastAsia" w:hAnsiTheme="majorHAnsi" w:cstheme="majorBidi"/>
          <w:b/>
          <w:color w:val="214A35"/>
          <w:sz w:val="48"/>
          <w:szCs w:val="32"/>
        </w:rPr>
        <w:t xml:space="preserve">unding, </w:t>
      </w:r>
      <w:r w:rsidR="00090C5D">
        <w:rPr>
          <w:rFonts w:asciiTheme="majorHAnsi" w:eastAsiaTheme="minorEastAsia" w:hAnsiTheme="majorHAnsi" w:cstheme="majorBidi"/>
          <w:b/>
          <w:color w:val="214A35"/>
          <w:sz w:val="48"/>
          <w:szCs w:val="32"/>
        </w:rPr>
        <w:t>e</w:t>
      </w:r>
      <w:r w:rsidRPr="001031CB">
        <w:rPr>
          <w:rFonts w:asciiTheme="majorHAnsi" w:eastAsiaTheme="minorEastAsia" w:hAnsiTheme="majorHAnsi" w:cstheme="majorBidi"/>
          <w:b/>
          <w:color w:val="214A35"/>
          <w:sz w:val="48"/>
          <w:szCs w:val="32"/>
        </w:rPr>
        <w:t xml:space="preserve">xemptions and </w:t>
      </w:r>
      <w:r w:rsidR="00090C5D">
        <w:rPr>
          <w:rFonts w:asciiTheme="majorHAnsi" w:eastAsiaTheme="minorEastAsia" w:hAnsiTheme="majorHAnsi" w:cstheme="majorBidi"/>
          <w:b/>
          <w:color w:val="214A35"/>
          <w:sz w:val="48"/>
          <w:szCs w:val="32"/>
        </w:rPr>
        <w:t>l</w:t>
      </w:r>
      <w:r w:rsidRPr="001031CB">
        <w:rPr>
          <w:rFonts w:asciiTheme="majorHAnsi" w:eastAsiaTheme="minorEastAsia" w:hAnsiTheme="majorHAnsi" w:cstheme="majorBidi"/>
          <w:b/>
          <w:color w:val="214A35"/>
          <w:sz w:val="48"/>
          <w:szCs w:val="32"/>
        </w:rPr>
        <w:t xml:space="preserve">ess </w:t>
      </w:r>
      <w:r w:rsidR="004E064D">
        <w:rPr>
          <w:rFonts w:asciiTheme="majorHAnsi" w:eastAsiaTheme="minorEastAsia" w:hAnsiTheme="majorHAnsi" w:cstheme="majorBidi"/>
          <w:b/>
          <w:color w:val="214A35"/>
          <w:sz w:val="48"/>
          <w:szCs w:val="32"/>
        </w:rPr>
        <w:t>c</w:t>
      </w:r>
      <w:r w:rsidRPr="001031CB">
        <w:rPr>
          <w:rFonts w:asciiTheme="majorHAnsi" w:eastAsiaTheme="minorEastAsia" w:hAnsiTheme="majorHAnsi" w:cstheme="majorBidi"/>
          <w:b/>
          <w:color w:val="214A35"/>
          <w:sz w:val="48"/>
          <w:szCs w:val="32"/>
        </w:rPr>
        <w:t xml:space="preserve">ommon </w:t>
      </w:r>
      <w:r w:rsidR="004E064D">
        <w:rPr>
          <w:rFonts w:asciiTheme="majorHAnsi" w:eastAsiaTheme="minorEastAsia" w:hAnsiTheme="majorHAnsi" w:cstheme="majorBidi"/>
          <w:b/>
          <w:color w:val="214A35"/>
          <w:sz w:val="48"/>
          <w:szCs w:val="32"/>
        </w:rPr>
        <w:t>c</w:t>
      </w:r>
      <w:r w:rsidRPr="001031CB">
        <w:rPr>
          <w:rFonts w:asciiTheme="majorHAnsi" w:eastAsiaTheme="minorEastAsia" w:hAnsiTheme="majorHAnsi" w:cstheme="majorBidi"/>
          <w:b/>
          <w:color w:val="214A35"/>
          <w:sz w:val="48"/>
          <w:szCs w:val="32"/>
        </w:rPr>
        <w:t>ases</w:t>
      </w:r>
    </w:p>
    <w:bookmarkEnd w:id="0"/>
    <w:p w14:paraId="15B704A0" w14:textId="77777777" w:rsidR="00A92BBE" w:rsidRDefault="00A92BBE" w:rsidP="00D82D2E">
      <w:pPr>
        <w:pStyle w:val="BodyText"/>
        <w:spacing w:after="1120"/>
      </w:pPr>
    </w:p>
    <w:tbl>
      <w:tblPr>
        <w:tblStyle w:val="TableGrid"/>
        <w:tblpPr w:leftFromText="180" w:rightFromText="180" w:vertAnchor="text" w:horzAnchor="margin" w:tblpY="1266"/>
        <w:tblW w:w="0" w:type="auto"/>
        <w:tblLook w:val="04A0" w:firstRow="1" w:lastRow="0" w:firstColumn="1" w:lastColumn="0" w:noHBand="0" w:noVBand="1"/>
      </w:tblPr>
      <w:tblGrid>
        <w:gridCol w:w="1920"/>
        <w:gridCol w:w="1923"/>
        <w:gridCol w:w="1924"/>
        <w:gridCol w:w="1925"/>
        <w:gridCol w:w="1926"/>
      </w:tblGrid>
      <w:tr w:rsidR="00A92BBE" w14:paraId="5246A4CB" w14:textId="77777777" w:rsidTr="00090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6A84045E" w14:textId="77777777" w:rsidR="00A92BBE" w:rsidRDefault="00A92BBE" w:rsidP="00090C5D">
            <w:pPr>
              <w:pStyle w:val="BodyText"/>
              <w:spacing w:after="0"/>
            </w:pPr>
            <w:r>
              <w:t>Version</w:t>
            </w:r>
          </w:p>
        </w:tc>
        <w:tc>
          <w:tcPr>
            <w:tcW w:w="1923" w:type="dxa"/>
          </w:tcPr>
          <w:p w14:paraId="65A888DA"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4" w:type="dxa"/>
          </w:tcPr>
          <w:p w14:paraId="0D96F2F5"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5" w:type="dxa"/>
          </w:tcPr>
          <w:p w14:paraId="72F359B9"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Pr>
          <w:p w14:paraId="7CC5FB4D"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A92BBE" w14:paraId="448366F1" w14:textId="77777777" w:rsidTr="00090C5D">
        <w:tc>
          <w:tcPr>
            <w:cnfStyle w:val="001000000000" w:firstRow="0" w:lastRow="0" w:firstColumn="1" w:lastColumn="0" w:oddVBand="0" w:evenVBand="0" w:oddHBand="0" w:evenHBand="0" w:firstRowFirstColumn="0" w:firstRowLastColumn="0" w:lastRowFirstColumn="0" w:lastRowLastColumn="0"/>
            <w:tcW w:w="1920" w:type="dxa"/>
          </w:tcPr>
          <w:p w14:paraId="7B2CE845" w14:textId="77777777" w:rsidR="00A92BBE" w:rsidRDefault="00A92BBE" w:rsidP="00090C5D">
            <w:pPr>
              <w:pStyle w:val="BodyText"/>
              <w:spacing w:after="0"/>
            </w:pPr>
            <w:r>
              <w:t>1.0</w:t>
            </w:r>
          </w:p>
        </w:tc>
        <w:tc>
          <w:tcPr>
            <w:tcW w:w="1923" w:type="dxa"/>
            <w:shd w:val="clear" w:color="auto" w:fill="auto"/>
          </w:tcPr>
          <w:p w14:paraId="04D787D2" w14:textId="77777777" w:rsidR="00A92BBE" w:rsidRPr="000A2C27"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03/06/2025</w:t>
            </w:r>
          </w:p>
        </w:tc>
        <w:tc>
          <w:tcPr>
            <w:tcW w:w="1924" w:type="dxa"/>
            <w:shd w:val="clear" w:color="auto" w:fill="auto"/>
          </w:tcPr>
          <w:p w14:paraId="5B82345E" w14:textId="77777777" w:rsidR="00A92BBE" w:rsidRPr="000A2C27"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03/06/2025</w:t>
            </w:r>
          </w:p>
        </w:tc>
        <w:tc>
          <w:tcPr>
            <w:tcW w:w="1925" w:type="dxa"/>
          </w:tcPr>
          <w:p w14:paraId="2D1FD304" w14:textId="2608A81C"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 xml:space="preserve">Contract </w:t>
            </w:r>
            <w:r w:rsidR="00602471">
              <w:t>m</w:t>
            </w:r>
            <w:r>
              <w:t xml:space="preserve">anagement &amp; </w:t>
            </w:r>
            <w:r w:rsidR="00602471">
              <w:t>a</w:t>
            </w:r>
            <w:r>
              <w:t>ssurance (CMA)</w:t>
            </w:r>
          </w:p>
        </w:tc>
        <w:tc>
          <w:tcPr>
            <w:tcW w:w="1926" w:type="dxa"/>
          </w:tcPr>
          <w:p w14:paraId="38EF0444" w14:textId="5628710B"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 xml:space="preserve">Contract </w:t>
            </w:r>
            <w:r w:rsidR="00E2484B">
              <w:t>m</w:t>
            </w:r>
            <w:r>
              <w:t xml:space="preserve">anagement &amp; </w:t>
            </w:r>
            <w:r w:rsidR="00E2484B">
              <w:t>a</w:t>
            </w:r>
            <w:r>
              <w:t xml:space="preserve">ssurance (CMA) </w:t>
            </w:r>
            <w:r w:rsidR="00E2484B">
              <w:t>and</w:t>
            </w:r>
            <w:r>
              <w:t xml:space="preserve"> </w:t>
            </w:r>
            <w:r w:rsidR="009C631A">
              <w:t>S</w:t>
            </w:r>
            <w:r>
              <w:t xml:space="preserve">ervice </w:t>
            </w:r>
            <w:r w:rsidR="00E2484B">
              <w:t>d</w:t>
            </w:r>
            <w:r>
              <w:t>evelopment</w:t>
            </w:r>
          </w:p>
        </w:tc>
      </w:tr>
    </w:tbl>
    <w:p w14:paraId="6080B111" w14:textId="4EDC4D9D" w:rsidR="00C755F2" w:rsidRDefault="00C755F2" w:rsidP="00D82D2E">
      <w:pPr>
        <w:pStyle w:val="BodyText"/>
        <w:spacing w:after="1120"/>
      </w:pPr>
    </w:p>
    <w:p w14:paraId="285040AE" w14:textId="77777777" w:rsidR="00962710" w:rsidRPr="002221B6" w:rsidRDefault="00962710" w:rsidP="00962710">
      <w:pPr>
        <w:pStyle w:val="Heading1"/>
        <w:rPr>
          <w:sz w:val="32"/>
        </w:rPr>
      </w:pPr>
      <w:r w:rsidRPr="002221B6">
        <w:rPr>
          <w:sz w:val="32"/>
        </w:rPr>
        <w:t>Scope and purpose</w:t>
      </w:r>
    </w:p>
    <w:p w14:paraId="5519D9FC" w14:textId="77777777" w:rsidR="001F298A" w:rsidRPr="00721975" w:rsidRDefault="001F298A" w:rsidP="001F298A">
      <w:pPr>
        <w:pStyle w:val="BodyText"/>
      </w:pPr>
      <w:r w:rsidRPr="00721975">
        <w:t xml:space="preserve">This key card brings together important information from existing </w:t>
      </w:r>
      <w:r>
        <w:t>regulations</w:t>
      </w:r>
      <w:r w:rsidRPr="00721975">
        <w:t>, contract</w:t>
      </w:r>
      <w:r>
        <w:t xml:space="preserve"> terms</w:t>
      </w:r>
      <w:r w:rsidRPr="00721975">
        <w:t>, or guidance. It</w:t>
      </w:r>
      <w:r>
        <w:t xml:space="preserve"> i</w:t>
      </w:r>
      <w:r w:rsidRPr="00721975">
        <w:t xml:space="preserve">s </w:t>
      </w:r>
      <w:r>
        <w:t xml:space="preserve">designed </w:t>
      </w:r>
      <w:r w:rsidRPr="00721975">
        <w:t>to help explain and highlight key points.</w:t>
      </w:r>
    </w:p>
    <w:p w14:paraId="5BCC8079" w14:textId="77777777" w:rsidR="001F298A" w:rsidRPr="00721975" w:rsidRDefault="001F298A" w:rsidP="001F298A">
      <w:pPr>
        <w:pStyle w:val="BodyText"/>
      </w:pPr>
      <w:r w:rsidRPr="00721975">
        <w:t>It does</w:t>
      </w:r>
      <w:r>
        <w:t xml:space="preserve"> </w:t>
      </w:r>
      <w:r w:rsidRPr="00721975">
        <w:t>n</w:t>
      </w:r>
      <w:r>
        <w:t>o</w:t>
      </w:r>
      <w:r w:rsidRPr="00721975">
        <w:t xml:space="preserve">t replace the need for providers to know and </w:t>
      </w:r>
      <w:r>
        <w:t>adhere to</w:t>
      </w:r>
      <w:r w:rsidRPr="00721975">
        <w:t xml:space="preserve"> the </w:t>
      </w:r>
      <w:r>
        <w:t>underlying regulations</w:t>
      </w:r>
      <w:r w:rsidRPr="00721975">
        <w:t>, contract</w:t>
      </w:r>
      <w:r>
        <w:t xml:space="preserve"> terms</w:t>
      </w:r>
      <w:r w:rsidRPr="00721975">
        <w:t>, or guidance.</w:t>
      </w:r>
    </w:p>
    <w:p w14:paraId="753B9FE6" w14:textId="77777777" w:rsidR="00962710" w:rsidRPr="002221B6" w:rsidRDefault="00962710" w:rsidP="00962710">
      <w:pPr>
        <w:pStyle w:val="Heading1"/>
        <w:rPr>
          <w:sz w:val="32"/>
        </w:rPr>
      </w:pPr>
      <w:r w:rsidRPr="002221B6">
        <w:rPr>
          <w:sz w:val="32"/>
        </w:rPr>
        <w:t>Background and general principles</w:t>
      </w:r>
    </w:p>
    <w:p w14:paraId="6A83A558" w14:textId="77777777" w:rsidR="001B5055" w:rsidRPr="00F83A07" w:rsidRDefault="001B5055" w:rsidP="00177232">
      <w:pPr>
        <w:rPr>
          <w:rFonts w:ascii="Arial" w:hAnsi="Arial" w:cs="Arial"/>
          <w:szCs w:val="24"/>
        </w:rPr>
      </w:pPr>
      <w:r w:rsidRPr="00F83A07">
        <w:rPr>
          <w:rFonts w:ascii="Arial" w:hAnsi="Arial" w:cs="Arial"/>
          <w:szCs w:val="24"/>
        </w:rPr>
        <w:t xml:space="preserve">After the Legal Aid, Sentencing and Punishment of Offenders Act 2012 (LASPO) came into effect, most immigration cases stopped being covered by </w:t>
      </w:r>
      <w:r>
        <w:rPr>
          <w:rFonts w:ascii="Arial" w:hAnsi="Arial" w:cs="Arial"/>
          <w:szCs w:val="24"/>
        </w:rPr>
        <w:t>l</w:t>
      </w:r>
      <w:r w:rsidRPr="00F83A07">
        <w:rPr>
          <w:rFonts w:ascii="Arial" w:hAnsi="Arial" w:cs="Arial"/>
          <w:szCs w:val="24"/>
        </w:rPr>
        <w:t xml:space="preserve">egal </w:t>
      </w:r>
      <w:r>
        <w:rPr>
          <w:rFonts w:ascii="Arial" w:hAnsi="Arial" w:cs="Arial"/>
          <w:szCs w:val="24"/>
        </w:rPr>
        <w:t>a</w:t>
      </w:r>
      <w:r w:rsidRPr="00F83A07">
        <w:rPr>
          <w:rFonts w:ascii="Arial" w:hAnsi="Arial" w:cs="Arial"/>
          <w:szCs w:val="24"/>
        </w:rPr>
        <w:t>id. The idea was to focus support on people who need it most—mainly those applying for asylum.</w:t>
      </w:r>
    </w:p>
    <w:p w14:paraId="576B0AFE" w14:textId="77777777" w:rsidR="001B5055" w:rsidRPr="00F83A07" w:rsidRDefault="001B5055" w:rsidP="00177232">
      <w:pPr>
        <w:rPr>
          <w:rFonts w:ascii="Arial" w:hAnsi="Arial" w:cs="Arial"/>
          <w:szCs w:val="24"/>
        </w:rPr>
      </w:pPr>
      <w:r w:rsidRPr="00F83A07">
        <w:rPr>
          <w:rFonts w:ascii="Arial" w:hAnsi="Arial" w:cs="Arial"/>
          <w:szCs w:val="24"/>
        </w:rPr>
        <w:t xml:space="preserve">Immigration </w:t>
      </w:r>
      <w:r>
        <w:rPr>
          <w:rFonts w:ascii="Arial" w:hAnsi="Arial" w:cs="Arial"/>
          <w:szCs w:val="24"/>
        </w:rPr>
        <w:t>matters</w:t>
      </w:r>
      <w:r w:rsidRPr="00F83A07">
        <w:rPr>
          <w:rFonts w:ascii="Arial" w:hAnsi="Arial" w:cs="Arial"/>
          <w:szCs w:val="24"/>
        </w:rPr>
        <w:t xml:space="preserve"> were </w:t>
      </w:r>
      <w:r>
        <w:rPr>
          <w:rFonts w:ascii="Arial" w:hAnsi="Arial" w:cs="Arial"/>
          <w:szCs w:val="24"/>
        </w:rPr>
        <w:t>considered</w:t>
      </w:r>
      <w:r w:rsidRPr="00F83A07">
        <w:rPr>
          <w:rFonts w:ascii="Arial" w:hAnsi="Arial" w:cs="Arial"/>
          <w:szCs w:val="24"/>
        </w:rPr>
        <w:t xml:space="preserve"> as a personal choice (like choosing to apply to stay longer in the UK), so they were</w:t>
      </w:r>
      <w:r>
        <w:rPr>
          <w:rFonts w:ascii="Arial" w:hAnsi="Arial" w:cs="Arial"/>
          <w:szCs w:val="24"/>
        </w:rPr>
        <w:t xml:space="preserve"> </w:t>
      </w:r>
      <w:r w:rsidRPr="00F83A07">
        <w:rPr>
          <w:rFonts w:ascii="Arial" w:hAnsi="Arial" w:cs="Arial"/>
          <w:szCs w:val="24"/>
        </w:rPr>
        <w:t>n</w:t>
      </w:r>
      <w:r>
        <w:rPr>
          <w:rFonts w:ascii="Arial" w:hAnsi="Arial" w:cs="Arial"/>
          <w:szCs w:val="24"/>
        </w:rPr>
        <w:t>o</w:t>
      </w:r>
      <w:r w:rsidRPr="00F83A07">
        <w:rPr>
          <w:rFonts w:ascii="Arial" w:hAnsi="Arial" w:cs="Arial"/>
          <w:szCs w:val="24"/>
        </w:rPr>
        <w:t xml:space="preserve">t </w:t>
      </w:r>
      <w:r>
        <w:rPr>
          <w:rFonts w:ascii="Arial" w:hAnsi="Arial" w:cs="Arial"/>
          <w:szCs w:val="24"/>
        </w:rPr>
        <w:t>subject to public funding</w:t>
      </w:r>
      <w:r w:rsidRPr="00F83A07">
        <w:rPr>
          <w:rFonts w:ascii="Arial" w:hAnsi="Arial" w:cs="Arial"/>
          <w:szCs w:val="24"/>
        </w:rPr>
        <w:t>.</w:t>
      </w:r>
    </w:p>
    <w:p w14:paraId="40918CF0" w14:textId="61B09E77" w:rsidR="001B5055" w:rsidRPr="00F83A07" w:rsidRDefault="001B5055" w:rsidP="00177232">
      <w:pPr>
        <w:rPr>
          <w:rFonts w:ascii="Arial" w:hAnsi="Arial" w:cs="Arial"/>
          <w:szCs w:val="24"/>
        </w:rPr>
      </w:pPr>
      <w:r w:rsidRPr="00F83A07">
        <w:rPr>
          <w:rFonts w:ascii="Arial" w:hAnsi="Arial" w:cs="Arial"/>
          <w:szCs w:val="24"/>
        </w:rPr>
        <w:t xml:space="preserve">However, </w:t>
      </w:r>
      <w:r>
        <w:t xml:space="preserve">Schedule 1 of LASPO was amended (Schedule 1 Part 1 paragraph 31A) to assist </w:t>
      </w:r>
      <w:r w:rsidR="00177232">
        <w:t>separated</w:t>
      </w:r>
      <w:r>
        <w:t xml:space="preserve"> children </w:t>
      </w:r>
      <w:r w:rsidRPr="00F83A07">
        <w:rPr>
          <w:rFonts w:ascii="Arial" w:hAnsi="Arial" w:cs="Arial"/>
          <w:szCs w:val="24"/>
        </w:rPr>
        <w:t xml:space="preserve">when applying for citizenship </w:t>
      </w:r>
      <w:r>
        <w:rPr>
          <w:rFonts w:ascii="Arial" w:hAnsi="Arial" w:cs="Arial"/>
          <w:szCs w:val="24"/>
        </w:rPr>
        <w:t>and non-asylum</w:t>
      </w:r>
      <w:r w:rsidRPr="00F83A07">
        <w:rPr>
          <w:rFonts w:ascii="Arial" w:hAnsi="Arial" w:cs="Arial"/>
          <w:szCs w:val="24"/>
        </w:rPr>
        <w:t xml:space="preserve"> immigration </w:t>
      </w:r>
      <w:r>
        <w:rPr>
          <w:rFonts w:ascii="Arial" w:hAnsi="Arial" w:cs="Arial"/>
          <w:szCs w:val="24"/>
        </w:rPr>
        <w:t>applications and appeals</w:t>
      </w:r>
      <w:r w:rsidRPr="00F83A07">
        <w:rPr>
          <w:rFonts w:ascii="Arial" w:hAnsi="Arial" w:cs="Arial"/>
          <w:szCs w:val="24"/>
        </w:rPr>
        <w:t>.</w:t>
      </w:r>
    </w:p>
    <w:p w14:paraId="2AD8A4C9" w14:textId="77777777" w:rsidR="001B5055" w:rsidRPr="00F83A07" w:rsidRDefault="001B5055" w:rsidP="00177232">
      <w:pPr>
        <w:rPr>
          <w:rFonts w:ascii="Arial" w:hAnsi="Arial" w:cs="Arial"/>
          <w:szCs w:val="24"/>
        </w:rPr>
      </w:pPr>
      <w:r w:rsidRPr="00F83A07">
        <w:rPr>
          <w:rFonts w:ascii="Arial" w:hAnsi="Arial" w:cs="Arial"/>
          <w:szCs w:val="24"/>
        </w:rPr>
        <w:t xml:space="preserve">For adults (18 and over) </w:t>
      </w:r>
      <w:r>
        <w:rPr>
          <w:rFonts w:ascii="Arial" w:hAnsi="Arial" w:cs="Arial"/>
          <w:szCs w:val="24"/>
        </w:rPr>
        <w:t>l</w:t>
      </w:r>
      <w:r w:rsidRPr="00F83A07">
        <w:rPr>
          <w:rFonts w:ascii="Arial" w:hAnsi="Arial" w:cs="Arial"/>
          <w:szCs w:val="24"/>
        </w:rPr>
        <w:t xml:space="preserve">egal </w:t>
      </w:r>
      <w:r>
        <w:rPr>
          <w:rFonts w:ascii="Arial" w:hAnsi="Arial" w:cs="Arial"/>
          <w:szCs w:val="24"/>
        </w:rPr>
        <w:t>a</w:t>
      </w:r>
      <w:r w:rsidRPr="00F83A07">
        <w:rPr>
          <w:rFonts w:ascii="Arial" w:hAnsi="Arial" w:cs="Arial"/>
          <w:szCs w:val="24"/>
        </w:rPr>
        <w:t xml:space="preserve">id </w:t>
      </w:r>
      <w:r>
        <w:rPr>
          <w:rFonts w:ascii="Arial" w:hAnsi="Arial" w:cs="Arial"/>
          <w:szCs w:val="24"/>
        </w:rPr>
        <w:t xml:space="preserve">for </w:t>
      </w:r>
      <w:r w:rsidRPr="00F83A07">
        <w:rPr>
          <w:rFonts w:ascii="Arial" w:hAnsi="Arial" w:cs="Arial"/>
          <w:szCs w:val="24"/>
        </w:rPr>
        <w:t>non-asylum immigration cases</w:t>
      </w:r>
      <w:r>
        <w:rPr>
          <w:rFonts w:ascii="Arial" w:hAnsi="Arial" w:cs="Arial"/>
          <w:szCs w:val="24"/>
        </w:rPr>
        <w:t xml:space="preserve"> remains out of scope and will not be funded</w:t>
      </w:r>
      <w:r w:rsidRPr="00F83A07">
        <w:rPr>
          <w:rFonts w:ascii="Arial" w:hAnsi="Arial" w:cs="Arial"/>
          <w:szCs w:val="24"/>
        </w:rPr>
        <w:t xml:space="preserve">. </w:t>
      </w:r>
      <w:r>
        <w:rPr>
          <w:rFonts w:ascii="Arial" w:hAnsi="Arial" w:cs="Arial"/>
          <w:szCs w:val="24"/>
        </w:rPr>
        <w:t>However, clients can receive support if they meet the criteria for</w:t>
      </w:r>
      <w:r w:rsidRPr="00F83A07">
        <w:rPr>
          <w:rFonts w:ascii="Arial" w:hAnsi="Arial" w:cs="Arial"/>
          <w:szCs w:val="24"/>
        </w:rPr>
        <w:t xml:space="preserve"> </w:t>
      </w:r>
      <w:r>
        <w:rPr>
          <w:rFonts w:ascii="Arial" w:hAnsi="Arial" w:cs="Arial"/>
          <w:szCs w:val="24"/>
        </w:rPr>
        <w:t>e</w:t>
      </w:r>
      <w:r w:rsidRPr="00F83A07">
        <w:rPr>
          <w:rFonts w:ascii="Arial" w:hAnsi="Arial" w:cs="Arial"/>
          <w:szCs w:val="24"/>
        </w:rPr>
        <w:t xml:space="preserve">xceptional </w:t>
      </w:r>
      <w:r>
        <w:rPr>
          <w:rFonts w:ascii="Arial" w:hAnsi="Arial" w:cs="Arial"/>
          <w:szCs w:val="24"/>
        </w:rPr>
        <w:t>c</w:t>
      </w:r>
      <w:r w:rsidRPr="00F83A07">
        <w:rPr>
          <w:rFonts w:ascii="Arial" w:hAnsi="Arial" w:cs="Arial"/>
          <w:szCs w:val="24"/>
        </w:rPr>
        <w:t xml:space="preserve">ase </w:t>
      </w:r>
      <w:r>
        <w:rPr>
          <w:rFonts w:ascii="Arial" w:hAnsi="Arial" w:cs="Arial"/>
          <w:szCs w:val="24"/>
        </w:rPr>
        <w:t>f</w:t>
      </w:r>
      <w:r w:rsidRPr="00F83A07">
        <w:rPr>
          <w:rFonts w:ascii="Arial" w:hAnsi="Arial" w:cs="Arial"/>
          <w:szCs w:val="24"/>
        </w:rPr>
        <w:t>unding (ECF</w:t>
      </w:r>
      <w:r>
        <w:rPr>
          <w:rFonts w:ascii="Arial" w:hAnsi="Arial" w:cs="Arial"/>
          <w:szCs w:val="24"/>
        </w:rPr>
        <w:t>)</w:t>
      </w:r>
      <w:r w:rsidRPr="00F83A07">
        <w:rPr>
          <w:rFonts w:ascii="Arial" w:hAnsi="Arial" w:cs="Arial"/>
          <w:szCs w:val="24"/>
        </w:rPr>
        <w:t>.</w:t>
      </w:r>
    </w:p>
    <w:p w14:paraId="54368571" w14:textId="77777777" w:rsidR="001B5055" w:rsidRPr="00F83A07" w:rsidRDefault="001B5055" w:rsidP="00177232">
      <w:pPr>
        <w:rPr>
          <w:rFonts w:ascii="Arial" w:hAnsi="Arial" w:cs="Arial"/>
          <w:szCs w:val="24"/>
        </w:rPr>
      </w:pPr>
      <w:r w:rsidRPr="00F83A07">
        <w:rPr>
          <w:rFonts w:ascii="Arial" w:hAnsi="Arial" w:cs="Arial"/>
          <w:szCs w:val="24"/>
        </w:rPr>
        <w:t>Some rare types of</w:t>
      </w:r>
      <w:r>
        <w:rPr>
          <w:rFonts w:ascii="Arial" w:hAnsi="Arial" w:cs="Arial"/>
          <w:szCs w:val="24"/>
        </w:rPr>
        <w:t xml:space="preserve"> cases, including</w:t>
      </w:r>
      <w:r w:rsidRPr="00F83A07">
        <w:rPr>
          <w:rFonts w:ascii="Arial" w:hAnsi="Arial" w:cs="Arial"/>
          <w:szCs w:val="24"/>
        </w:rPr>
        <w:t xml:space="preserve"> non-asylum cases</w:t>
      </w:r>
      <w:r>
        <w:rPr>
          <w:rFonts w:ascii="Arial" w:hAnsi="Arial" w:cs="Arial"/>
          <w:szCs w:val="24"/>
        </w:rPr>
        <w:t>,</w:t>
      </w:r>
      <w:r w:rsidRPr="00F83A07">
        <w:rPr>
          <w:rFonts w:ascii="Arial" w:hAnsi="Arial" w:cs="Arial"/>
          <w:szCs w:val="24"/>
        </w:rPr>
        <w:t xml:space="preserve"> can also get </w:t>
      </w:r>
      <w:r>
        <w:rPr>
          <w:rFonts w:ascii="Arial" w:hAnsi="Arial" w:cs="Arial"/>
          <w:szCs w:val="24"/>
        </w:rPr>
        <w:t>l</w:t>
      </w:r>
      <w:r w:rsidRPr="00F83A07">
        <w:rPr>
          <w:rFonts w:ascii="Arial" w:hAnsi="Arial" w:cs="Arial"/>
          <w:szCs w:val="24"/>
        </w:rPr>
        <w:t xml:space="preserve">egal </w:t>
      </w:r>
      <w:r>
        <w:rPr>
          <w:rFonts w:ascii="Arial" w:hAnsi="Arial" w:cs="Arial"/>
          <w:szCs w:val="24"/>
        </w:rPr>
        <w:t>a</w:t>
      </w:r>
      <w:r w:rsidRPr="00F83A07">
        <w:rPr>
          <w:rFonts w:ascii="Arial" w:hAnsi="Arial" w:cs="Arial"/>
          <w:szCs w:val="24"/>
        </w:rPr>
        <w:t xml:space="preserve">id, but only if they meet </w:t>
      </w:r>
      <w:r>
        <w:rPr>
          <w:rFonts w:ascii="Arial" w:hAnsi="Arial" w:cs="Arial"/>
          <w:szCs w:val="24"/>
        </w:rPr>
        <w:t>specific criteria to bring them into scope</w:t>
      </w:r>
      <w:r w:rsidRPr="00F83A07">
        <w:rPr>
          <w:rFonts w:ascii="Arial" w:hAnsi="Arial" w:cs="Arial"/>
          <w:szCs w:val="24"/>
        </w:rPr>
        <w:t>.</w:t>
      </w:r>
    </w:p>
    <w:p w14:paraId="3AE4F505" w14:textId="217A80BE" w:rsidR="00962710" w:rsidRPr="00A50D2A" w:rsidRDefault="00962710" w:rsidP="00962710">
      <w:pPr>
        <w:pStyle w:val="Heading1"/>
        <w:rPr>
          <w:sz w:val="36"/>
          <w:szCs w:val="36"/>
        </w:rPr>
      </w:pPr>
      <w:r w:rsidRPr="00A50D2A">
        <w:rPr>
          <w:sz w:val="36"/>
          <w:szCs w:val="36"/>
        </w:rPr>
        <w:t xml:space="preserve">Exceptional </w:t>
      </w:r>
      <w:r w:rsidR="002B7CEC">
        <w:rPr>
          <w:sz w:val="36"/>
          <w:szCs w:val="36"/>
        </w:rPr>
        <w:t>c</w:t>
      </w:r>
      <w:r w:rsidRPr="00A50D2A">
        <w:rPr>
          <w:sz w:val="36"/>
          <w:szCs w:val="36"/>
        </w:rPr>
        <w:t xml:space="preserve">ase </w:t>
      </w:r>
      <w:r w:rsidR="002B7CEC">
        <w:rPr>
          <w:sz w:val="36"/>
          <w:szCs w:val="36"/>
        </w:rPr>
        <w:t>f</w:t>
      </w:r>
      <w:r w:rsidRPr="00A50D2A">
        <w:rPr>
          <w:sz w:val="36"/>
          <w:szCs w:val="36"/>
        </w:rPr>
        <w:t>unding</w:t>
      </w:r>
    </w:p>
    <w:p w14:paraId="53023895" w14:textId="256C383C" w:rsidR="00CB4AE7" w:rsidRPr="004A5E7A" w:rsidRDefault="00CB4AE7" w:rsidP="00CB4AE7">
      <w:pPr>
        <w:spacing w:after="0" w:line="240" w:lineRule="auto"/>
        <w:rPr>
          <w:rFonts w:cstheme="minorHAnsi"/>
          <w:szCs w:val="24"/>
        </w:rPr>
      </w:pPr>
      <w:r>
        <w:rPr>
          <w:rFonts w:cstheme="minorHAnsi"/>
          <w:szCs w:val="24"/>
        </w:rPr>
        <w:t xml:space="preserve">ECF for </w:t>
      </w:r>
      <w:r w:rsidRPr="5E4412CB">
        <w:t xml:space="preserve">work </w:t>
      </w:r>
      <w:r>
        <w:t>which</w:t>
      </w:r>
      <w:r w:rsidRPr="5E4412CB">
        <w:t xml:space="preserve"> is out of scope may be available</w:t>
      </w:r>
      <w:r>
        <w:t>.</w:t>
      </w:r>
      <w:r w:rsidRPr="004A5E7A">
        <w:rPr>
          <w:rFonts w:cstheme="minorHAnsi"/>
          <w:szCs w:val="24"/>
        </w:rPr>
        <w:t xml:space="preserve"> To qualify, the case must meet ECF </w:t>
      </w:r>
      <w:r>
        <w:rPr>
          <w:rFonts w:cstheme="minorHAnsi"/>
          <w:szCs w:val="24"/>
        </w:rPr>
        <w:t>criteria</w:t>
      </w:r>
      <w:r w:rsidR="00825BD2">
        <w:rPr>
          <w:rFonts w:cstheme="minorHAnsi"/>
          <w:szCs w:val="24"/>
        </w:rPr>
        <w:t xml:space="preserve">, </w:t>
      </w:r>
      <w:r w:rsidRPr="004A5E7A">
        <w:rPr>
          <w:rFonts w:cstheme="minorHAnsi"/>
          <w:szCs w:val="24"/>
        </w:rPr>
        <w:t>the means test</w:t>
      </w:r>
      <w:r>
        <w:rPr>
          <w:rFonts w:cstheme="minorHAnsi"/>
          <w:szCs w:val="24"/>
        </w:rPr>
        <w:t xml:space="preserve"> </w:t>
      </w:r>
      <w:r w:rsidRPr="004A5E7A">
        <w:rPr>
          <w:rFonts w:cstheme="minorHAnsi"/>
          <w:szCs w:val="24"/>
        </w:rPr>
        <w:t xml:space="preserve">and </w:t>
      </w:r>
      <w:r>
        <w:rPr>
          <w:rFonts w:cstheme="minorHAnsi"/>
          <w:szCs w:val="24"/>
        </w:rPr>
        <w:t>m</w:t>
      </w:r>
      <w:r w:rsidRPr="004A5E7A">
        <w:rPr>
          <w:rFonts w:cstheme="minorHAnsi"/>
          <w:szCs w:val="24"/>
        </w:rPr>
        <w:t xml:space="preserve">erits </w:t>
      </w:r>
      <w:r>
        <w:rPr>
          <w:rFonts w:cstheme="minorHAnsi"/>
          <w:szCs w:val="24"/>
        </w:rPr>
        <w:t>r</w:t>
      </w:r>
      <w:r w:rsidRPr="004A5E7A">
        <w:rPr>
          <w:rFonts w:cstheme="minorHAnsi"/>
          <w:szCs w:val="24"/>
        </w:rPr>
        <w:t>egulations.</w:t>
      </w:r>
      <w:r>
        <w:rPr>
          <w:rFonts w:cstheme="minorHAnsi"/>
          <w:szCs w:val="24"/>
        </w:rPr>
        <w:t xml:space="preserve"> </w:t>
      </w:r>
      <w:r w:rsidRPr="004A5E7A">
        <w:rPr>
          <w:rFonts w:cstheme="minorHAnsi"/>
          <w:szCs w:val="24"/>
        </w:rPr>
        <w:t xml:space="preserve">ECF acts as a safety net to </w:t>
      </w:r>
      <w:r>
        <w:rPr>
          <w:rFonts w:cstheme="minorHAnsi"/>
          <w:szCs w:val="24"/>
        </w:rPr>
        <w:t>protect</w:t>
      </w:r>
      <w:r w:rsidRPr="004A5E7A">
        <w:rPr>
          <w:rFonts w:cstheme="minorHAnsi"/>
          <w:szCs w:val="24"/>
        </w:rPr>
        <w:t xml:space="preserve"> people who</w:t>
      </w:r>
      <w:r>
        <w:rPr>
          <w:rFonts w:cstheme="minorHAnsi"/>
          <w:szCs w:val="24"/>
        </w:rPr>
        <w:t xml:space="preserve">se case would otherwise be out of scope of legal aid from being left without redress for] potential, or actual, human rights breaches. </w:t>
      </w:r>
      <w:r w:rsidRPr="004A5E7A">
        <w:rPr>
          <w:rFonts w:cstheme="minorHAnsi"/>
          <w:szCs w:val="24"/>
        </w:rPr>
        <w:t xml:space="preserve"> </w:t>
      </w:r>
    </w:p>
    <w:p w14:paraId="04389ECE" w14:textId="77777777" w:rsidR="00962710" w:rsidRDefault="00962710" w:rsidP="00962710">
      <w:pPr>
        <w:contextualSpacing/>
        <w:rPr>
          <w:rFonts w:cstheme="minorHAnsi"/>
          <w:szCs w:val="24"/>
        </w:rPr>
      </w:pPr>
    </w:p>
    <w:p w14:paraId="2817605C" w14:textId="77777777" w:rsidR="00D8358E" w:rsidRPr="004A5E7A" w:rsidRDefault="00D8358E" w:rsidP="00D8358E">
      <w:pPr>
        <w:spacing w:after="0" w:line="240" w:lineRule="auto"/>
        <w:rPr>
          <w:rFonts w:cstheme="minorHAnsi"/>
          <w:szCs w:val="24"/>
        </w:rPr>
      </w:pPr>
      <w:r w:rsidRPr="004A5E7A">
        <w:rPr>
          <w:rFonts w:cstheme="minorHAnsi"/>
          <w:szCs w:val="24"/>
        </w:rPr>
        <w:t>Most ECF applications are for immigration cases based on human rights</w:t>
      </w:r>
      <w:r>
        <w:rPr>
          <w:rFonts w:cstheme="minorHAnsi"/>
          <w:szCs w:val="24"/>
        </w:rPr>
        <w:t xml:space="preserve">, such as </w:t>
      </w:r>
      <w:r w:rsidRPr="004A5E7A">
        <w:rPr>
          <w:rFonts w:cstheme="minorHAnsi"/>
          <w:szCs w:val="24"/>
        </w:rPr>
        <w:t>people applying to stay in the UK to be with family (Article 8), family reunion cases, or people facing deportation after a criminal conviction.</w:t>
      </w:r>
    </w:p>
    <w:p w14:paraId="6EF83AA6" w14:textId="77777777" w:rsidR="00962710" w:rsidRPr="003B546B" w:rsidRDefault="00962710" w:rsidP="00962710">
      <w:pPr>
        <w:contextualSpacing/>
        <w:rPr>
          <w:rFonts w:cstheme="minorHAnsi"/>
          <w:bCs/>
          <w:szCs w:val="24"/>
        </w:rPr>
      </w:pPr>
    </w:p>
    <w:p w14:paraId="49B4BEB5" w14:textId="77777777" w:rsidR="00AE6834" w:rsidRPr="004A5E7A" w:rsidRDefault="00AE6834" w:rsidP="00AE6834">
      <w:pPr>
        <w:spacing w:after="0" w:line="240" w:lineRule="auto"/>
        <w:rPr>
          <w:rFonts w:cstheme="minorHAnsi"/>
          <w:szCs w:val="24"/>
        </w:rPr>
      </w:pPr>
      <w:r w:rsidRPr="004A5E7A">
        <w:rPr>
          <w:rFonts w:cstheme="minorHAnsi"/>
          <w:szCs w:val="24"/>
        </w:rPr>
        <w:t>Applications</w:t>
      </w:r>
      <w:r>
        <w:rPr>
          <w:rFonts w:cstheme="minorHAnsi"/>
          <w:szCs w:val="24"/>
        </w:rPr>
        <w:t xml:space="preserve"> for ECF </w:t>
      </w:r>
      <w:r w:rsidRPr="004A5E7A">
        <w:rPr>
          <w:rFonts w:cstheme="minorHAnsi"/>
          <w:szCs w:val="24"/>
        </w:rPr>
        <w:t xml:space="preserve">are </w:t>
      </w:r>
      <w:r>
        <w:rPr>
          <w:rFonts w:cstheme="minorHAnsi"/>
          <w:szCs w:val="24"/>
        </w:rPr>
        <w:t xml:space="preserve">usually submitted by providers </w:t>
      </w:r>
      <w:r>
        <w:t>under section 10 LASPO</w:t>
      </w:r>
      <w:r w:rsidRPr="004A5E7A">
        <w:rPr>
          <w:rFonts w:cstheme="minorHAnsi"/>
          <w:szCs w:val="24"/>
        </w:rPr>
        <w:t>, but clients can also apply themselves, often with help from charities. Around 80% of applications are approved (</w:t>
      </w:r>
      <w:hyperlink r:id="rId9">
        <w:r w:rsidRPr="5E4412CB">
          <w:rPr>
            <w:rStyle w:val="Hyperlink"/>
          </w:rPr>
          <w:t>Legal aid statistics England and Wales bulletin Apr to Jun 2024 - GOV.UK</w:t>
        </w:r>
      </w:hyperlink>
      <w:r w:rsidRPr="004A5E7A">
        <w:rPr>
          <w:rFonts w:cstheme="minorHAnsi"/>
          <w:szCs w:val="24"/>
        </w:rPr>
        <w:t>).</w:t>
      </w:r>
    </w:p>
    <w:p w14:paraId="3E285603" w14:textId="77777777" w:rsidR="00962710" w:rsidRDefault="00962710" w:rsidP="00962710">
      <w:pPr>
        <w:contextualSpacing/>
      </w:pPr>
    </w:p>
    <w:p w14:paraId="592A3EF9" w14:textId="77777777" w:rsidR="002E1245" w:rsidRDefault="002E1245" w:rsidP="002E1245">
      <w:pPr>
        <w:contextualSpacing/>
        <w:rPr>
          <w:rFonts w:ascii="Arial" w:eastAsiaTheme="minorEastAsia" w:hAnsi="Arial" w:cs="Arial"/>
          <w:szCs w:val="24"/>
        </w:rPr>
      </w:pPr>
      <w:r w:rsidRPr="004A5E7A">
        <w:rPr>
          <w:rFonts w:cstheme="minorHAnsi"/>
          <w:szCs w:val="24"/>
        </w:rPr>
        <w:t xml:space="preserve">ECF has its own rule for backdating funding (Regulation 68 of the 2012 CLA Procedure Regulations). More details </w:t>
      </w:r>
      <w:r>
        <w:rPr>
          <w:rFonts w:cstheme="minorHAnsi"/>
          <w:szCs w:val="24"/>
        </w:rPr>
        <w:t xml:space="preserve">on backdating </w:t>
      </w:r>
      <w:r w:rsidRPr="004A5E7A">
        <w:rPr>
          <w:rFonts w:cstheme="minorHAnsi"/>
          <w:szCs w:val="24"/>
        </w:rPr>
        <w:t>are in section 7 of the Provider Pack</w:t>
      </w:r>
      <w:r>
        <w:rPr>
          <w:rFonts w:cstheme="minorHAnsi"/>
          <w:szCs w:val="24"/>
        </w:rPr>
        <w:t xml:space="preserve">: </w:t>
      </w:r>
      <w:hyperlink r:id="rId10" w:history="1">
        <w:r w:rsidRPr="00177AAC">
          <w:rPr>
            <w:rStyle w:val="Hyperlink"/>
            <w:rFonts w:ascii="Arial" w:eastAsia="Segoe UI" w:hAnsi="Arial" w:cs="Arial"/>
            <w:color w:val="0000EE"/>
            <w:szCs w:val="24"/>
          </w:rPr>
          <w:t>ECF_Provider_Pack_September_2022_Amendments.pdf</w:t>
        </w:r>
      </w:hyperlink>
      <w:r w:rsidRPr="00177AAC">
        <w:rPr>
          <w:rFonts w:ascii="Arial" w:eastAsiaTheme="minorEastAsia" w:hAnsi="Arial" w:cs="Arial"/>
          <w:szCs w:val="24"/>
        </w:rPr>
        <w:t xml:space="preserve"> </w:t>
      </w:r>
    </w:p>
    <w:p w14:paraId="47BD0079" w14:textId="4D096DD9" w:rsidR="00962710" w:rsidRPr="00177AAC" w:rsidRDefault="00962710" w:rsidP="00962710">
      <w:pPr>
        <w:contextualSpacing/>
        <w:rPr>
          <w:rFonts w:ascii="Arial" w:eastAsiaTheme="minorEastAsia" w:hAnsi="Arial" w:cs="Arial"/>
          <w:szCs w:val="24"/>
        </w:rPr>
      </w:pPr>
      <w:r w:rsidRPr="00177AAC">
        <w:rPr>
          <w:rFonts w:ascii="Arial" w:eastAsiaTheme="minorEastAsia" w:hAnsi="Arial" w:cs="Arial"/>
          <w:szCs w:val="24"/>
        </w:rPr>
        <w:t xml:space="preserve"> </w:t>
      </w:r>
    </w:p>
    <w:p w14:paraId="2A57EC50" w14:textId="77777777" w:rsidR="00CE5CDB" w:rsidRDefault="00CE5CDB" w:rsidP="00CE5CDB">
      <w:pPr>
        <w:contextualSpacing/>
        <w:rPr>
          <w:rFonts w:cstheme="minorHAnsi"/>
          <w:bCs/>
          <w:szCs w:val="24"/>
        </w:rPr>
      </w:pPr>
      <w:r w:rsidRPr="003B546B">
        <w:rPr>
          <w:rFonts w:cstheme="minorHAnsi"/>
          <w:bCs/>
          <w:szCs w:val="24"/>
        </w:rPr>
        <w:t xml:space="preserve">All forms of service from </w:t>
      </w:r>
      <w:r>
        <w:rPr>
          <w:rFonts w:cstheme="minorHAnsi"/>
          <w:bCs/>
          <w:szCs w:val="24"/>
        </w:rPr>
        <w:t>l</w:t>
      </w:r>
      <w:r w:rsidRPr="003B546B">
        <w:rPr>
          <w:rFonts w:cstheme="minorHAnsi"/>
          <w:bCs/>
          <w:szCs w:val="24"/>
        </w:rPr>
        <w:t xml:space="preserve">egal </w:t>
      </w:r>
      <w:r>
        <w:rPr>
          <w:rFonts w:cstheme="minorHAnsi"/>
          <w:bCs/>
          <w:szCs w:val="24"/>
        </w:rPr>
        <w:t>h</w:t>
      </w:r>
      <w:r w:rsidRPr="003B546B">
        <w:rPr>
          <w:rFonts w:cstheme="minorHAnsi"/>
          <w:bCs/>
          <w:szCs w:val="24"/>
        </w:rPr>
        <w:t xml:space="preserve">elp to </w:t>
      </w:r>
      <w:r>
        <w:rPr>
          <w:rFonts w:cstheme="minorHAnsi"/>
          <w:bCs/>
          <w:szCs w:val="24"/>
        </w:rPr>
        <w:t>l</w:t>
      </w:r>
      <w:r w:rsidRPr="003B546B">
        <w:rPr>
          <w:rFonts w:cstheme="minorHAnsi"/>
          <w:bCs/>
          <w:szCs w:val="24"/>
        </w:rPr>
        <w:t xml:space="preserve">icensed </w:t>
      </w:r>
      <w:r>
        <w:rPr>
          <w:rFonts w:cstheme="minorHAnsi"/>
          <w:bCs/>
          <w:szCs w:val="24"/>
        </w:rPr>
        <w:t>w</w:t>
      </w:r>
      <w:r w:rsidRPr="003B546B">
        <w:rPr>
          <w:rFonts w:cstheme="minorHAnsi"/>
          <w:bCs/>
          <w:szCs w:val="24"/>
        </w:rPr>
        <w:t>ork are available under EC</w:t>
      </w:r>
      <w:r>
        <w:rPr>
          <w:rFonts w:cstheme="minorHAnsi"/>
          <w:bCs/>
          <w:szCs w:val="24"/>
        </w:rPr>
        <w:t>F. These</w:t>
      </w:r>
      <w:r w:rsidRPr="003B546B">
        <w:rPr>
          <w:rFonts w:cstheme="minorHAnsi"/>
          <w:bCs/>
          <w:szCs w:val="24"/>
        </w:rPr>
        <w:t xml:space="preserve"> applications </w:t>
      </w:r>
      <w:r>
        <w:rPr>
          <w:rFonts w:cstheme="minorHAnsi"/>
          <w:bCs/>
          <w:szCs w:val="24"/>
        </w:rPr>
        <w:t xml:space="preserve">are handled </w:t>
      </w:r>
      <w:r w:rsidRPr="003B546B">
        <w:rPr>
          <w:rFonts w:cstheme="minorHAnsi"/>
          <w:bCs/>
          <w:szCs w:val="24"/>
        </w:rPr>
        <w:t xml:space="preserve">by the </w:t>
      </w:r>
      <w:r>
        <w:rPr>
          <w:rFonts w:cstheme="minorHAnsi"/>
          <w:bCs/>
          <w:szCs w:val="24"/>
        </w:rPr>
        <w:t>e</w:t>
      </w:r>
      <w:r w:rsidRPr="003B546B">
        <w:rPr>
          <w:rFonts w:cstheme="minorHAnsi"/>
          <w:bCs/>
          <w:szCs w:val="24"/>
        </w:rPr>
        <w:t xml:space="preserve">xceptional and </w:t>
      </w:r>
      <w:r>
        <w:rPr>
          <w:rFonts w:cstheme="minorHAnsi"/>
          <w:bCs/>
          <w:szCs w:val="24"/>
        </w:rPr>
        <w:t>c</w:t>
      </w:r>
      <w:r w:rsidRPr="003B546B">
        <w:rPr>
          <w:rFonts w:cstheme="minorHAnsi"/>
          <w:bCs/>
          <w:szCs w:val="24"/>
        </w:rPr>
        <w:t xml:space="preserve">omplex </w:t>
      </w:r>
      <w:r>
        <w:rPr>
          <w:rFonts w:cstheme="minorHAnsi"/>
          <w:bCs/>
          <w:szCs w:val="24"/>
        </w:rPr>
        <w:t>c</w:t>
      </w:r>
      <w:r w:rsidRPr="003B546B">
        <w:rPr>
          <w:rFonts w:cstheme="minorHAnsi"/>
          <w:bCs/>
          <w:szCs w:val="24"/>
        </w:rPr>
        <w:t xml:space="preserve">ase </w:t>
      </w:r>
      <w:r>
        <w:rPr>
          <w:rFonts w:cstheme="minorHAnsi"/>
          <w:bCs/>
          <w:szCs w:val="24"/>
        </w:rPr>
        <w:t>t</w:t>
      </w:r>
      <w:r w:rsidRPr="003B546B">
        <w:rPr>
          <w:rFonts w:cstheme="minorHAnsi"/>
          <w:bCs/>
          <w:szCs w:val="24"/>
        </w:rPr>
        <w:t>eam</w:t>
      </w:r>
      <w:r>
        <w:rPr>
          <w:rFonts w:cstheme="minorHAnsi"/>
          <w:bCs/>
          <w:szCs w:val="24"/>
        </w:rPr>
        <w:t xml:space="preserve"> (ECCT)</w:t>
      </w:r>
      <w:r w:rsidRPr="003B546B">
        <w:rPr>
          <w:rFonts w:cstheme="minorHAnsi"/>
          <w:bCs/>
          <w:szCs w:val="24"/>
        </w:rPr>
        <w:t xml:space="preserve">. </w:t>
      </w:r>
    </w:p>
    <w:p w14:paraId="6DAE74C6" w14:textId="77777777" w:rsidR="00962710" w:rsidRDefault="00962710" w:rsidP="00962710">
      <w:pPr>
        <w:contextualSpacing/>
        <w:rPr>
          <w:rFonts w:cstheme="minorHAnsi"/>
          <w:bCs/>
          <w:szCs w:val="24"/>
        </w:rPr>
      </w:pPr>
    </w:p>
    <w:p w14:paraId="6569DD7F" w14:textId="77777777" w:rsidR="00A35AD8" w:rsidRDefault="00A35AD8" w:rsidP="00A35AD8">
      <w:pPr>
        <w:contextualSpacing/>
        <w:rPr>
          <w:b/>
          <w:bCs/>
        </w:rPr>
      </w:pPr>
      <w:r>
        <w:rPr>
          <w:rFonts w:cstheme="minorHAnsi"/>
          <w:bCs/>
          <w:szCs w:val="24"/>
        </w:rPr>
        <w:t>There</w:t>
      </w:r>
      <w:r w:rsidRPr="003B546B">
        <w:rPr>
          <w:rFonts w:cstheme="minorHAnsi"/>
          <w:bCs/>
          <w:szCs w:val="24"/>
        </w:rPr>
        <w:t xml:space="preserve"> are no delegated functions available</w:t>
      </w:r>
      <w:r>
        <w:rPr>
          <w:rFonts w:cstheme="minorHAnsi"/>
          <w:bCs/>
          <w:szCs w:val="24"/>
        </w:rPr>
        <w:t xml:space="preserve">. All applications </w:t>
      </w:r>
      <w:r w:rsidRPr="003B546B">
        <w:rPr>
          <w:rFonts w:cstheme="minorHAnsi"/>
          <w:bCs/>
          <w:szCs w:val="24"/>
        </w:rPr>
        <w:t xml:space="preserve">must </w:t>
      </w:r>
      <w:r>
        <w:rPr>
          <w:rFonts w:cstheme="minorHAnsi"/>
          <w:bCs/>
          <w:szCs w:val="24"/>
        </w:rPr>
        <w:t xml:space="preserve">be made </w:t>
      </w:r>
      <w:r w:rsidRPr="003B546B">
        <w:rPr>
          <w:rFonts w:cstheme="minorHAnsi"/>
          <w:bCs/>
          <w:szCs w:val="24"/>
        </w:rPr>
        <w:t xml:space="preserve">to the </w:t>
      </w:r>
      <w:r>
        <w:rPr>
          <w:rFonts w:cstheme="minorHAnsi"/>
          <w:bCs/>
          <w:szCs w:val="24"/>
        </w:rPr>
        <w:t xml:space="preserve">ECCT </w:t>
      </w:r>
      <w:r w:rsidRPr="003B546B">
        <w:rPr>
          <w:rFonts w:cstheme="minorHAnsi"/>
          <w:bCs/>
          <w:szCs w:val="24"/>
        </w:rPr>
        <w:t>at each stage of a case</w:t>
      </w:r>
      <w:r>
        <w:rPr>
          <w:rFonts w:cstheme="minorHAnsi"/>
          <w:bCs/>
          <w:szCs w:val="24"/>
        </w:rPr>
        <w:t xml:space="preserve"> (</w:t>
      </w:r>
      <w:r w:rsidRPr="5E4412CB">
        <w:rPr>
          <w:b/>
          <w:bCs/>
        </w:rPr>
        <w:t>Para 8.12 2024 SCC</w:t>
      </w:r>
      <w:r>
        <w:rPr>
          <w:b/>
          <w:bCs/>
        </w:rPr>
        <w:t>).</w:t>
      </w:r>
    </w:p>
    <w:p w14:paraId="451935B4" w14:textId="77777777" w:rsidR="00962710" w:rsidRPr="003B546B" w:rsidRDefault="00962710" w:rsidP="00962710">
      <w:pPr>
        <w:contextualSpacing/>
        <w:rPr>
          <w:b/>
          <w:bCs/>
        </w:rPr>
      </w:pPr>
    </w:p>
    <w:p w14:paraId="5090D66A" w14:textId="77777777" w:rsidR="00751E5F" w:rsidRDefault="00751E5F" w:rsidP="00751E5F">
      <w:pPr>
        <w:spacing w:after="0" w:line="240" w:lineRule="auto"/>
        <w:rPr>
          <w:rFonts w:cstheme="minorHAnsi"/>
          <w:b/>
          <w:bCs/>
          <w:szCs w:val="24"/>
        </w:rPr>
      </w:pPr>
      <w:r w:rsidRPr="5E4412CB">
        <w:t xml:space="preserve">The </w:t>
      </w:r>
      <w:r>
        <w:t>s</w:t>
      </w:r>
      <w:r w:rsidRPr="5E4412CB">
        <w:t>elf-</w:t>
      </w:r>
      <w:r>
        <w:t>g</w:t>
      </w:r>
      <w:r w:rsidRPr="5E4412CB">
        <w:t xml:space="preserve">rant </w:t>
      </w:r>
      <w:r>
        <w:t>p</w:t>
      </w:r>
      <w:r w:rsidRPr="5E4412CB">
        <w:t xml:space="preserve">rovisions do not apply to </w:t>
      </w:r>
      <w:r>
        <w:t>e</w:t>
      </w:r>
      <w:r w:rsidRPr="5E4412CB">
        <w:t xml:space="preserve">xceptional </w:t>
      </w:r>
      <w:r>
        <w:t>c</w:t>
      </w:r>
      <w:r w:rsidRPr="5E4412CB">
        <w:t>ases</w:t>
      </w:r>
      <w:r>
        <w:t xml:space="preserve"> </w:t>
      </w:r>
      <w:r w:rsidRPr="004A5E7A">
        <w:rPr>
          <w:rFonts w:cstheme="minorHAnsi"/>
          <w:szCs w:val="24"/>
        </w:rPr>
        <w:t>(see paragraph 8.121(c) of the 2024 SCC)</w:t>
      </w:r>
      <w:r>
        <w:rPr>
          <w:rFonts w:cstheme="minorHAnsi"/>
          <w:b/>
          <w:bCs/>
          <w:szCs w:val="24"/>
        </w:rPr>
        <w:t>.</w:t>
      </w:r>
    </w:p>
    <w:p w14:paraId="4704ED0C" w14:textId="77777777" w:rsidR="00962710" w:rsidRDefault="00962710" w:rsidP="00962710">
      <w:pPr>
        <w:spacing w:after="0" w:line="240" w:lineRule="auto"/>
        <w:rPr>
          <w:rFonts w:cstheme="minorHAnsi"/>
          <w:b/>
          <w:bCs/>
          <w:szCs w:val="24"/>
        </w:rPr>
      </w:pPr>
    </w:p>
    <w:p w14:paraId="2306D348" w14:textId="3A361AD4" w:rsidR="00962710" w:rsidRPr="00A50D2A" w:rsidRDefault="00962710" w:rsidP="00962710">
      <w:pPr>
        <w:spacing w:after="0" w:line="240" w:lineRule="auto"/>
      </w:pPr>
      <w:r w:rsidRPr="5E4412CB">
        <w:t xml:space="preserve">ECF Matters do not form part of a </w:t>
      </w:r>
      <w:r w:rsidR="00751E5F">
        <w:t>p</w:t>
      </w:r>
      <w:r w:rsidRPr="5E4412CB">
        <w:t xml:space="preserve">rovider’s </w:t>
      </w:r>
      <w:r w:rsidR="00751E5F">
        <w:t>m</w:t>
      </w:r>
      <w:r w:rsidRPr="5E4412CB">
        <w:t xml:space="preserve">atter </w:t>
      </w:r>
      <w:r w:rsidR="00751E5F">
        <w:t>s</w:t>
      </w:r>
      <w:r w:rsidRPr="5E4412CB">
        <w:t xml:space="preserve">tart allocation. </w:t>
      </w:r>
    </w:p>
    <w:p w14:paraId="57E4368A" w14:textId="77777777" w:rsidR="00962710" w:rsidRDefault="00962710" w:rsidP="00962710">
      <w:pPr>
        <w:spacing w:after="0" w:line="240" w:lineRule="auto"/>
        <w:rPr>
          <w:rFonts w:cstheme="minorHAnsi"/>
          <w:b/>
          <w:bCs/>
          <w:szCs w:val="24"/>
        </w:rPr>
      </w:pPr>
    </w:p>
    <w:p w14:paraId="60755288" w14:textId="77777777" w:rsidR="00E34802" w:rsidRDefault="00E34802" w:rsidP="00E34802">
      <w:pPr>
        <w:spacing w:after="0" w:line="240" w:lineRule="auto"/>
        <w:rPr>
          <w:rFonts w:cstheme="minorHAnsi"/>
          <w:szCs w:val="24"/>
        </w:rPr>
      </w:pPr>
      <w:r w:rsidRPr="004A5E7A">
        <w:rPr>
          <w:rFonts w:cstheme="minorHAnsi"/>
          <w:szCs w:val="24"/>
        </w:rPr>
        <w:t xml:space="preserve">When reporting a Legal Help or </w:t>
      </w:r>
      <w:r>
        <w:rPr>
          <w:rFonts w:cstheme="minorHAnsi"/>
          <w:szCs w:val="24"/>
        </w:rPr>
        <w:t>c</w:t>
      </w:r>
      <w:r w:rsidRPr="004A5E7A">
        <w:rPr>
          <w:rFonts w:cstheme="minorHAnsi"/>
          <w:szCs w:val="24"/>
        </w:rPr>
        <w:t xml:space="preserve">ontrolled </w:t>
      </w:r>
      <w:r>
        <w:rPr>
          <w:rFonts w:cstheme="minorHAnsi"/>
          <w:szCs w:val="24"/>
        </w:rPr>
        <w:t>l</w:t>
      </w:r>
      <w:r w:rsidRPr="004A5E7A">
        <w:rPr>
          <w:rFonts w:cstheme="minorHAnsi"/>
          <w:szCs w:val="24"/>
        </w:rPr>
        <w:t xml:space="preserve">egal </w:t>
      </w:r>
      <w:r>
        <w:rPr>
          <w:rFonts w:cstheme="minorHAnsi"/>
          <w:szCs w:val="24"/>
        </w:rPr>
        <w:t>r</w:t>
      </w:r>
      <w:r w:rsidRPr="004A5E7A">
        <w:rPr>
          <w:rFonts w:cstheme="minorHAnsi"/>
          <w:szCs w:val="24"/>
        </w:rPr>
        <w:t>epresentation (CLR) claim under ECF, you must include the ECF payment reference in the “ECF Reference” field in CWA.</w:t>
      </w:r>
    </w:p>
    <w:p w14:paraId="2719E390" w14:textId="77777777" w:rsidR="00B46F2B" w:rsidRDefault="00B46F2B" w:rsidP="00E34802">
      <w:pPr>
        <w:spacing w:after="0" w:line="240" w:lineRule="auto"/>
        <w:rPr>
          <w:rFonts w:cstheme="minorHAnsi"/>
          <w:szCs w:val="24"/>
        </w:rPr>
      </w:pPr>
    </w:p>
    <w:p w14:paraId="20722994" w14:textId="77777777" w:rsidR="00B46F2B" w:rsidRPr="004A5E7A" w:rsidRDefault="00B46F2B" w:rsidP="00E34802">
      <w:pPr>
        <w:spacing w:after="0" w:line="240" w:lineRule="auto"/>
        <w:rPr>
          <w:rFonts w:cstheme="minorHAnsi"/>
          <w:szCs w:val="24"/>
        </w:rPr>
      </w:pPr>
    </w:p>
    <w:p w14:paraId="3E134B79" w14:textId="77777777" w:rsidR="00B46F2B" w:rsidRDefault="00962710" w:rsidP="00962710">
      <w:pPr>
        <w:pStyle w:val="Heading1"/>
        <w:spacing w:before="0" w:after="0"/>
        <w:rPr>
          <w:sz w:val="36"/>
          <w:szCs w:val="36"/>
        </w:rPr>
      </w:pPr>
      <w:r w:rsidRPr="00A50D2A">
        <w:rPr>
          <w:sz w:val="36"/>
          <w:szCs w:val="36"/>
        </w:rPr>
        <w:t>Exemptions</w:t>
      </w:r>
    </w:p>
    <w:p w14:paraId="07BBFA7E" w14:textId="77777777" w:rsidR="00B46F2B" w:rsidRDefault="00B46F2B" w:rsidP="00962710">
      <w:pPr>
        <w:pStyle w:val="Heading1"/>
        <w:spacing w:before="0" w:after="0"/>
        <w:rPr>
          <w:sz w:val="36"/>
          <w:szCs w:val="36"/>
        </w:rPr>
      </w:pPr>
    </w:p>
    <w:p w14:paraId="71BC7625" w14:textId="55B123EC" w:rsidR="00962710" w:rsidRDefault="00962710" w:rsidP="00962710">
      <w:pPr>
        <w:pStyle w:val="Heading1"/>
        <w:spacing w:before="0" w:after="0"/>
        <w:rPr>
          <w:sz w:val="32"/>
        </w:rPr>
      </w:pPr>
      <w:r>
        <w:rPr>
          <w:sz w:val="32"/>
        </w:rPr>
        <w:t xml:space="preserve">Separated </w:t>
      </w:r>
      <w:r w:rsidR="002E7CCA">
        <w:rPr>
          <w:sz w:val="32"/>
        </w:rPr>
        <w:t>c</w:t>
      </w:r>
      <w:r>
        <w:rPr>
          <w:sz w:val="32"/>
        </w:rPr>
        <w:t>hildren</w:t>
      </w:r>
    </w:p>
    <w:p w14:paraId="660D4D9E" w14:textId="77777777" w:rsidR="00962710" w:rsidRDefault="00962710" w:rsidP="00962710">
      <w:pPr>
        <w:spacing w:after="0"/>
        <w:rPr>
          <w:rFonts w:ascii="Arial" w:hAnsi="Arial" w:cs="Arial"/>
          <w:szCs w:val="24"/>
        </w:rPr>
      </w:pPr>
    </w:p>
    <w:p w14:paraId="4D9A7D30" w14:textId="696B3B67" w:rsidR="00962710" w:rsidRPr="00646C56" w:rsidRDefault="0005098B" w:rsidP="00962710">
      <w:pPr>
        <w:pStyle w:val="BodyText"/>
      </w:pPr>
      <w:r w:rsidRPr="00515837">
        <w:rPr>
          <w:rFonts w:cstheme="minorHAnsi"/>
          <w:szCs w:val="24"/>
        </w:rPr>
        <w:t xml:space="preserve">Since 25 October 2019, a change to LASPO means </w:t>
      </w:r>
      <w:r>
        <w:rPr>
          <w:rFonts w:cstheme="minorHAnsi"/>
          <w:szCs w:val="24"/>
        </w:rPr>
        <w:t>‘</w:t>
      </w:r>
      <w:r w:rsidRPr="00515837">
        <w:rPr>
          <w:rFonts w:cstheme="minorHAnsi"/>
          <w:szCs w:val="24"/>
        </w:rPr>
        <w:t>separated children</w:t>
      </w:r>
      <w:r>
        <w:rPr>
          <w:rFonts w:cstheme="minorHAnsi"/>
          <w:szCs w:val="24"/>
        </w:rPr>
        <w:t>’</w:t>
      </w:r>
      <w:r w:rsidRPr="00515837">
        <w:rPr>
          <w:rFonts w:cstheme="minorHAnsi"/>
          <w:szCs w:val="24"/>
        </w:rPr>
        <w:t> </w:t>
      </w:r>
      <w:r>
        <w:t>can now get legal aid for citizenship and non-asylum immigration applications and appeals which would ordinarily be out of scope</w:t>
      </w:r>
      <w:r w:rsidDel="0005098B">
        <w:t xml:space="preserve"> </w:t>
      </w:r>
      <w:r w:rsidR="00962710" w:rsidRPr="00646C56">
        <w:t xml:space="preserve">The change enabled separated children to be eligible for </w:t>
      </w:r>
      <w:r w:rsidR="00962710">
        <w:t>immigration</w:t>
      </w:r>
      <w:r w:rsidR="00962710" w:rsidRPr="00646C56">
        <w:t xml:space="preserve"> legal services in relation to their immigration applications for:</w:t>
      </w:r>
    </w:p>
    <w:p w14:paraId="3AC171E1" w14:textId="154EAF6A" w:rsidR="00962710" w:rsidRDefault="00962710" w:rsidP="00962710">
      <w:pPr>
        <w:pStyle w:val="BodyText"/>
        <w:numPr>
          <w:ilvl w:val="0"/>
          <w:numId w:val="6"/>
        </w:numPr>
        <w:spacing w:after="0"/>
        <w:ind w:left="714" w:hanging="357"/>
      </w:pPr>
      <w:r w:rsidRPr="00646C56">
        <w:t xml:space="preserve">Entry clearance, leave to enter, and leave to remain in the United Kingdom under the </w:t>
      </w:r>
      <w:r w:rsidR="00205FEB">
        <w:t>i</w:t>
      </w:r>
      <w:r w:rsidRPr="00646C56">
        <w:t xml:space="preserve">mmigration </w:t>
      </w:r>
      <w:r w:rsidR="00205FEB">
        <w:t>r</w:t>
      </w:r>
      <w:r w:rsidRPr="00646C56">
        <w:t>ules</w:t>
      </w:r>
      <w:r>
        <w:t>.</w:t>
      </w:r>
      <w:r w:rsidRPr="00646C56">
        <w:t xml:space="preserve"> </w:t>
      </w:r>
    </w:p>
    <w:p w14:paraId="2A3A9D9B" w14:textId="77777777" w:rsidR="00962710" w:rsidRPr="00646C56" w:rsidRDefault="00962710" w:rsidP="00962710">
      <w:pPr>
        <w:pStyle w:val="BodyText"/>
        <w:spacing w:after="0"/>
        <w:ind w:left="714"/>
      </w:pPr>
    </w:p>
    <w:p w14:paraId="25BD071F" w14:textId="7D10DE8C" w:rsidR="00962710" w:rsidRDefault="00962710" w:rsidP="00962710">
      <w:pPr>
        <w:pStyle w:val="BodyText"/>
        <w:numPr>
          <w:ilvl w:val="0"/>
          <w:numId w:val="6"/>
        </w:numPr>
        <w:spacing w:after="0"/>
        <w:ind w:left="714" w:hanging="357"/>
      </w:pPr>
      <w:r w:rsidRPr="00646C56">
        <w:t xml:space="preserve">Civil legal services in relation to separated children’s immigration applications for leave to remain where that application is made and determined outside the </w:t>
      </w:r>
      <w:r w:rsidR="00170746">
        <w:t>i</w:t>
      </w:r>
      <w:r w:rsidRPr="00646C56">
        <w:t xml:space="preserve">mmigration </w:t>
      </w:r>
      <w:r w:rsidR="00170746">
        <w:t>r</w:t>
      </w:r>
      <w:r w:rsidRPr="00646C56">
        <w:t xml:space="preserve">ules (this would include applications for discretionary leave to remain, leave to remain on medical grounds, as well as exceptional circumstances or compassionate and compelling factors which may warrant a grant of leave outside the </w:t>
      </w:r>
      <w:r w:rsidR="00170746">
        <w:t>i</w:t>
      </w:r>
      <w:r w:rsidRPr="00646C56">
        <w:t xml:space="preserve">mmigration </w:t>
      </w:r>
      <w:r w:rsidR="00170746">
        <w:t>r</w:t>
      </w:r>
      <w:r w:rsidRPr="00646C56">
        <w:t>ules)</w:t>
      </w:r>
      <w:r>
        <w:t>.</w:t>
      </w:r>
    </w:p>
    <w:p w14:paraId="5FC6F27F" w14:textId="77777777" w:rsidR="00962710" w:rsidRPr="00646C56" w:rsidRDefault="00962710" w:rsidP="00962710">
      <w:pPr>
        <w:pStyle w:val="BodyText"/>
        <w:spacing w:after="0"/>
      </w:pPr>
    </w:p>
    <w:p w14:paraId="6E51E1DA" w14:textId="4362E2C7" w:rsidR="00962710" w:rsidRPr="00646C56" w:rsidRDefault="00962710" w:rsidP="00962710">
      <w:pPr>
        <w:pStyle w:val="BodyText"/>
        <w:numPr>
          <w:ilvl w:val="0"/>
          <w:numId w:val="6"/>
        </w:numPr>
        <w:spacing w:after="0"/>
        <w:ind w:left="714" w:hanging="357"/>
      </w:pPr>
      <w:r w:rsidRPr="00646C56">
        <w:t xml:space="preserve">Relevant applications for entry clearance, leave to enter, or leave to remain made under the </w:t>
      </w:r>
      <w:r w:rsidR="00473D9A">
        <w:t>i</w:t>
      </w:r>
      <w:r w:rsidRPr="00646C56">
        <w:t xml:space="preserve">mmigration </w:t>
      </w:r>
      <w:r w:rsidR="00473D9A">
        <w:t>r</w:t>
      </w:r>
      <w:r w:rsidRPr="00646C56">
        <w:t xml:space="preserve">ules by another person, including family members and extended family members, and granted either under the </w:t>
      </w:r>
      <w:r w:rsidR="00473D9A">
        <w:t>i</w:t>
      </w:r>
      <w:r w:rsidRPr="00646C56">
        <w:t xml:space="preserve">mmigration </w:t>
      </w:r>
      <w:r w:rsidR="00473D9A">
        <w:t>r</w:t>
      </w:r>
      <w:r w:rsidRPr="00646C56">
        <w:t xml:space="preserve">ules or outside the </w:t>
      </w:r>
      <w:r w:rsidR="00473D9A">
        <w:t>i</w:t>
      </w:r>
      <w:r w:rsidRPr="00646C56">
        <w:t xml:space="preserve">mmigration </w:t>
      </w:r>
      <w:r w:rsidR="00473D9A">
        <w:t>r</w:t>
      </w:r>
      <w:r w:rsidRPr="00646C56">
        <w:t>ules.</w:t>
      </w:r>
    </w:p>
    <w:p w14:paraId="565261BA" w14:textId="77777777" w:rsidR="00962710" w:rsidRDefault="00962710" w:rsidP="00962710">
      <w:pPr>
        <w:pStyle w:val="BodyText"/>
        <w:spacing w:after="0"/>
      </w:pPr>
    </w:p>
    <w:p w14:paraId="317C0E63" w14:textId="77777777" w:rsidR="00962710" w:rsidRDefault="00962710" w:rsidP="00962710">
      <w:pPr>
        <w:pStyle w:val="BodyText"/>
        <w:spacing w:after="0"/>
      </w:pPr>
      <w:r>
        <w:t>They continue to be subject to the statutory means and merits tests.</w:t>
      </w:r>
    </w:p>
    <w:p w14:paraId="7F40C26E" w14:textId="77777777" w:rsidR="00962710" w:rsidRDefault="00962710" w:rsidP="00962710">
      <w:pPr>
        <w:pStyle w:val="BodyText"/>
        <w:spacing w:after="0"/>
      </w:pPr>
    </w:p>
    <w:p w14:paraId="726FE753" w14:textId="70780B3A" w:rsidR="00962710" w:rsidRDefault="00962710" w:rsidP="00962710">
      <w:pPr>
        <w:pStyle w:val="BodyText"/>
        <w:spacing w:after="0"/>
        <w:rPr>
          <w:rFonts w:cstheme="minorHAnsi"/>
          <w:szCs w:val="24"/>
        </w:rPr>
      </w:pPr>
      <w:r>
        <w:t xml:space="preserve">These cases are paid and reported as immigration </w:t>
      </w:r>
      <w:r w:rsidR="001B63A7">
        <w:t>h</w:t>
      </w:r>
      <w:r>
        <w:t xml:space="preserve">ourly </w:t>
      </w:r>
      <w:r w:rsidR="001B63A7">
        <w:t>r</w:t>
      </w:r>
      <w:r>
        <w:t xml:space="preserve">ates </w:t>
      </w:r>
      <w:r w:rsidR="001B63A7">
        <w:t>m</w:t>
      </w:r>
      <w:r>
        <w:t xml:space="preserve">atters, using the relevant </w:t>
      </w:r>
      <w:r w:rsidR="001B63A7">
        <w:t>e</w:t>
      </w:r>
      <w:r>
        <w:t xml:space="preserve">xemption </w:t>
      </w:r>
      <w:r w:rsidR="001B63A7">
        <w:t>c</w:t>
      </w:r>
      <w:r>
        <w:t>ode “CM0</w:t>
      </w:r>
      <w:r w:rsidRPr="5E4412CB">
        <w:rPr>
          <w:rFonts w:ascii="Arial" w:hAnsi="Arial" w:cs="Arial"/>
        </w:rPr>
        <w:t>01 – Separated Children” in the drop-down box in the “Exemption Criteria Satisfied” field in CWA</w:t>
      </w:r>
      <w:r>
        <w:rPr>
          <w:rFonts w:ascii="Arial" w:hAnsi="Arial" w:cs="Arial"/>
        </w:rPr>
        <w:t xml:space="preserve"> (</w:t>
      </w:r>
      <w:r w:rsidRPr="005317F1">
        <w:t>Para 8.101(n) 2024 SCC and section 15 – Table of Exemption Criteria in the Guidance for reporting Controlled Work</w:t>
      </w:r>
      <w:r w:rsidRPr="001B63A7">
        <w:t>).</w:t>
      </w:r>
    </w:p>
    <w:p w14:paraId="4A0A549C" w14:textId="77777777" w:rsidR="00962710" w:rsidRPr="007C7B21" w:rsidRDefault="00962710" w:rsidP="00962710">
      <w:pPr>
        <w:pStyle w:val="Heading1"/>
        <w:spacing w:after="0"/>
        <w:rPr>
          <w:sz w:val="32"/>
        </w:rPr>
      </w:pPr>
      <w:r w:rsidRPr="007C7B21">
        <w:rPr>
          <w:sz w:val="32"/>
        </w:rPr>
        <w:t>Trafficking</w:t>
      </w:r>
    </w:p>
    <w:p w14:paraId="095CCF73" w14:textId="77777777" w:rsidR="00962710" w:rsidRDefault="00962710" w:rsidP="00962710">
      <w:pPr>
        <w:pStyle w:val="BodyText"/>
        <w:spacing w:after="0"/>
      </w:pPr>
    </w:p>
    <w:p w14:paraId="488F1C09" w14:textId="4DC85E12" w:rsidR="00962710" w:rsidRDefault="00962710" w:rsidP="00962710">
      <w:pPr>
        <w:pStyle w:val="BodyText"/>
        <w:spacing w:after="0"/>
      </w:pPr>
      <w:r>
        <w:t xml:space="preserve">Legal </w:t>
      </w:r>
      <w:r w:rsidR="00B62888">
        <w:t>a</w:t>
      </w:r>
      <w:r>
        <w:t>id is available for potential victims of trafficking</w:t>
      </w:r>
      <w:r w:rsidR="008235E5">
        <w:t xml:space="preserve">. </w:t>
      </w:r>
      <w:r w:rsidR="003B518D">
        <w:t>H</w:t>
      </w:r>
      <w:r>
        <w:t>owever</w:t>
      </w:r>
      <w:r w:rsidR="003B518D">
        <w:t>,</w:t>
      </w:r>
      <w:r>
        <w:t xml:space="preserve"> there are limitations to the scope of </w:t>
      </w:r>
      <w:r w:rsidR="005317F1">
        <w:t>this (</w:t>
      </w:r>
      <w:r w:rsidRPr="005317F1">
        <w:t>Schedule 1, Para 32 of LASPO</w:t>
      </w:r>
      <w:r w:rsidR="00B62888">
        <w:t>)</w:t>
      </w:r>
      <w:r>
        <w:rPr>
          <w:b/>
          <w:bCs/>
        </w:rPr>
        <w:t>.</w:t>
      </w:r>
    </w:p>
    <w:p w14:paraId="35335405" w14:textId="77777777" w:rsidR="00962710" w:rsidRDefault="00962710" w:rsidP="00962710">
      <w:pPr>
        <w:pStyle w:val="BodyText"/>
        <w:spacing w:after="0"/>
      </w:pPr>
    </w:p>
    <w:p w14:paraId="21DE4715" w14:textId="77777777" w:rsidR="006D3A5C" w:rsidRPr="00A438A3" w:rsidRDefault="006D3A5C" w:rsidP="006D3A5C">
      <w:pPr>
        <w:spacing w:after="160" w:line="278" w:lineRule="auto"/>
        <w:rPr>
          <w:rFonts w:ascii="Arial" w:hAnsi="Arial" w:cs="Arial"/>
        </w:rPr>
      </w:pPr>
      <w:r w:rsidRPr="00A438A3">
        <w:rPr>
          <w:rFonts w:ascii="Arial" w:hAnsi="Arial" w:cs="Arial"/>
        </w:rPr>
        <w:t xml:space="preserve">The national referral mechanism (NRM) is the framework used for identifying victims of human trafficking and ensuring they receive the appropriate protection and support. </w:t>
      </w:r>
    </w:p>
    <w:p w14:paraId="6759B3FD" w14:textId="77777777" w:rsidR="006D3A5C" w:rsidRPr="00A438A3" w:rsidRDefault="006D3A5C" w:rsidP="006D3A5C">
      <w:pPr>
        <w:spacing w:after="160" w:line="278" w:lineRule="auto"/>
        <w:rPr>
          <w:rFonts w:ascii="Arial" w:hAnsi="Arial" w:cs="Arial"/>
        </w:rPr>
      </w:pPr>
      <w:r w:rsidRPr="00A438A3">
        <w:rPr>
          <w:rFonts w:ascii="Arial" w:hAnsi="Arial" w:cs="Arial"/>
        </w:rPr>
        <w:t>To be considered for support through the NRM, potential victims must first be referred to one of two competent authorities (CA):</w:t>
      </w:r>
    </w:p>
    <w:p w14:paraId="775AD60F" w14:textId="77777777" w:rsidR="006D3A5C" w:rsidRPr="00A438A3" w:rsidRDefault="006D3A5C" w:rsidP="006D3A5C">
      <w:pPr>
        <w:numPr>
          <w:ilvl w:val="0"/>
          <w:numId w:val="7"/>
        </w:numPr>
        <w:spacing w:after="160" w:line="278" w:lineRule="auto"/>
        <w:rPr>
          <w:rFonts w:ascii="Arial" w:hAnsi="Arial" w:cs="Arial"/>
        </w:rPr>
      </w:pPr>
      <w:r w:rsidRPr="00A438A3">
        <w:rPr>
          <w:rFonts w:ascii="Arial" w:hAnsi="Arial" w:cs="Arial"/>
        </w:rPr>
        <w:t>UK human trafficking centre (UKHTC), or</w:t>
      </w:r>
    </w:p>
    <w:p w14:paraId="72D305E4" w14:textId="77777777" w:rsidR="006D3A5C" w:rsidRPr="00A438A3" w:rsidRDefault="006D3A5C" w:rsidP="006D3A5C">
      <w:pPr>
        <w:numPr>
          <w:ilvl w:val="0"/>
          <w:numId w:val="7"/>
        </w:numPr>
        <w:spacing w:after="160" w:line="278" w:lineRule="auto"/>
        <w:rPr>
          <w:rFonts w:ascii="Arial" w:hAnsi="Arial" w:cs="Arial"/>
        </w:rPr>
      </w:pPr>
      <w:r w:rsidRPr="00A438A3">
        <w:rPr>
          <w:rFonts w:ascii="Arial" w:hAnsi="Arial" w:cs="Arial"/>
        </w:rPr>
        <w:t>UK visas and immigration (UKVI).</w:t>
      </w:r>
    </w:p>
    <w:p w14:paraId="2495F331" w14:textId="77777777" w:rsidR="006D3A5C" w:rsidRPr="00A438A3" w:rsidRDefault="006D3A5C" w:rsidP="006D3A5C">
      <w:pPr>
        <w:spacing w:after="160" w:line="278" w:lineRule="auto"/>
        <w:rPr>
          <w:rFonts w:ascii="Arial" w:hAnsi="Arial" w:cs="Arial"/>
        </w:rPr>
      </w:pPr>
      <w:r w:rsidRPr="00A438A3">
        <w:rPr>
          <w:rFonts w:ascii="Arial" w:hAnsi="Arial" w:cs="Arial"/>
        </w:rPr>
        <w:t>This initial referral—must be made by an authorised organisation, such as the police, UKVI, social services, or certain charities. These organisations are known as first responders.</w:t>
      </w:r>
    </w:p>
    <w:p w14:paraId="279F5FEA" w14:textId="77777777" w:rsidR="006D3A5C" w:rsidRPr="00A438A3" w:rsidRDefault="006D3A5C" w:rsidP="006D3A5C">
      <w:pPr>
        <w:spacing w:after="160" w:line="278" w:lineRule="auto"/>
        <w:rPr>
          <w:rFonts w:ascii="Arial" w:hAnsi="Arial" w:cs="Arial"/>
        </w:rPr>
      </w:pPr>
      <w:r w:rsidRPr="00A438A3">
        <w:rPr>
          <w:rFonts w:ascii="Arial" w:hAnsi="Arial" w:cs="Arial"/>
        </w:rPr>
        <w:t>Once the referral is made, trained experts at the competent authority will review the case and decide whether the person is a victim of trafficking.</w:t>
      </w:r>
    </w:p>
    <w:p w14:paraId="770CB5F1" w14:textId="77777777" w:rsidR="00962710" w:rsidRDefault="00962710" w:rsidP="00962710">
      <w:pPr>
        <w:pStyle w:val="BodyText"/>
        <w:spacing w:after="0"/>
        <w:rPr>
          <w:color w:val="FF0000"/>
        </w:rPr>
      </w:pPr>
    </w:p>
    <w:p w14:paraId="3DACE3C6" w14:textId="77777777" w:rsidR="00962710" w:rsidRPr="00B23F88" w:rsidRDefault="00962710" w:rsidP="00962710">
      <w:pPr>
        <w:pStyle w:val="BodyText"/>
        <w:spacing w:after="0"/>
      </w:pPr>
      <w:r w:rsidRPr="00B23F88">
        <w:t xml:space="preserve">There are several steps involved in this process: </w:t>
      </w:r>
    </w:p>
    <w:p w14:paraId="2CAAFB46" w14:textId="77777777" w:rsidR="00962710" w:rsidRPr="00B23F88" w:rsidRDefault="00962710" w:rsidP="00962710">
      <w:pPr>
        <w:pStyle w:val="BodyText"/>
        <w:spacing w:after="0"/>
      </w:pPr>
    </w:p>
    <w:p w14:paraId="367665D3" w14:textId="229E31F0" w:rsidR="00962710" w:rsidRPr="00B23F88" w:rsidRDefault="00962710" w:rsidP="00962710">
      <w:pPr>
        <w:pStyle w:val="BodyText"/>
        <w:spacing w:after="0"/>
        <w:rPr>
          <w:rFonts w:ascii="Segoe UI Symbol" w:hAnsi="Segoe UI Symbol" w:cs="Segoe UI Symbol"/>
        </w:rPr>
      </w:pPr>
      <w:r w:rsidRPr="5E4412CB">
        <w:rPr>
          <w:b/>
          <w:bCs/>
        </w:rPr>
        <w:t>Stage 1 – 'Reasonable Grounds' (RG)</w:t>
      </w:r>
      <w:r>
        <w:t xml:space="preserve"> - The threshold at the </w:t>
      </w:r>
      <w:r w:rsidR="00BA561B">
        <w:t>r</w:t>
      </w:r>
      <w:r>
        <w:t xml:space="preserve">easonable </w:t>
      </w:r>
      <w:r w:rsidR="00BA561B">
        <w:t>g</w:t>
      </w:r>
      <w:r>
        <w:t xml:space="preserve">rounds stage for the case manager is “From the information available so far I believe but cannot prove conclusively” that the individual is a potential victim of trafficking. If affirmative, a recovery, and reflection period of 45 days will be granted. This allows the victim to begin to recover from their ordeal and to reflect on what they want to do next, for example, co-operate with police enquiries, return home etc. </w:t>
      </w:r>
    </w:p>
    <w:p w14:paraId="772D2EBC" w14:textId="77777777" w:rsidR="00962710" w:rsidRPr="00B23F88" w:rsidRDefault="00962710" w:rsidP="00962710">
      <w:pPr>
        <w:pStyle w:val="BodyText"/>
        <w:spacing w:after="0"/>
        <w:rPr>
          <w:rFonts w:ascii="Segoe UI Symbol" w:hAnsi="Segoe UI Symbol" w:cs="Segoe UI Symbol"/>
        </w:rPr>
      </w:pPr>
    </w:p>
    <w:p w14:paraId="1B66CF65" w14:textId="64CAD369" w:rsidR="00962710" w:rsidRPr="00B23F88" w:rsidRDefault="00962710" w:rsidP="00962710">
      <w:pPr>
        <w:pStyle w:val="BodyText"/>
        <w:spacing w:after="0"/>
      </w:pPr>
      <w:r w:rsidRPr="5E4412CB">
        <w:rPr>
          <w:b/>
          <w:bCs/>
        </w:rPr>
        <w:t>Stage 2 – Conclusive Decision (CD)</w:t>
      </w:r>
      <w:r>
        <w:t xml:space="preserve"> - The threshold for a </w:t>
      </w:r>
      <w:r w:rsidR="00BA561B">
        <w:t>c</w:t>
      </w:r>
      <w:r>
        <w:t xml:space="preserve">onclusive </w:t>
      </w:r>
      <w:r w:rsidR="00BA561B">
        <w:t>d</w:t>
      </w:r>
      <w:r>
        <w:t xml:space="preserve">ecision is that on the balance of probabilities “it is more likely than not” that the individual is a victim of human trafficking. </w:t>
      </w:r>
    </w:p>
    <w:p w14:paraId="522F1B26" w14:textId="77777777" w:rsidR="00962710" w:rsidRDefault="00962710" w:rsidP="00962710">
      <w:pPr>
        <w:pStyle w:val="BodyText"/>
        <w:spacing w:after="0"/>
        <w:rPr>
          <w:color w:val="FF0000"/>
        </w:rPr>
      </w:pPr>
    </w:p>
    <w:p w14:paraId="74316940" w14:textId="77777777" w:rsidR="00962710" w:rsidRPr="00E3736F" w:rsidRDefault="00962710" w:rsidP="00962710">
      <w:pPr>
        <w:pStyle w:val="BodyText"/>
        <w:spacing w:after="0"/>
        <w:rPr>
          <w:b/>
          <w:bCs/>
        </w:rPr>
      </w:pPr>
      <w:r w:rsidRPr="00E3736F">
        <w:rPr>
          <w:b/>
          <w:bCs/>
        </w:rPr>
        <w:t>Scope of legal aid:</w:t>
      </w:r>
    </w:p>
    <w:p w14:paraId="269FC466" w14:textId="77777777" w:rsidR="00962710" w:rsidRDefault="00962710" w:rsidP="00962710">
      <w:pPr>
        <w:pStyle w:val="BodyText"/>
        <w:spacing w:after="0"/>
      </w:pPr>
    </w:p>
    <w:p w14:paraId="0A9A26E6" w14:textId="4B6F92BC" w:rsidR="00326B40" w:rsidRDefault="00326B40" w:rsidP="00326B40">
      <w:pPr>
        <w:pStyle w:val="BodyText"/>
        <w:spacing w:after="0"/>
      </w:pPr>
      <w:r>
        <w:t>L</w:t>
      </w:r>
      <w:r w:rsidRPr="00A21DF7">
        <w:t xml:space="preserve">egal </w:t>
      </w:r>
      <w:r>
        <w:t>a</w:t>
      </w:r>
      <w:r w:rsidRPr="00A21DF7">
        <w:t>id</w:t>
      </w:r>
      <w:r>
        <w:t xml:space="preserve"> is usually out of scope</w:t>
      </w:r>
      <w:r w:rsidRPr="00A21DF7">
        <w:t xml:space="preserve"> for helping someone enter the NRM or for guiding them through the process to get </w:t>
      </w:r>
      <w:r>
        <w:t xml:space="preserve">an </w:t>
      </w:r>
      <w:r w:rsidRPr="00A21DF7">
        <w:t>RG or</w:t>
      </w:r>
      <w:r>
        <w:t xml:space="preserve"> C</w:t>
      </w:r>
      <w:r w:rsidR="00BA561B">
        <w:t>D</w:t>
      </w:r>
      <w:r w:rsidRPr="00A21DF7">
        <w:t xml:space="preserve"> decision. However, if the case is complex or the person’s situation is serious, a provider can apply for ECF to try to get support.</w:t>
      </w:r>
    </w:p>
    <w:p w14:paraId="1F17E03C" w14:textId="77777777" w:rsidR="00962710" w:rsidRDefault="00962710" w:rsidP="00962710">
      <w:pPr>
        <w:pStyle w:val="BodyText"/>
        <w:spacing w:after="0"/>
      </w:pPr>
    </w:p>
    <w:p w14:paraId="7202293F" w14:textId="44D665FC" w:rsidR="00962710" w:rsidRDefault="00962710" w:rsidP="00962710">
      <w:pPr>
        <w:pStyle w:val="BodyText"/>
        <w:spacing w:after="0"/>
      </w:pPr>
      <w:r>
        <w:t xml:space="preserve">Procedural advice about the NRM, how it works and how a client is referred was to be introduced as part of Nationality and Borders Act 2022 (NABA) however the provisions of sections 66 and 67 that concerned the expansion of sections 9 and 10 of LASPO to provide add-on services </w:t>
      </w:r>
      <w:r w:rsidRPr="005E243F">
        <w:rPr>
          <w:b/>
          <w:bCs/>
        </w:rPr>
        <w:t>have not</w:t>
      </w:r>
      <w:r>
        <w:t xml:space="preserve"> commenced and therefore this advice </w:t>
      </w:r>
      <w:r w:rsidRPr="00E10D96">
        <w:rPr>
          <w:b/>
          <w:bCs/>
        </w:rPr>
        <w:t>may not</w:t>
      </w:r>
      <w:r>
        <w:t xml:space="preserve"> be claimed.</w:t>
      </w:r>
    </w:p>
    <w:p w14:paraId="57F552B7" w14:textId="77777777" w:rsidR="00962710" w:rsidRDefault="00962710" w:rsidP="00962710">
      <w:pPr>
        <w:pStyle w:val="BodyText"/>
        <w:spacing w:after="0"/>
      </w:pPr>
    </w:p>
    <w:p w14:paraId="01A471F6" w14:textId="1F90888D" w:rsidR="00A93057" w:rsidRPr="00A21DF7" w:rsidRDefault="00A93057" w:rsidP="00A93057">
      <w:pPr>
        <w:pStyle w:val="BodyText"/>
        <w:spacing w:after="0" w:line="276" w:lineRule="auto"/>
      </w:pPr>
      <w:r w:rsidRPr="00A21DF7">
        <w:t>Paragraph 32(1) of</w:t>
      </w:r>
      <w:r w:rsidRPr="00D02578">
        <w:t xml:space="preserve"> Part 1 of Schedule 1 of</w:t>
      </w:r>
      <w:r w:rsidRPr="00A21DF7">
        <w:t xml:space="preserve"> LASPO, </w:t>
      </w:r>
      <w:r w:rsidRPr="00D02578">
        <w:t xml:space="preserve">confirms legal aid provided to </w:t>
      </w:r>
      <w:r w:rsidRPr="00A21DF7">
        <w:t>victims of trafficking</w:t>
      </w:r>
      <w:r w:rsidRPr="00D02578">
        <w:t>,</w:t>
      </w:r>
      <w:r w:rsidRPr="00A21DF7">
        <w:t xml:space="preserve"> </w:t>
      </w:r>
      <w:r w:rsidRPr="00D02578">
        <w:t>in relation to an application for leave to enter, or to remain in, the UK, is within the scope</w:t>
      </w:r>
      <w:r w:rsidRPr="00A21DF7">
        <w:t xml:space="preserve">. </w:t>
      </w:r>
      <w:r w:rsidRPr="00D02578">
        <w:t xml:space="preserve">However, </w:t>
      </w:r>
      <w:r w:rsidRPr="00A21DF7">
        <w:t xml:space="preserve">before </w:t>
      </w:r>
      <w:r w:rsidRPr="00D02578">
        <w:t>l</w:t>
      </w:r>
      <w:r w:rsidRPr="00A21DF7">
        <w:t xml:space="preserve">egal </w:t>
      </w:r>
      <w:r w:rsidRPr="00D02578">
        <w:t>a</w:t>
      </w:r>
      <w:r w:rsidRPr="00A21DF7">
        <w:t xml:space="preserve">id is granted, it must be </w:t>
      </w:r>
      <w:r w:rsidRPr="00D02578">
        <w:t>demonstrated</w:t>
      </w:r>
      <w:r w:rsidRPr="00A21DF7">
        <w:t xml:space="preserve"> that the trafficking</w:t>
      </w:r>
      <w:r w:rsidRPr="00D02578">
        <w:t xml:space="preserve"> exemptions are met</w:t>
      </w:r>
      <w:r w:rsidRPr="00A21DF7">
        <w:t>.</w:t>
      </w:r>
    </w:p>
    <w:p w14:paraId="77FB5D04" w14:textId="77777777" w:rsidR="00962710" w:rsidRDefault="00962710" w:rsidP="00962710">
      <w:pPr>
        <w:pStyle w:val="BodyText"/>
        <w:spacing w:after="0"/>
        <w:rPr>
          <w:color w:val="FF0000"/>
        </w:rPr>
      </w:pPr>
    </w:p>
    <w:p w14:paraId="1B383EF2" w14:textId="77777777" w:rsidR="00AB4972" w:rsidRDefault="00AB6593" w:rsidP="00AB6593">
      <w:pPr>
        <w:spacing w:after="160" w:line="278" w:lineRule="auto"/>
      </w:pPr>
      <w:r w:rsidRPr="00544D0F">
        <w:t>Providers should not work</w:t>
      </w:r>
      <w:r w:rsidRPr="00163841">
        <w:t xml:space="preserve"> on a case that needs the trafficking exemption until </w:t>
      </w:r>
      <w:r w:rsidRPr="00544D0F">
        <w:t>they</w:t>
      </w:r>
      <w:r w:rsidRPr="00163841">
        <w:t xml:space="preserve"> have the right evidence.</w:t>
      </w:r>
    </w:p>
    <w:p w14:paraId="0E8B475E" w14:textId="3F437DA7" w:rsidR="00AB6593" w:rsidRPr="00163841" w:rsidRDefault="00AB6593" w:rsidP="00AB6593">
      <w:pPr>
        <w:spacing w:after="160" w:line="278" w:lineRule="auto"/>
      </w:pPr>
      <w:r w:rsidRPr="00163841">
        <w:br/>
        <w:t xml:space="preserve">To prove the exemption applies, </w:t>
      </w:r>
      <w:r>
        <w:t>they</w:t>
      </w:r>
      <w:r w:rsidRPr="00163841">
        <w:t xml:space="preserve"> must keep a letter from the Home Office or SOCA that either:</w:t>
      </w:r>
    </w:p>
    <w:p w14:paraId="103D87BD" w14:textId="77777777" w:rsidR="00AB6593" w:rsidRPr="00163841" w:rsidRDefault="00AB6593" w:rsidP="00AB6593">
      <w:pPr>
        <w:numPr>
          <w:ilvl w:val="0"/>
          <w:numId w:val="8"/>
        </w:numPr>
        <w:spacing w:after="160" w:line="278" w:lineRule="auto"/>
      </w:pPr>
      <w:r w:rsidRPr="00163841">
        <w:t xml:space="preserve">Confirms they </w:t>
      </w:r>
      <w:r>
        <w:t>accept there are reasonable grounds the client</w:t>
      </w:r>
      <w:r w:rsidRPr="00163841">
        <w:t xml:space="preserve"> is a victim of trafficking, or</w:t>
      </w:r>
    </w:p>
    <w:p w14:paraId="238D260B" w14:textId="77777777" w:rsidR="00AB6593" w:rsidRPr="00163841" w:rsidRDefault="00AB6593" w:rsidP="00AB6593">
      <w:pPr>
        <w:numPr>
          <w:ilvl w:val="0"/>
          <w:numId w:val="8"/>
        </w:numPr>
        <w:spacing w:after="160" w:line="278" w:lineRule="auto"/>
      </w:pPr>
      <w:r>
        <w:t>Provides a conclusive determination the trafficking exemption is met</w:t>
      </w:r>
      <w:r w:rsidRPr="00163841">
        <w:t>.</w:t>
      </w:r>
    </w:p>
    <w:p w14:paraId="78F9394D" w14:textId="1FD4D60E" w:rsidR="00AB6593" w:rsidRDefault="00AB6593" w:rsidP="00AB6593">
      <w:pPr>
        <w:pStyle w:val="BodyText"/>
        <w:spacing w:after="0"/>
      </w:pPr>
      <w:r w:rsidRPr="00163841">
        <w:t xml:space="preserve">If someone has either of these decisions (reasonable </w:t>
      </w:r>
      <w:r w:rsidR="007812B8">
        <w:t xml:space="preserve">grounds </w:t>
      </w:r>
      <w:r w:rsidRPr="00163841">
        <w:t>or conclusive</w:t>
      </w:r>
      <w:r w:rsidR="007812B8">
        <w:t xml:space="preserve"> determination</w:t>
      </w:r>
      <w:r w:rsidRPr="00163841">
        <w:t xml:space="preserve">), </w:t>
      </w:r>
      <w:r>
        <w:t>the provider</w:t>
      </w:r>
      <w:r w:rsidRPr="00163841">
        <w:t xml:space="preserve"> can give legal advice about whether </w:t>
      </w:r>
      <w:r>
        <w:t>it is necessary to make a formal application for a grant of leave (</w:t>
      </w:r>
      <w:r w:rsidRPr="00556988">
        <w:t xml:space="preserve">para 2 of the </w:t>
      </w:r>
      <w:r w:rsidR="007812B8">
        <w:t>‘</w:t>
      </w:r>
      <w:r w:rsidR="007F59C2">
        <w:t>C</w:t>
      </w:r>
      <w:r w:rsidRPr="00556988">
        <w:t>larification of immigration funding in trafficking cases</w:t>
      </w:r>
      <w:r w:rsidR="007812B8">
        <w:t>’</w:t>
      </w:r>
      <w:r w:rsidRPr="00556988">
        <w:t>).</w:t>
      </w:r>
    </w:p>
    <w:p w14:paraId="0C183FDA" w14:textId="77777777" w:rsidR="00AB6593" w:rsidRPr="00163841" w:rsidRDefault="00AB6593" w:rsidP="00AB6593">
      <w:pPr>
        <w:spacing w:after="160" w:line="278" w:lineRule="auto"/>
      </w:pPr>
    </w:p>
    <w:p w14:paraId="195651DC" w14:textId="13E43DB8" w:rsidR="00AB6593" w:rsidRDefault="00AB6593" w:rsidP="00AB6593">
      <w:pPr>
        <w:pStyle w:val="BodyText"/>
        <w:spacing w:after="0"/>
      </w:pPr>
      <w:r>
        <w:t>These services will not fall outside LASPO if they "are also provided for the purpose of assisting the individual to obtain a conclusive grounds determination as a victim of trafficking” (</w:t>
      </w:r>
      <w:r w:rsidRPr="00556988">
        <w:t xml:space="preserve">para 3 of the </w:t>
      </w:r>
      <w:r w:rsidR="007F59C2">
        <w:t>‘</w:t>
      </w:r>
      <w:r w:rsidRPr="00556988">
        <w:t>Clarification of immigration funding in trafficking cases</w:t>
      </w:r>
      <w:r w:rsidR="007F59C2">
        <w:t>’</w:t>
      </w:r>
      <w:r w:rsidRPr="00556988">
        <w:t>).</w:t>
      </w:r>
    </w:p>
    <w:p w14:paraId="1F8F1939" w14:textId="77777777" w:rsidR="00AB6593" w:rsidRDefault="00AB6593" w:rsidP="00AB6593"/>
    <w:p w14:paraId="4FC7714E" w14:textId="77777777" w:rsidR="00AB6593" w:rsidRPr="00163841" w:rsidRDefault="00AB6593" w:rsidP="00AB6593">
      <w:pPr>
        <w:spacing w:after="160" w:line="278" w:lineRule="auto"/>
      </w:pPr>
      <w:r w:rsidRPr="00163841">
        <w:t xml:space="preserve">Also, the evidence the </w:t>
      </w:r>
      <w:r>
        <w:t>victim</w:t>
      </w:r>
      <w:r w:rsidRPr="00163841">
        <w:t xml:space="preserve"> uses to explain why they should </w:t>
      </w:r>
      <w:r>
        <w:t>remain</w:t>
      </w:r>
      <w:r w:rsidRPr="00163841">
        <w:t xml:space="preserve"> in the UK might help support their </w:t>
      </w:r>
      <w:r>
        <w:t>CG decision</w:t>
      </w:r>
      <w:r w:rsidRPr="00163841">
        <w:t>.</w:t>
      </w:r>
    </w:p>
    <w:p w14:paraId="0491B493" w14:textId="77777777" w:rsidR="00962710" w:rsidRDefault="00962710" w:rsidP="00962710">
      <w:pPr>
        <w:pStyle w:val="BodyText"/>
        <w:spacing w:after="0"/>
      </w:pPr>
    </w:p>
    <w:p w14:paraId="64C92EFC" w14:textId="4A0AC31A" w:rsidR="00962710" w:rsidRDefault="00962710" w:rsidP="00962710">
      <w:pPr>
        <w:pStyle w:val="BodyText"/>
        <w:spacing w:after="0"/>
        <w:rPr>
          <w:rFonts w:ascii="Arial" w:hAnsi="Arial" w:cs="Arial"/>
        </w:rPr>
      </w:pPr>
      <w:r>
        <w:t>These cases are reported as immigration matters (</w:t>
      </w:r>
      <w:r w:rsidRPr="00035D42">
        <w:t>Para 8.8(h) 2024 SCC</w:t>
      </w:r>
      <w:r>
        <w:t>) using</w:t>
      </w:r>
      <w:r w:rsidRPr="00AB3BE3">
        <w:t xml:space="preserve"> </w:t>
      </w:r>
      <w:r>
        <w:t xml:space="preserve">the relevant </w:t>
      </w:r>
      <w:r w:rsidR="00B9644E">
        <w:t>e</w:t>
      </w:r>
      <w:r w:rsidR="00B9644E" w:rsidRPr="00AB3BE3">
        <w:t xml:space="preserve">xemption </w:t>
      </w:r>
      <w:r w:rsidR="00B9644E">
        <w:t>c</w:t>
      </w:r>
      <w:r w:rsidRPr="00AB3BE3">
        <w:t xml:space="preserve">ode </w:t>
      </w:r>
      <w:r>
        <w:t>by selecting “</w:t>
      </w:r>
      <w:r w:rsidRPr="00891F78">
        <w:rPr>
          <w:rFonts w:ascii="Arial" w:hAnsi="Arial" w:cs="Arial"/>
        </w:rPr>
        <w:t xml:space="preserve">TR001 </w:t>
      </w:r>
      <w:r>
        <w:rPr>
          <w:rFonts w:ascii="Arial" w:hAnsi="Arial" w:cs="Arial"/>
        </w:rPr>
        <w:t>–</w:t>
      </w:r>
      <w:r w:rsidRPr="00891F78">
        <w:rPr>
          <w:rFonts w:ascii="Arial" w:hAnsi="Arial" w:cs="Arial"/>
        </w:rPr>
        <w:t xml:space="preserve"> Trafficking</w:t>
      </w:r>
      <w:r>
        <w:rPr>
          <w:rFonts w:ascii="Arial" w:hAnsi="Arial" w:cs="Arial"/>
        </w:rPr>
        <w:t>”</w:t>
      </w:r>
      <w:r w:rsidRPr="00891F78">
        <w:rPr>
          <w:rFonts w:ascii="Arial" w:hAnsi="Arial" w:cs="Arial"/>
        </w:rPr>
        <w:t xml:space="preserve"> in the drop-down box in the “Exemption Criteria Satisfied” field in CWA</w:t>
      </w:r>
      <w:r>
        <w:rPr>
          <w:rFonts w:ascii="Arial" w:hAnsi="Arial" w:cs="Arial"/>
        </w:rPr>
        <w:t>.</w:t>
      </w:r>
    </w:p>
    <w:p w14:paraId="151C739C" w14:textId="77777777" w:rsidR="00962710" w:rsidRDefault="00962710" w:rsidP="00962710">
      <w:pPr>
        <w:pStyle w:val="BodyText"/>
        <w:spacing w:after="0"/>
        <w:rPr>
          <w:rFonts w:ascii="Arial" w:hAnsi="Arial" w:cs="Arial"/>
        </w:rPr>
      </w:pPr>
    </w:p>
    <w:p w14:paraId="7F8BD706" w14:textId="77777777" w:rsidR="00962710" w:rsidRDefault="00962710" w:rsidP="00962710">
      <w:pPr>
        <w:pStyle w:val="BodyText"/>
        <w:spacing w:after="0"/>
        <w:rPr>
          <w:rFonts w:ascii="Arial" w:hAnsi="Arial" w:cs="Arial"/>
        </w:rPr>
      </w:pPr>
      <w:r>
        <w:rPr>
          <w:rFonts w:ascii="Arial" w:hAnsi="Arial" w:cs="Arial"/>
        </w:rPr>
        <w:t>The</w:t>
      </w:r>
      <w:r w:rsidRPr="00BF0E3F">
        <w:rPr>
          <w:rFonts w:ascii="Arial" w:hAnsi="Arial" w:cs="Arial"/>
        </w:rPr>
        <w:t xml:space="preserve"> determination for Controlled Work </w:t>
      </w:r>
      <w:r>
        <w:rPr>
          <w:rFonts w:ascii="Arial" w:hAnsi="Arial" w:cs="Arial"/>
        </w:rPr>
        <w:t xml:space="preserve">in relation to </w:t>
      </w:r>
      <w:r w:rsidRPr="00BF0E3F">
        <w:rPr>
          <w:rFonts w:ascii="Arial" w:hAnsi="Arial" w:cs="Arial"/>
        </w:rPr>
        <w:t>victims of trafficking must be made within 12 months of the date of the Conclusive Grounds determination or by the expiry of the leave to remain or immigration bail where there has been a Reasonable Grounds determination</w:t>
      </w:r>
      <w:r>
        <w:rPr>
          <w:rFonts w:ascii="Arial" w:hAnsi="Arial" w:cs="Arial"/>
        </w:rPr>
        <w:t xml:space="preserve"> (</w:t>
      </w:r>
      <w:r w:rsidRPr="00BF0E3F">
        <w:rPr>
          <w:rFonts w:ascii="Arial" w:hAnsi="Arial" w:cs="Arial"/>
        </w:rPr>
        <w:t>in accordance with 23 (3A) of the Civil Legal Aid (Procedure) Regulations 2012</w:t>
      </w:r>
      <w:r>
        <w:rPr>
          <w:rFonts w:ascii="Arial" w:hAnsi="Arial" w:cs="Arial"/>
        </w:rPr>
        <w:t>).</w:t>
      </w:r>
    </w:p>
    <w:p w14:paraId="32C4F997" w14:textId="77777777" w:rsidR="00962710" w:rsidRDefault="00962710" w:rsidP="00962710">
      <w:pPr>
        <w:pStyle w:val="BodyText"/>
        <w:spacing w:after="0"/>
        <w:rPr>
          <w:rFonts w:ascii="Arial" w:hAnsi="Arial" w:cs="Arial"/>
        </w:rPr>
      </w:pPr>
    </w:p>
    <w:p w14:paraId="49A7EBCC" w14:textId="256A0D45" w:rsidR="00962710" w:rsidRPr="00E10D96" w:rsidRDefault="00962710" w:rsidP="00962710">
      <w:pPr>
        <w:pStyle w:val="BodyText"/>
        <w:spacing w:after="0"/>
      </w:pPr>
      <w:r w:rsidRPr="00E10D96">
        <w:t xml:space="preserve">Please refer to </w:t>
      </w:r>
      <w:r w:rsidR="007E186D">
        <w:t>k</w:t>
      </w:r>
      <w:r w:rsidRPr="00E10D96">
        <w:t>eycard 2</w:t>
      </w:r>
      <w:r w:rsidR="00AB6593">
        <w:t xml:space="preserve">: </w:t>
      </w:r>
      <w:r w:rsidRPr="00E10D96">
        <w:t xml:space="preserve"> </w:t>
      </w:r>
      <w:hyperlink r:id="rId11" w:history="1">
        <w:r w:rsidRPr="00E10D96">
          <w:rPr>
            <w:rStyle w:val="Hyperlink"/>
          </w:rPr>
          <w:t>IA-Key-card-2-NABA-Changes.docx</w:t>
        </w:r>
      </w:hyperlink>
      <w:r w:rsidRPr="00AB6593">
        <w:t xml:space="preserve"> and the </w:t>
      </w:r>
      <w:hyperlink r:id="rId12" w:history="1">
        <w:r w:rsidRPr="00E10D96">
          <w:rPr>
            <w:rStyle w:val="Hyperlink"/>
          </w:rPr>
          <w:t>Clarification of immigration funding in Trafficking cases</w:t>
        </w:r>
      </w:hyperlink>
    </w:p>
    <w:p w14:paraId="1026A752" w14:textId="646CB638" w:rsidR="00962710" w:rsidRDefault="00962710" w:rsidP="00E10D96">
      <w:pPr>
        <w:pStyle w:val="Heading1"/>
        <w:rPr>
          <w:sz w:val="28"/>
          <w:szCs w:val="28"/>
        </w:rPr>
      </w:pPr>
      <w:r w:rsidRPr="00F30EC1">
        <w:rPr>
          <w:sz w:val="36"/>
          <w:szCs w:val="36"/>
        </w:rPr>
        <w:t xml:space="preserve">Less </w:t>
      </w:r>
      <w:r>
        <w:rPr>
          <w:sz w:val="36"/>
          <w:szCs w:val="36"/>
        </w:rPr>
        <w:t>c</w:t>
      </w:r>
      <w:r w:rsidRPr="00F30EC1">
        <w:rPr>
          <w:sz w:val="36"/>
          <w:szCs w:val="36"/>
        </w:rPr>
        <w:t xml:space="preserve">ommon </w:t>
      </w:r>
      <w:r>
        <w:rPr>
          <w:sz w:val="36"/>
          <w:szCs w:val="36"/>
        </w:rPr>
        <w:t>c</w:t>
      </w:r>
      <w:r w:rsidRPr="00F30EC1">
        <w:rPr>
          <w:sz w:val="36"/>
          <w:szCs w:val="36"/>
        </w:rPr>
        <w:t>ases</w:t>
      </w:r>
    </w:p>
    <w:p w14:paraId="35EDAF89" w14:textId="69B05A19" w:rsidR="00962710" w:rsidRDefault="00962710" w:rsidP="00962710">
      <w:pPr>
        <w:pStyle w:val="Heading1"/>
        <w:spacing w:after="0"/>
        <w:rPr>
          <w:sz w:val="28"/>
          <w:szCs w:val="28"/>
        </w:rPr>
      </w:pPr>
      <w:r w:rsidRPr="03F87373">
        <w:rPr>
          <w:sz w:val="28"/>
          <w:szCs w:val="28"/>
        </w:rPr>
        <w:t xml:space="preserve">Victims of </w:t>
      </w:r>
      <w:r w:rsidR="007E186D">
        <w:rPr>
          <w:sz w:val="28"/>
          <w:szCs w:val="28"/>
        </w:rPr>
        <w:t>d</w:t>
      </w:r>
      <w:r w:rsidRPr="03F87373">
        <w:rPr>
          <w:sz w:val="28"/>
          <w:szCs w:val="28"/>
        </w:rPr>
        <w:t xml:space="preserve">omestic </w:t>
      </w:r>
      <w:r w:rsidR="007E186D">
        <w:rPr>
          <w:sz w:val="28"/>
          <w:szCs w:val="28"/>
        </w:rPr>
        <w:t>a</w:t>
      </w:r>
      <w:r>
        <w:rPr>
          <w:sz w:val="28"/>
          <w:szCs w:val="28"/>
        </w:rPr>
        <w:t>buse</w:t>
      </w:r>
    </w:p>
    <w:p w14:paraId="7A73DDD4" w14:textId="77777777" w:rsidR="00962710" w:rsidRDefault="00962710" w:rsidP="00962710">
      <w:pPr>
        <w:pStyle w:val="BodyText"/>
        <w:spacing w:after="0"/>
      </w:pPr>
    </w:p>
    <w:p w14:paraId="4A11FDA9" w14:textId="076C2071" w:rsidR="00962710" w:rsidRDefault="00962710" w:rsidP="00962710">
      <w:pPr>
        <w:pStyle w:val="BodyText"/>
        <w:spacing w:after="0"/>
      </w:pPr>
      <w:r>
        <w:t xml:space="preserve">Legal </w:t>
      </w:r>
      <w:r w:rsidR="007E186D">
        <w:t>a</w:t>
      </w:r>
      <w:r>
        <w:t>id is available for victims of domestic abuse wanting to regularise their immigration status</w:t>
      </w:r>
      <w:r w:rsidR="007E186D">
        <w:t xml:space="preserve"> (</w:t>
      </w:r>
      <w:r w:rsidRPr="00B9644E">
        <w:t>Schedule 1, Para 28 of LASPO</w:t>
      </w:r>
      <w:r w:rsidR="007E186D">
        <w:t>)</w:t>
      </w:r>
      <w:r w:rsidRPr="00D044A5">
        <w:rPr>
          <w:b/>
          <w:bCs/>
        </w:rPr>
        <w:t>.</w:t>
      </w:r>
    </w:p>
    <w:p w14:paraId="2F3D08BF" w14:textId="77777777" w:rsidR="00962710" w:rsidRDefault="00962710" w:rsidP="00962710">
      <w:pPr>
        <w:pStyle w:val="BodyText"/>
        <w:spacing w:after="0"/>
      </w:pPr>
    </w:p>
    <w:p w14:paraId="538564BF" w14:textId="31C6FF83" w:rsidR="00962710" w:rsidRPr="00C623BE" w:rsidRDefault="00962710" w:rsidP="00962710">
      <w:pPr>
        <w:pStyle w:val="BodyText"/>
        <w:spacing w:after="0"/>
      </w:pPr>
      <w:r w:rsidRPr="00C623BE">
        <w:t>Funding under Para</w:t>
      </w:r>
      <w:r w:rsidR="007E186D">
        <w:t>graph</w:t>
      </w:r>
      <w:r w:rsidRPr="00C623BE">
        <w:t xml:space="preserve"> 28</w:t>
      </w:r>
      <w:r>
        <w:t xml:space="preserve"> </w:t>
      </w:r>
      <w:r w:rsidRPr="00C623BE">
        <w:t xml:space="preserve">only extends to advice regarding an application for </w:t>
      </w:r>
      <w:r w:rsidRPr="008A1252">
        <w:t xml:space="preserve">leave to enter or remain in the UK under </w:t>
      </w:r>
      <w:hyperlink r:id="rId13" w:history="1">
        <w:r w:rsidRPr="00CA56E8">
          <w:rPr>
            <w:rStyle w:val="Hyperlink"/>
          </w:rPr>
          <w:t>Appendix Victim of Domestic Abuse to the immigration rules</w:t>
        </w:r>
      </w:hyperlink>
      <w:r>
        <w:t xml:space="preserve">. </w:t>
      </w:r>
    </w:p>
    <w:p w14:paraId="3F76D9AA" w14:textId="77777777" w:rsidR="00962710" w:rsidRDefault="00962710" w:rsidP="00962710">
      <w:pPr>
        <w:pStyle w:val="BodyText"/>
        <w:spacing w:after="0"/>
      </w:pPr>
    </w:p>
    <w:p w14:paraId="34E36911" w14:textId="77777777" w:rsidR="00F3409C" w:rsidRPr="00544D0F" w:rsidRDefault="00F3409C" w:rsidP="00F3409C">
      <w:pPr>
        <w:spacing w:after="160" w:line="278" w:lineRule="auto"/>
      </w:pPr>
      <w:r>
        <w:t>A person</w:t>
      </w:r>
      <w:r w:rsidRPr="00544D0F">
        <w:t xml:space="preserve"> can apply to settle in the UK if </w:t>
      </w:r>
      <w:r>
        <w:t>they</w:t>
      </w:r>
      <w:r w:rsidRPr="00544D0F">
        <w:t xml:space="preserve"> were last given permission to stay as a partner (like a spouse or civil partner) and that relationship has permanently ended because of domestic abuse.</w:t>
      </w:r>
    </w:p>
    <w:p w14:paraId="13427789" w14:textId="77777777" w:rsidR="00F3409C" w:rsidRPr="00544D0F" w:rsidRDefault="00F3409C" w:rsidP="00F3409C">
      <w:pPr>
        <w:spacing w:after="160" w:line="278" w:lineRule="auto"/>
      </w:pPr>
      <w:r>
        <w:t>The applicant</w:t>
      </w:r>
      <w:r w:rsidRPr="00544D0F">
        <w:t xml:space="preserve"> must be in the UK to apply</w:t>
      </w:r>
      <w:r>
        <w:t>, u</w:t>
      </w:r>
      <w:r w:rsidRPr="00544D0F">
        <w:t xml:space="preserve">nless </w:t>
      </w:r>
      <w:r>
        <w:t>they</w:t>
      </w:r>
      <w:r w:rsidRPr="00544D0F">
        <w:t xml:space="preserve"> were abandoned and left overseas.</w:t>
      </w:r>
    </w:p>
    <w:p w14:paraId="77F08BBF" w14:textId="77777777" w:rsidR="00F3409C" w:rsidRPr="00544D0F" w:rsidRDefault="00F3409C" w:rsidP="00F3409C">
      <w:pPr>
        <w:spacing w:after="160" w:line="278" w:lineRule="auto"/>
      </w:pPr>
      <w:r>
        <w:t>Dependent c</w:t>
      </w:r>
      <w:r w:rsidRPr="00544D0F">
        <w:t xml:space="preserve">hildren </w:t>
      </w:r>
      <w:r>
        <w:t xml:space="preserve">of </w:t>
      </w:r>
      <w:r w:rsidRPr="00544D0F">
        <w:t>victim</w:t>
      </w:r>
      <w:r>
        <w:t>s</w:t>
      </w:r>
      <w:r w:rsidRPr="00544D0F">
        <w:t xml:space="preserve"> of domestic abuse can also apply through this route.</w:t>
      </w:r>
    </w:p>
    <w:p w14:paraId="622E1B71" w14:textId="77777777" w:rsidR="00F3409C" w:rsidRDefault="00F3409C" w:rsidP="00F3409C">
      <w:r w:rsidRPr="00544D0F">
        <w:t xml:space="preserve">There may also be </w:t>
      </w:r>
      <w:r>
        <w:t xml:space="preserve">alternative route </w:t>
      </w:r>
      <w:r w:rsidRPr="00544D0F">
        <w:t>under the “Appendix EU” rules for family members who are victims of domestic abuse.</w:t>
      </w:r>
    </w:p>
    <w:p w14:paraId="64E73CA5" w14:textId="2DBC3C34" w:rsidR="00962710" w:rsidRDefault="00F3409C" w:rsidP="00962710">
      <w:pPr>
        <w:pStyle w:val="BodyText"/>
      </w:pPr>
      <w:r>
        <w:t>The appendix sets out the requirements for the victim of domestic abuse route. The applicant must satisfy these for the matter to be within scope of para 28, part 1 of schedule 1 of LASPO</w:t>
      </w:r>
      <w:r w:rsidR="00B9644E">
        <w:t xml:space="preserve">.  </w:t>
      </w:r>
      <w:r w:rsidR="00962710">
        <w:t xml:space="preserve">Where an individual does not meet these requirements, advice will not be within the scope of </w:t>
      </w:r>
      <w:r w:rsidR="000D16EA">
        <w:t>l</w:t>
      </w:r>
      <w:r w:rsidR="00962710">
        <w:t xml:space="preserve">egal </w:t>
      </w:r>
      <w:r w:rsidR="000D16EA">
        <w:t>a</w:t>
      </w:r>
      <w:r w:rsidR="00962710">
        <w:t>id.</w:t>
      </w:r>
    </w:p>
    <w:p w14:paraId="160E6567" w14:textId="032D4872" w:rsidR="00962710" w:rsidRPr="003A274C" w:rsidRDefault="00962710" w:rsidP="00962710">
      <w:pPr>
        <w:pStyle w:val="BodyText"/>
        <w:spacing w:after="0"/>
        <w:rPr>
          <w:b/>
          <w:bCs/>
        </w:rPr>
      </w:pPr>
      <w:r>
        <w:t>These cases are reported as immigration matters using Matter Type 2 code IDOM and would be funded under the Standard Fee Scheme (</w:t>
      </w:r>
      <w:r w:rsidRPr="004536D3">
        <w:t>Para 8.8(e)(f) 2024 SCC).</w:t>
      </w:r>
      <w:r>
        <w:t xml:space="preserve"> There is no </w:t>
      </w:r>
      <w:r w:rsidR="00031B2E">
        <w:t>e</w:t>
      </w:r>
      <w:r>
        <w:t xml:space="preserve">xemption </w:t>
      </w:r>
      <w:r w:rsidR="00031B2E">
        <w:t>c</w:t>
      </w:r>
      <w:r>
        <w:t xml:space="preserve">ode for these claims. </w:t>
      </w:r>
    </w:p>
    <w:p w14:paraId="4154E3A1" w14:textId="75A99338" w:rsidR="00962710" w:rsidRPr="001A087F" w:rsidRDefault="00962710" w:rsidP="00962710">
      <w:pPr>
        <w:pStyle w:val="Heading1"/>
        <w:spacing w:after="0"/>
        <w:rPr>
          <w:sz w:val="28"/>
          <w:szCs w:val="28"/>
        </w:rPr>
      </w:pPr>
      <w:r w:rsidRPr="001A087F">
        <w:rPr>
          <w:sz w:val="28"/>
          <w:szCs w:val="28"/>
        </w:rPr>
        <w:t xml:space="preserve">Judicial </w:t>
      </w:r>
      <w:r w:rsidR="00031B2E">
        <w:rPr>
          <w:sz w:val="28"/>
          <w:szCs w:val="28"/>
        </w:rPr>
        <w:t>r</w:t>
      </w:r>
      <w:r w:rsidRPr="001A087F">
        <w:rPr>
          <w:sz w:val="28"/>
          <w:szCs w:val="28"/>
        </w:rPr>
        <w:t>eview (JR)</w:t>
      </w:r>
    </w:p>
    <w:p w14:paraId="70AD6EB4" w14:textId="77777777" w:rsidR="00962710" w:rsidRDefault="00962710" w:rsidP="00962710">
      <w:pPr>
        <w:pStyle w:val="BodyText"/>
        <w:spacing w:after="0"/>
      </w:pPr>
    </w:p>
    <w:p w14:paraId="487CD9B7" w14:textId="5DFB7E7D" w:rsidR="00962710" w:rsidRDefault="00962710" w:rsidP="00962710">
      <w:pPr>
        <w:pStyle w:val="BodyText"/>
        <w:spacing w:after="0"/>
      </w:pPr>
      <w:r>
        <w:t xml:space="preserve">Legal </w:t>
      </w:r>
      <w:r w:rsidR="00031B2E">
        <w:t>a</w:t>
      </w:r>
      <w:r>
        <w:t xml:space="preserve">id is available for </w:t>
      </w:r>
      <w:r w:rsidR="00031B2E">
        <w:t>JR</w:t>
      </w:r>
      <w:r>
        <w:t xml:space="preserve"> of decisions made by public bodies, subject to exceptions and restrictions</w:t>
      </w:r>
      <w:r w:rsidR="005577EE">
        <w:t xml:space="preserve"> (</w:t>
      </w:r>
      <w:r w:rsidRPr="005E243F">
        <w:t>Schedule 1, Para 19 of LASPO</w:t>
      </w:r>
      <w:r w:rsidR="005577EE" w:rsidRPr="005E243F">
        <w:t>)</w:t>
      </w:r>
      <w:r w:rsidRPr="005E243F">
        <w:t>.</w:t>
      </w:r>
      <w:r>
        <w:t xml:space="preserve"> </w:t>
      </w:r>
    </w:p>
    <w:p w14:paraId="78B911BA" w14:textId="77777777" w:rsidR="00962710" w:rsidRDefault="00962710" w:rsidP="00962710">
      <w:pPr>
        <w:pStyle w:val="BodyText"/>
        <w:spacing w:after="0"/>
      </w:pPr>
    </w:p>
    <w:p w14:paraId="6EE9FB03" w14:textId="77777777" w:rsidR="00962710" w:rsidRDefault="00962710" w:rsidP="00962710">
      <w:pPr>
        <w:pStyle w:val="BodyText"/>
        <w:spacing w:after="0"/>
      </w:pPr>
      <w:r>
        <w:t>Examples of when an asylum claimant may apply for JR include:</w:t>
      </w:r>
    </w:p>
    <w:p w14:paraId="214F9867" w14:textId="77777777" w:rsidR="00962710" w:rsidRDefault="00962710" w:rsidP="00962710">
      <w:pPr>
        <w:pStyle w:val="Default"/>
      </w:pPr>
    </w:p>
    <w:p w14:paraId="05967A11" w14:textId="77777777" w:rsidR="00962710" w:rsidRDefault="00962710" w:rsidP="005E243F">
      <w:pPr>
        <w:pStyle w:val="Default"/>
        <w:numPr>
          <w:ilvl w:val="0"/>
          <w:numId w:val="9"/>
        </w:numPr>
      </w:pPr>
      <w:r>
        <w:t>An asylum claim which has been certified as “clearly unfounded”:</w:t>
      </w:r>
      <w:r w:rsidRPr="7B7B57F1">
        <w:rPr>
          <w:b/>
          <w:bCs/>
          <w:i/>
          <w:iCs/>
        </w:rPr>
        <w:t xml:space="preserve"> </w:t>
      </w:r>
      <w:r>
        <w:t>The Home Office can ‘certify’ the asylum claim such that the claimant then does not have a right of appeal to a tribunal.</w:t>
      </w:r>
    </w:p>
    <w:p w14:paraId="78D59F0F" w14:textId="77777777" w:rsidR="00962710" w:rsidRPr="009C1DEC" w:rsidRDefault="00962710" w:rsidP="00962710">
      <w:pPr>
        <w:pStyle w:val="Default"/>
        <w:ind w:left="714"/>
      </w:pPr>
    </w:p>
    <w:p w14:paraId="36440E31" w14:textId="671666CC" w:rsidR="00962710" w:rsidRDefault="00962710" w:rsidP="005E243F">
      <w:pPr>
        <w:pStyle w:val="Default"/>
        <w:numPr>
          <w:ilvl w:val="0"/>
          <w:numId w:val="9"/>
        </w:numPr>
      </w:pPr>
      <w:r>
        <w:t xml:space="preserve">Unlawful </w:t>
      </w:r>
      <w:r w:rsidR="006C79B0">
        <w:t>d</w:t>
      </w:r>
      <w:r>
        <w:t>etention: There is a presumption in favour of liberty. The burden is on the Home Secretary to justify detention.</w:t>
      </w:r>
    </w:p>
    <w:p w14:paraId="6BE13E7F" w14:textId="77777777" w:rsidR="00962710" w:rsidRDefault="00962710" w:rsidP="00962710">
      <w:pPr>
        <w:pStyle w:val="ListParagraph"/>
      </w:pPr>
    </w:p>
    <w:p w14:paraId="3B278007" w14:textId="78ADA3BE" w:rsidR="00962710" w:rsidRDefault="00962710" w:rsidP="005E243F">
      <w:pPr>
        <w:pStyle w:val="Default"/>
        <w:numPr>
          <w:ilvl w:val="0"/>
          <w:numId w:val="9"/>
        </w:numPr>
      </w:pPr>
      <w:r>
        <w:t xml:space="preserve">Age </w:t>
      </w:r>
      <w:r w:rsidR="006C79B0">
        <w:t>a</w:t>
      </w:r>
      <w:r>
        <w:t>ssessments</w:t>
      </w:r>
      <w:r w:rsidRPr="004536D3">
        <w:rPr>
          <w:b/>
          <w:bCs/>
        </w:rPr>
        <w:t>:</w:t>
      </w:r>
      <w:r w:rsidRPr="5E4412CB">
        <w:rPr>
          <w:b/>
          <w:bCs/>
          <w:i/>
          <w:iCs/>
        </w:rPr>
        <w:t xml:space="preserve"> </w:t>
      </w:r>
      <w:r>
        <w:t>Where an asylum seeker claims to be a child, but they have been assessed as an adult by local authority social workers.</w:t>
      </w:r>
    </w:p>
    <w:p w14:paraId="756769FA" w14:textId="77777777" w:rsidR="00962710" w:rsidRDefault="00962710" w:rsidP="00962710">
      <w:pPr>
        <w:pStyle w:val="ListParagraph"/>
      </w:pPr>
    </w:p>
    <w:p w14:paraId="1B598911" w14:textId="186AA65E" w:rsidR="00962710" w:rsidRDefault="00962710" w:rsidP="005E243F">
      <w:pPr>
        <w:pStyle w:val="Default"/>
        <w:numPr>
          <w:ilvl w:val="0"/>
          <w:numId w:val="9"/>
        </w:numPr>
      </w:pPr>
      <w:r>
        <w:t>Inadequate</w:t>
      </w:r>
      <w:r w:rsidR="006C79B0">
        <w:t xml:space="preserve"> </w:t>
      </w:r>
      <w:r>
        <w:t>/</w:t>
      </w:r>
      <w:r w:rsidR="006C79B0">
        <w:t xml:space="preserve"> </w:t>
      </w:r>
      <w:r>
        <w:t>inappropriate</w:t>
      </w:r>
      <w:r w:rsidR="006C79B0">
        <w:t xml:space="preserve"> </w:t>
      </w:r>
      <w:r>
        <w:t>/</w:t>
      </w:r>
      <w:r w:rsidR="006C79B0">
        <w:t xml:space="preserve"> </w:t>
      </w:r>
      <w:r>
        <w:t>unsuitable support</w:t>
      </w:r>
      <w:r w:rsidRPr="004536D3">
        <w:t>:</w:t>
      </w:r>
      <w:r w:rsidRPr="5E4412CB">
        <w:rPr>
          <w:b/>
          <w:bCs/>
          <w:i/>
          <w:iCs/>
        </w:rPr>
        <w:t xml:space="preserve"> </w:t>
      </w:r>
      <w:r>
        <w:t>Or lack of financial support or the Home Office are providing accommodation in a location which the claimant believes is not adequate or appropriate.</w:t>
      </w:r>
    </w:p>
    <w:p w14:paraId="54EC24B8" w14:textId="77777777" w:rsidR="00962710" w:rsidRPr="009C1DEC" w:rsidRDefault="00962710" w:rsidP="00962710">
      <w:pPr>
        <w:pStyle w:val="Default"/>
      </w:pPr>
    </w:p>
    <w:p w14:paraId="024994FE" w14:textId="77777777" w:rsidR="00962710" w:rsidRDefault="00962710" w:rsidP="005E243F">
      <w:pPr>
        <w:pStyle w:val="Default"/>
        <w:numPr>
          <w:ilvl w:val="0"/>
          <w:numId w:val="9"/>
        </w:numPr>
      </w:pPr>
      <w:r>
        <w:t xml:space="preserve">Delays: By the Home Office in its decision making. </w:t>
      </w:r>
    </w:p>
    <w:p w14:paraId="5BE58833" w14:textId="77777777" w:rsidR="00962710" w:rsidRPr="009C1DEC" w:rsidRDefault="00962710" w:rsidP="00962710">
      <w:pPr>
        <w:pStyle w:val="Default"/>
      </w:pPr>
    </w:p>
    <w:p w14:paraId="0FA6E1A7" w14:textId="7353A86E" w:rsidR="00962710" w:rsidRPr="009C1DEC" w:rsidRDefault="00962710" w:rsidP="00962710">
      <w:pPr>
        <w:pStyle w:val="Default"/>
        <w:numPr>
          <w:ilvl w:val="0"/>
          <w:numId w:val="5"/>
        </w:numPr>
        <w:ind w:left="714" w:hanging="357"/>
      </w:pPr>
      <w:r>
        <w:t xml:space="preserve">Imminent </w:t>
      </w:r>
      <w:r w:rsidR="006C79B0">
        <w:t>r</w:t>
      </w:r>
      <w:r>
        <w:t>emoval</w:t>
      </w:r>
      <w:r w:rsidRPr="7B7B57F1">
        <w:rPr>
          <w:b/>
          <w:bCs/>
          <w:i/>
          <w:iCs/>
        </w:rPr>
        <w:t xml:space="preserve">: </w:t>
      </w:r>
      <w:r>
        <w:t xml:space="preserve">“Fitness to fly.” These are often last-minute challenges to stop removal of applicants. </w:t>
      </w:r>
    </w:p>
    <w:p w14:paraId="102B74F9" w14:textId="77777777" w:rsidR="00962710" w:rsidRDefault="00962710" w:rsidP="00962710">
      <w:pPr>
        <w:pStyle w:val="BodyText"/>
        <w:spacing w:after="0"/>
      </w:pPr>
    </w:p>
    <w:p w14:paraId="6E333BDC" w14:textId="6EABFEB6" w:rsidR="00962710" w:rsidRDefault="00962710" w:rsidP="00962710">
      <w:pPr>
        <w:pStyle w:val="BodyText"/>
        <w:spacing w:after="0"/>
      </w:pPr>
      <w:r>
        <w:t xml:space="preserve">Providers must apply for a </w:t>
      </w:r>
      <w:r w:rsidR="005577EE">
        <w:t>c</w:t>
      </w:r>
      <w:r>
        <w:t xml:space="preserve">ertificate via CCMS as JR is funded under </w:t>
      </w:r>
      <w:r w:rsidR="005577EE">
        <w:t>l</w:t>
      </w:r>
      <w:r>
        <w:t xml:space="preserve">icensed </w:t>
      </w:r>
      <w:r w:rsidR="005577EE">
        <w:t>w</w:t>
      </w:r>
      <w:r>
        <w:t xml:space="preserve">ork and cannot be carried out under </w:t>
      </w:r>
      <w:r w:rsidR="005577EE">
        <w:t>c</w:t>
      </w:r>
      <w:r>
        <w:t xml:space="preserve">ontrolled </w:t>
      </w:r>
      <w:r w:rsidR="005577EE">
        <w:t>w</w:t>
      </w:r>
      <w:r>
        <w:t>ork (</w:t>
      </w:r>
      <w:r w:rsidRPr="005E243F">
        <w:t>Para 8.70(b) 2024 SCC</w:t>
      </w:r>
      <w:r w:rsidRPr="005577EE">
        <w:t>).</w:t>
      </w:r>
    </w:p>
    <w:p w14:paraId="3E8C6B19" w14:textId="1843E675" w:rsidR="00962710" w:rsidRPr="00DF2677" w:rsidRDefault="00962710" w:rsidP="00962710">
      <w:pPr>
        <w:pStyle w:val="Heading1"/>
        <w:rPr>
          <w:sz w:val="32"/>
        </w:rPr>
      </w:pPr>
      <w:r w:rsidRPr="5E4412CB">
        <w:rPr>
          <w:sz w:val="32"/>
        </w:rPr>
        <w:t xml:space="preserve">Controlled </w:t>
      </w:r>
      <w:r w:rsidR="005577EE">
        <w:rPr>
          <w:sz w:val="32"/>
        </w:rPr>
        <w:t>w</w:t>
      </w:r>
      <w:r w:rsidRPr="5E4412CB">
        <w:rPr>
          <w:sz w:val="32"/>
        </w:rPr>
        <w:t xml:space="preserve">ork </w:t>
      </w:r>
      <w:r w:rsidR="005577EE">
        <w:rPr>
          <w:sz w:val="32"/>
        </w:rPr>
        <w:t>i</w:t>
      </w:r>
      <w:r w:rsidRPr="5E4412CB">
        <w:rPr>
          <w:sz w:val="32"/>
        </w:rPr>
        <w:t xml:space="preserve">mmigration </w:t>
      </w:r>
      <w:r w:rsidR="005577EE">
        <w:rPr>
          <w:sz w:val="32"/>
        </w:rPr>
        <w:t>c</w:t>
      </w:r>
      <w:r w:rsidRPr="5E4412CB">
        <w:rPr>
          <w:sz w:val="32"/>
        </w:rPr>
        <w:t xml:space="preserve">laim </w:t>
      </w:r>
      <w:r w:rsidR="005577EE">
        <w:rPr>
          <w:sz w:val="32"/>
        </w:rPr>
        <w:t>t</w:t>
      </w:r>
      <w:r w:rsidRPr="5E4412CB">
        <w:rPr>
          <w:sz w:val="32"/>
        </w:rPr>
        <w:t>ypes</w:t>
      </w:r>
    </w:p>
    <w:tbl>
      <w:tblPr>
        <w:tblStyle w:val="TableGrid"/>
        <w:tblW w:w="9776" w:type="dxa"/>
        <w:tblLook w:val="04A0" w:firstRow="1" w:lastRow="0" w:firstColumn="1" w:lastColumn="0" w:noHBand="0" w:noVBand="1"/>
      </w:tblPr>
      <w:tblGrid>
        <w:gridCol w:w="1655"/>
        <w:gridCol w:w="2117"/>
        <w:gridCol w:w="1801"/>
        <w:gridCol w:w="2526"/>
        <w:gridCol w:w="1677"/>
      </w:tblGrid>
      <w:tr w:rsidR="00962710" w14:paraId="7B19210C" w14:textId="77777777" w:rsidTr="005E243F">
        <w:trPr>
          <w:cnfStyle w:val="100000000000" w:firstRow="1" w:lastRow="0" w:firstColumn="0" w:lastColumn="0" w:oddVBand="0" w:evenVBand="0" w:oddHBand="0"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654" w:type="dxa"/>
            <w:tcBorders>
              <w:top w:val="single" w:sz="4" w:space="0" w:color="auto"/>
              <w:left w:val="single" w:sz="4" w:space="0" w:color="auto"/>
              <w:bottom w:val="single" w:sz="4" w:space="0" w:color="auto"/>
              <w:right w:val="single" w:sz="4" w:space="0" w:color="auto"/>
            </w:tcBorders>
          </w:tcPr>
          <w:p w14:paraId="2BF56172" w14:textId="77777777" w:rsidR="00962710" w:rsidRDefault="00962710" w:rsidP="005E243F">
            <w:pPr>
              <w:pStyle w:val="BodyText"/>
              <w:spacing w:after="0"/>
              <w:jc w:val="center"/>
            </w:pPr>
            <w:r>
              <w:t>Controlled Work Type</w:t>
            </w:r>
          </w:p>
        </w:tc>
        <w:tc>
          <w:tcPr>
            <w:tcW w:w="2172" w:type="dxa"/>
            <w:tcBorders>
              <w:top w:val="single" w:sz="4" w:space="0" w:color="auto"/>
              <w:left w:val="single" w:sz="4" w:space="0" w:color="auto"/>
              <w:bottom w:val="single" w:sz="4" w:space="0" w:color="auto"/>
              <w:right w:val="single" w:sz="4" w:space="0" w:color="auto"/>
            </w:tcBorders>
          </w:tcPr>
          <w:p w14:paraId="7FA81133" w14:textId="77777777" w:rsidR="00962710" w:rsidRDefault="00962710" w:rsidP="005E243F">
            <w:pPr>
              <w:pStyle w:val="BodyText"/>
              <w:spacing w:after="0"/>
              <w:jc w:val="center"/>
              <w:cnfStyle w:val="100000000000" w:firstRow="1" w:lastRow="0" w:firstColumn="0" w:lastColumn="0" w:oddVBand="0" w:evenVBand="0" w:oddHBand="0" w:evenHBand="0" w:firstRowFirstColumn="0" w:firstRowLastColumn="0" w:lastRowFirstColumn="0" w:lastRowLastColumn="0"/>
            </w:pPr>
            <w:r>
              <w:t>Advice Type</w:t>
            </w:r>
          </w:p>
        </w:tc>
        <w:tc>
          <w:tcPr>
            <w:tcW w:w="1698" w:type="dxa"/>
            <w:tcBorders>
              <w:top w:val="single" w:sz="4" w:space="0" w:color="auto"/>
              <w:left w:val="single" w:sz="4" w:space="0" w:color="auto"/>
              <w:bottom w:val="single" w:sz="4" w:space="0" w:color="auto"/>
              <w:right w:val="single" w:sz="4" w:space="0" w:color="auto"/>
            </w:tcBorders>
          </w:tcPr>
          <w:p w14:paraId="6DA8D9F8" w14:textId="77777777" w:rsidR="00962710" w:rsidRDefault="00962710" w:rsidP="005E243F">
            <w:pPr>
              <w:pStyle w:val="BodyText"/>
              <w:spacing w:after="0"/>
              <w:jc w:val="center"/>
              <w:cnfStyle w:val="100000000000" w:firstRow="1" w:lastRow="0" w:firstColumn="0" w:lastColumn="0" w:oddVBand="0" w:evenVBand="0" w:oddHBand="0" w:evenHBand="0" w:firstRowFirstColumn="0" w:firstRowLastColumn="0" w:lastRowFirstColumn="0" w:lastRowLastColumn="0"/>
            </w:pPr>
            <w:r>
              <w:t>“Exemption Criteria Satisfied” Code</w:t>
            </w:r>
          </w:p>
        </w:tc>
        <w:tc>
          <w:tcPr>
            <w:tcW w:w="2566" w:type="dxa"/>
            <w:tcBorders>
              <w:top w:val="single" w:sz="4" w:space="0" w:color="auto"/>
              <w:left w:val="single" w:sz="4" w:space="0" w:color="auto"/>
              <w:bottom w:val="single" w:sz="4" w:space="0" w:color="auto"/>
              <w:right w:val="single" w:sz="4" w:space="0" w:color="auto"/>
            </w:tcBorders>
          </w:tcPr>
          <w:p w14:paraId="01BEF675" w14:textId="77777777" w:rsidR="00962710" w:rsidRDefault="00962710" w:rsidP="005E243F">
            <w:pPr>
              <w:pStyle w:val="BodyText"/>
              <w:spacing w:after="0"/>
              <w:jc w:val="center"/>
              <w:cnfStyle w:val="100000000000" w:firstRow="1" w:lastRow="0" w:firstColumn="0" w:lastColumn="0" w:oddVBand="0" w:evenVBand="0" w:oddHBand="0" w:evenHBand="0" w:firstRowFirstColumn="0" w:firstRowLastColumn="0" w:lastRowFirstColumn="0" w:lastRowLastColumn="0"/>
            </w:pPr>
            <w:r>
              <w:t>Hourly Rates Cost limits (excl VAT)</w:t>
            </w:r>
          </w:p>
        </w:tc>
        <w:tc>
          <w:tcPr>
            <w:tcW w:w="1686" w:type="dxa"/>
            <w:tcBorders>
              <w:top w:val="single" w:sz="4" w:space="0" w:color="auto"/>
              <w:left w:val="single" w:sz="4" w:space="0" w:color="auto"/>
              <w:bottom w:val="single" w:sz="4" w:space="0" w:color="auto"/>
              <w:right w:val="single" w:sz="4" w:space="0" w:color="auto"/>
            </w:tcBorders>
          </w:tcPr>
          <w:p w14:paraId="1601A79F" w14:textId="77777777" w:rsidR="00962710" w:rsidRDefault="00962710" w:rsidP="005E243F">
            <w:pPr>
              <w:pStyle w:val="BodyText"/>
              <w:spacing w:after="0"/>
              <w:jc w:val="center"/>
              <w:cnfStyle w:val="100000000000" w:firstRow="1" w:lastRow="0" w:firstColumn="0" w:lastColumn="0" w:oddVBand="0" w:evenVBand="0" w:oddHBand="0" w:evenHBand="0" w:firstRowFirstColumn="0" w:firstRowLastColumn="0" w:lastRowFirstColumn="0" w:lastRowLastColumn="0"/>
              <w:rPr>
                <w:b w:val="0"/>
              </w:rPr>
            </w:pPr>
            <w:r>
              <w:t>Matter Type 1</w:t>
            </w:r>
          </w:p>
          <w:p w14:paraId="58882C52" w14:textId="77777777" w:rsidR="00962710" w:rsidRDefault="00962710" w:rsidP="005E243F">
            <w:pPr>
              <w:pStyle w:val="BodyText"/>
              <w:spacing w:after="0"/>
              <w:jc w:val="center"/>
              <w:cnfStyle w:val="100000000000" w:firstRow="1" w:lastRow="0" w:firstColumn="0" w:lastColumn="0" w:oddVBand="0" w:evenVBand="0" w:oddHBand="0" w:evenHBand="0" w:firstRowFirstColumn="0" w:firstRowLastColumn="0" w:lastRowFirstColumn="0" w:lastRowLastColumn="0"/>
            </w:pPr>
            <w:r>
              <w:t>Reporting Codes</w:t>
            </w:r>
          </w:p>
        </w:tc>
      </w:tr>
      <w:tr w:rsidR="00962710" w14:paraId="537A4EFE" w14:textId="77777777" w:rsidTr="005E243F">
        <w:tc>
          <w:tcPr>
            <w:cnfStyle w:val="001000000000" w:firstRow="0" w:lastRow="0" w:firstColumn="1" w:lastColumn="0" w:oddVBand="0" w:evenVBand="0" w:oddHBand="0" w:evenHBand="0" w:firstRowFirstColumn="0" w:firstRowLastColumn="0" w:lastRowFirstColumn="0" w:lastRowLastColumn="0"/>
            <w:tcW w:w="1654" w:type="dxa"/>
            <w:tcBorders>
              <w:top w:val="single" w:sz="4" w:space="0" w:color="auto"/>
            </w:tcBorders>
          </w:tcPr>
          <w:p w14:paraId="0E15D2B5" w14:textId="77777777" w:rsidR="00962710" w:rsidRPr="005E243F" w:rsidRDefault="00962710" w:rsidP="00F72A51">
            <w:pPr>
              <w:pStyle w:val="BodyText"/>
              <w:spacing w:after="0"/>
              <w:rPr>
                <w:b w:val="0"/>
                <w:bCs/>
              </w:rPr>
            </w:pPr>
            <w:r w:rsidRPr="001F0AE3">
              <w:rPr>
                <w:bCs/>
              </w:rPr>
              <w:t xml:space="preserve">Legal Help </w:t>
            </w:r>
          </w:p>
        </w:tc>
        <w:tc>
          <w:tcPr>
            <w:tcW w:w="2172" w:type="dxa"/>
            <w:tcBorders>
              <w:top w:val="single" w:sz="4" w:space="0" w:color="auto"/>
            </w:tcBorders>
            <w:shd w:val="clear" w:color="auto" w:fill="auto"/>
          </w:tcPr>
          <w:p w14:paraId="76411B47" w14:textId="5CD029DE" w:rsidR="00962710" w:rsidRPr="0092721D"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 xml:space="preserve">Separated </w:t>
            </w:r>
            <w:r w:rsidR="005577EE">
              <w:t>m</w:t>
            </w:r>
            <w:r>
              <w:t xml:space="preserve">igrant </w:t>
            </w:r>
            <w:r w:rsidR="005577EE">
              <w:t>c</w:t>
            </w:r>
            <w:r>
              <w:t>hildren (HR only)</w:t>
            </w:r>
          </w:p>
        </w:tc>
        <w:tc>
          <w:tcPr>
            <w:tcW w:w="1698" w:type="dxa"/>
            <w:tcBorders>
              <w:top w:val="single" w:sz="4" w:space="0" w:color="auto"/>
            </w:tcBorders>
            <w:shd w:val="clear" w:color="auto" w:fill="auto"/>
          </w:tcPr>
          <w:p w14:paraId="3AC07578" w14:textId="77777777" w:rsidR="00962710" w:rsidRPr="0092721D"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CM001</w:t>
            </w:r>
          </w:p>
        </w:tc>
        <w:tc>
          <w:tcPr>
            <w:tcW w:w="2566" w:type="dxa"/>
            <w:tcBorders>
              <w:top w:val="single" w:sz="4" w:space="0" w:color="auto"/>
            </w:tcBorders>
          </w:tcPr>
          <w:p w14:paraId="04674E0B" w14:textId="787E867B"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Profit costs</w:t>
            </w:r>
            <w:r w:rsidR="00DE4F4C">
              <w:t>:</w:t>
            </w:r>
            <w:r>
              <w:t xml:space="preserve"> £500</w:t>
            </w:r>
          </w:p>
          <w:p w14:paraId="0A29C07C" w14:textId="200096C9"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Disb</w:t>
            </w:r>
            <w:r w:rsidR="005577EE">
              <w:t>u</w:t>
            </w:r>
            <w:r w:rsidR="00DE4F4C">
              <w:t>r</w:t>
            </w:r>
            <w:r w:rsidR="00E10D96">
              <w:t>s</w:t>
            </w:r>
            <w:r w:rsidR="00DE4F4C">
              <w:t>ement</w:t>
            </w:r>
            <w:r>
              <w:t>s</w:t>
            </w:r>
            <w:r w:rsidR="00DE4F4C">
              <w:t xml:space="preserve">: </w:t>
            </w:r>
            <w:r>
              <w:t xml:space="preserve"> £400</w:t>
            </w:r>
          </w:p>
          <w:p w14:paraId="7ECA0945"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Borders>
              <w:top w:val="single" w:sz="4" w:space="0" w:color="auto"/>
            </w:tcBorders>
          </w:tcPr>
          <w:p w14:paraId="27D28D0F"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IMXL</w:t>
            </w:r>
          </w:p>
        </w:tc>
      </w:tr>
      <w:tr w:rsidR="00962710" w14:paraId="229B4DE5" w14:textId="77777777" w:rsidTr="005E243F">
        <w:tc>
          <w:tcPr>
            <w:cnfStyle w:val="001000000000" w:firstRow="0" w:lastRow="0" w:firstColumn="1" w:lastColumn="0" w:oddVBand="0" w:evenVBand="0" w:oddHBand="0" w:evenHBand="0" w:firstRowFirstColumn="0" w:firstRowLastColumn="0" w:lastRowFirstColumn="0" w:lastRowLastColumn="0"/>
            <w:tcW w:w="1654" w:type="dxa"/>
            <w:tcBorders>
              <w:top w:val="single" w:sz="4" w:space="0" w:color="auto"/>
            </w:tcBorders>
          </w:tcPr>
          <w:p w14:paraId="1635383F" w14:textId="77777777" w:rsidR="00962710" w:rsidRPr="005577EE" w:rsidRDefault="00962710" w:rsidP="00F72A51">
            <w:pPr>
              <w:pStyle w:val="BodyText"/>
              <w:spacing w:after="0"/>
              <w:rPr>
                <w:b w:val="0"/>
                <w:bCs/>
              </w:rPr>
            </w:pPr>
            <w:r w:rsidRPr="001F0AE3">
              <w:rPr>
                <w:bCs/>
              </w:rPr>
              <w:t xml:space="preserve">CLR </w:t>
            </w:r>
          </w:p>
          <w:p w14:paraId="12BB97CA" w14:textId="77777777" w:rsidR="00962710" w:rsidRPr="005E243F" w:rsidRDefault="00962710" w:rsidP="00F72A51">
            <w:pPr>
              <w:pStyle w:val="BodyText"/>
              <w:spacing w:after="0"/>
              <w:rPr>
                <w:b w:val="0"/>
                <w:bCs/>
              </w:rPr>
            </w:pPr>
          </w:p>
        </w:tc>
        <w:tc>
          <w:tcPr>
            <w:tcW w:w="2172" w:type="dxa"/>
            <w:tcBorders>
              <w:top w:val="single" w:sz="4" w:space="0" w:color="auto"/>
            </w:tcBorders>
            <w:shd w:val="clear" w:color="auto" w:fill="auto"/>
          </w:tcPr>
          <w:p w14:paraId="41BADE20" w14:textId="1370DAB1"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 xml:space="preserve">Separated </w:t>
            </w:r>
            <w:r w:rsidR="005577EE">
              <w:t>m</w:t>
            </w:r>
            <w:r>
              <w:t xml:space="preserve">igrant </w:t>
            </w:r>
            <w:r w:rsidR="005577EE">
              <w:t>c</w:t>
            </w:r>
            <w:r>
              <w:t>hildren (HR only)</w:t>
            </w:r>
          </w:p>
        </w:tc>
        <w:tc>
          <w:tcPr>
            <w:tcW w:w="1698" w:type="dxa"/>
            <w:tcBorders>
              <w:top w:val="single" w:sz="4" w:space="0" w:color="auto"/>
            </w:tcBorders>
            <w:shd w:val="clear" w:color="auto" w:fill="auto"/>
          </w:tcPr>
          <w:p w14:paraId="38E83EE0"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CM001</w:t>
            </w:r>
          </w:p>
        </w:tc>
        <w:tc>
          <w:tcPr>
            <w:tcW w:w="2566" w:type="dxa"/>
            <w:tcBorders>
              <w:top w:val="single" w:sz="4" w:space="0" w:color="auto"/>
            </w:tcBorders>
          </w:tcPr>
          <w:p w14:paraId="40C0FBA1"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Combined* £1,200</w:t>
            </w:r>
          </w:p>
          <w:p w14:paraId="46822AAD"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p w14:paraId="0AAC0ADD"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Borders>
              <w:top w:val="single" w:sz="4" w:space="0" w:color="auto"/>
            </w:tcBorders>
          </w:tcPr>
          <w:p w14:paraId="052975DD"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IMXC</w:t>
            </w:r>
          </w:p>
        </w:tc>
      </w:tr>
      <w:tr w:rsidR="00962710" w14:paraId="3DEB9AFD" w14:textId="77777777" w:rsidTr="005E243F">
        <w:tc>
          <w:tcPr>
            <w:cnfStyle w:val="001000000000" w:firstRow="0" w:lastRow="0" w:firstColumn="1" w:lastColumn="0" w:oddVBand="0" w:evenVBand="0" w:oddHBand="0" w:evenHBand="0" w:firstRowFirstColumn="0" w:firstRowLastColumn="0" w:lastRowFirstColumn="0" w:lastRowLastColumn="0"/>
            <w:tcW w:w="1654" w:type="dxa"/>
          </w:tcPr>
          <w:p w14:paraId="3B07FCEB" w14:textId="77777777" w:rsidR="00962710" w:rsidRPr="005E243F" w:rsidRDefault="00962710" w:rsidP="00F72A51">
            <w:pPr>
              <w:pStyle w:val="BodyText"/>
              <w:spacing w:after="0"/>
              <w:rPr>
                <w:b w:val="0"/>
                <w:bCs/>
              </w:rPr>
            </w:pPr>
            <w:r w:rsidRPr="001F0AE3">
              <w:rPr>
                <w:bCs/>
              </w:rPr>
              <w:t xml:space="preserve">Legal Help </w:t>
            </w:r>
          </w:p>
        </w:tc>
        <w:tc>
          <w:tcPr>
            <w:tcW w:w="2172" w:type="dxa"/>
            <w:shd w:val="clear" w:color="auto" w:fill="auto"/>
          </w:tcPr>
          <w:p w14:paraId="3C7E9C16"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rsidRPr="00E65CD1">
              <w:t>Trafficking</w:t>
            </w:r>
          </w:p>
          <w:p w14:paraId="6036D43A" w14:textId="77777777" w:rsidR="00962710" w:rsidRPr="00E65CD1"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(HR or SFS)</w:t>
            </w:r>
          </w:p>
        </w:tc>
        <w:tc>
          <w:tcPr>
            <w:tcW w:w="1698" w:type="dxa"/>
            <w:shd w:val="clear" w:color="auto" w:fill="auto"/>
          </w:tcPr>
          <w:p w14:paraId="3278A5EA" w14:textId="77777777" w:rsidR="00962710" w:rsidRPr="0092721D"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TR001</w:t>
            </w:r>
          </w:p>
        </w:tc>
        <w:tc>
          <w:tcPr>
            <w:tcW w:w="2566" w:type="dxa"/>
          </w:tcPr>
          <w:p w14:paraId="5981CA9D" w14:textId="5D422F94"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Profit costs</w:t>
            </w:r>
            <w:r w:rsidR="00DE4F4C">
              <w:t>:</w:t>
            </w:r>
            <w:r>
              <w:t xml:space="preserve"> £500</w:t>
            </w:r>
          </w:p>
          <w:p w14:paraId="6346C33F" w14:textId="12CAC649"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Disb</w:t>
            </w:r>
            <w:r w:rsidR="00DE4F4C">
              <w:t xml:space="preserve">ursements: </w:t>
            </w:r>
            <w:r>
              <w:t xml:space="preserve"> £400</w:t>
            </w:r>
          </w:p>
          <w:p w14:paraId="2CBD3C67"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Pr>
          <w:p w14:paraId="72C30033"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IMXL</w:t>
            </w:r>
          </w:p>
        </w:tc>
      </w:tr>
      <w:tr w:rsidR="00962710" w14:paraId="5FD20391" w14:textId="77777777" w:rsidTr="005E243F">
        <w:tc>
          <w:tcPr>
            <w:cnfStyle w:val="001000000000" w:firstRow="0" w:lastRow="0" w:firstColumn="1" w:lastColumn="0" w:oddVBand="0" w:evenVBand="0" w:oddHBand="0" w:evenHBand="0" w:firstRowFirstColumn="0" w:firstRowLastColumn="0" w:lastRowFirstColumn="0" w:lastRowLastColumn="0"/>
            <w:tcW w:w="1654" w:type="dxa"/>
          </w:tcPr>
          <w:p w14:paraId="12A5BC7F" w14:textId="77777777" w:rsidR="00962710" w:rsidRPr="005E243F" w:rsidRDefault="00962710" w:rsidP="00F72A51">
            <w:pPr>
              <w:pStyle w:val="BodyText"/>
              <w:spacing w:after="0"/>
              <w:rPr>
                <w:b w:val="0"/>
                <w:bCs/>
              </w:rPr>
            </w:pPr>
            <w:r w:rsidRPr="001F0AE3">
              <w:rPr>
                <w:bCs/>
              </w:rPr>
              <w:t>CLR</w:t>
            </w:r>
          </w:p>
        </w:tc>
        <w:tc>
          <w:tcPr>
            <w:tcW w:w="2172" w:type="dxa"/>
            <w:shd w:val="clear" w:color="auto" w:fill="auto"/>
          </w:tcPr>
          <w:p w14:paraId="7B3D0CC7"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Trafficking</w:t>
            </w:r>
          </w:p>
          <w:p w14:paraId="70203AC8" w14:textId="77777777" w:rsidR="00962710" w:rsidRPr="00E65CD1"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(HR or SFS)</w:t>
            </w:r>
          </w:p>
        </w:tc>
        <w:tc>
          <w:tcPr>
            <w:tcW w:w="1698" w:type="dxa"/>
            <w:shd w:val="clear" w:color="auto" w:fill="auto"/>
          </w:tcPr>
          <w:p w14:paraId="1F7BFAAD"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TR001</w:t>
            </w:r>
          </w:p>
        </w:tc>
        <w:tc>
          <w:tcPr>
            <w:tcW w:w="2566" w:type="dxa"/>
            <w:tcBorders>
              <w:top w:val="single" w:sz="4" w:space="0" w:color="auto"/>
            </w:tcBorders>
          </w:tcPr>
          <w:p w14:paraId="724C879A"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Combined* £1,200</w:t>
            </w:r>
          </w:p>
          <w:p w14:paraId="7CFB0718"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p w14:paraId="454C1024"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Borders>
              <w:top w:val="single" w:sz="4" w:space="0" w:color="auto"/>
            </w:tcBorders>
          </w:tcPr>
          <w:p w14:paraId="121408A0"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IMXC</w:t>
            </w:r>
          </w:p>
          <w:p w14:paraId="259BA9E9"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IMCD</w:t>
            </w:r>
          </w:p>
        </w:tc>
      </w:tr>
      <w:tr w:rsidR="00962710" w14:paraId="083EE31C" w14:textId="77777777" w:rsidTr="005E243F">
        <w:tc>
          <w:tcPr>
            <w:cnfStyle w:val="001000000000" w:firstRow="0" w:lastRow="0" w:firstColumn="1" w:lastColumn="0" w:oddVBand="0" w:evenVBand="0" w:oddHBand="0" w:evenHBand="0" w:firstRowFirstColumn="0" w:firstRowLastColumn="0" w:lastRowFirstColumn="0" w:lastRowLastColumn="0"/>
            <w:tcW w:w="1654" w:type="dxa"/>
          </w:tcPr>
          <w:p w14:paraId="16DFCD29" w14:textId="77777777" w:rsidR="00962710" w:rsidRPr="005E243F" w:rsidRDefault="00962710" w:rsidP="00F72A51">
            <w:pPr>
              <w:pStyle w:val="BodyText"/>
              <w:spacing w:after="0"/>
              <w:rPr>
                <w:b w:val="0"/>
                <w:bCs/>
              </w:rPr>
            </w:pPr>
            <w:bookmarkStart w:id="1" w:name="_Hlk182568514"/>
            <w:r w:rsidRPr="001F0AE3">
              <w:rPr>
                <w:bCs/>
              </w:rPr>
              <w:t xml:space="preserve">Legal Help </w:t>
            </w:r>
          </w:p>
        </w:tc>
        <w:tc>
          <w:tcPr>
            <w:tcW w:w="2172" w:type="dxa"/>
            <w:shd w:val="clear" w:color="auto" w:fill="auto"/>
          </w:tcPr>
          <w:p w14:paraId="22CE5E8F" w14:textId="79CD16BE"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 xml:space="preserve">Victims of </w:t>
            </w:r>
            <w:r w:rsidR="005577EE">
              <w:t>d</w:t>
            </w:r>
            <w:r>
              <w:t xml:space="preserve">omestic </w:t>
            </w:r>
            <w:r w:rsidR="005577EE">
              <w:t>a</w:t>
            </w:r>
            <w:r>
              <w:t>buse</w:t>
            </w:r>
          </w:p>
          <w:p w14:paraId="620E646C"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(SFS)</w:t>
            </w:r>
          </w:p>
        </w:tc>
        <w:tc>
          <w:tcPr>
            <w:tcW w:w="1698" w:type="dxa"/>
            <w:shd w:val="clear" w:color="auto" w:fill="auto"/>
          </w:tcPr>
          <w:p w14:paraId="5D2F6038" w14:textId="77777777" w:rsidR="00962710" w:rsidRPr="0092721D"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Not required</w:t>
            </w:r>
          </w:p>
        </w:tc>
        <w:tc>
          <w:tcPr>
            <w:tcW w:w="2566" w:type="dxa"/>
          </w:tcPr>
          <w:p w14:paraId="7D8B2E24" w14:textId="17914C32"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Profit costs</w:t>
            </w:r>
            <w:r w:rsidR="00DE4F4C">
              <w:t>:</w:t>
            </w:r>
            <w:r>
              <w:t xml:space="preserve"> £500</w:t>
            </w:r>
          </w:p>
          <w:p w14:paraId="5F760733" w14:textId="0D156A69"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Disb</w:t>
            </w:r>
            <w:r w:rsidR="00DE4F4C">
              <w:t>ursement</w:t>
            </w:r>
            <w:r>
              <w:t>s</w:t>
            </w:r>
            <w:r w:rsidR="00DE4F4C">
              <w:t>:</w:t>
            </w:r>
            <w:r>
              <w:t xml:space="preserve"> £400</w:t>
            </w:r>
          </w:p>
          <w:p w14:paraId="4DFF0D90"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Pr>
          <w:p w14:paraId="4CB82594"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IMXL</w:t>
            </w:r>
          </w:p>
          <w:p w14:paraId="4F86778E"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p w14:paraId="74A565CA"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(Matter Type 2 Code = IDOM)</w:t>
            </w:r>
          </w:p>
        </w:tc>
      </w:tr>
      <w:bookmarkEnd w:id="1"/>
      <w:tr w:rsidR="00962710" w14:paraId="08499B3B" w14:textId="77777777" w:rsidTr="005E243F">
        <w:tc>
          <w:tcPr>
            <w:cnfStyle w:val="001000000000" w:firstRow="0" w:lastRow="0" w:firstColumn="1" w:lastColumn="0" w:oddVBand="0" w:evenVBand="0" w:oddHBand="0" w:evenHBand="0" w:firstRowFirstColumn="0" w:firstRowLastColumn="0" w:lastRowFirstColumn="0" w:lastRowLastColumn="0"/>
            <w:tcW w:w="1654" w:type="dxa"/>
          </w:tcPr>
          <w:p w14:paraId="6F9B4BDC" w14:textId="77777777" w:rsidR="00962710" w:rsidRPr="005E243F" w:rsidRDefault="00962710" w:rsidP="00F72A51">
            <w:pPr>
              <w:pStyle w:val="BodyText"/>
              <w:spacing w:after="0"/>
              <w:rPr>
                <w:b w:val="0"/>
                <w:bCs/>
              </w:rPr>
            </w:pPr>
            <w:r w:rsidRPr="001F0AE3">
              <w:rPr>
                <w:bCs/>
              </w:rPr>
              <w:t>CLR</w:t>
            </w:r>
          </w:p>
        </w:tc>
        <w:tc>
          <w:tcPr>
            <w:tcW w:w="2172" w:type="dxa"/>
            <w:shd w:val="clear" w:color="auto" w:fill="auto"/>
          </w:tcPr>
          <w:p w14:paraId="33BA3AF2" w14:textId="2811A34C"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 xml:space="preserve">Victims of </w:t>
            </w:r>
            <w:r w:rsidR="005577EE">
              <w:t>d</w:t>
            </w:r>
            <w:r>
              <w:t xml:space="preserve">omestic </w:t>
            </w:r>
            <w:r w:rsidR="005577EE">
              <w:t>a</w:t>
            </w:r>
            <w:r>
              <w:t>buse</w:t>
            </w:r>
          </w:p>
          <w:p w14:paraId="0A7431DB"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(HR or SFS)</w:t>
            </w:r>
          </w:p>
        </w:tc>
        <w:tc>
          <w:tcPr>
            <w:tcW w:w="1698" w:type="dxa"/>
            <w:shd w:val="clear" w:color="auto" w:fill="auto"/>
          </w:tcPr>
          <w:p w14:paraId="26A94D2A"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Not required</w:t>
            </w:r>
          </w:p>
        </w:tc>
        <w:tc>
          <w:tcPr>
            <w:tcW w:w="2566" w:type="dxa"/>
            <w:tcBorders>
              <w:top w:val="single" w:sz="4" w:space="0" w:color="auto"/>
            </w:tcBorders>
          </w:tcPr>
          <w:p w14:paraId="48021D59"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Combined* £1,200</w:t>
            </w:r>
          </w:p>
          <w:p w14:paraId="142CB80D"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p w14:paraId="129D8099"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86" w:type="dxa"/>
            <w:tcBorders>
              <w:top w:val="single" w:sz="4" w:space="0" w:color="auto"/>
            </w:tcBorders>
          </w:tcPr>
          <w:p w14:paraId="3F5B3810"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IMXC</w:t>
            </w:r>
          </w:p>
          <w:p w14:paraId="2982866B"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IMCD</w:t>
            </w:r>
          </w:p>
          <w:p w14:paraId="0F6B9117"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p>
          <w:p w14:paraId="2CA9C725" w14:textId="77777777" w:rsidR="00962710" w:rsidRDefault="00962710" w:rsidP="00F72A51">
            <w:pPr>
              <w:pStyle w:val="BodyText"/>
              <w:spacing w:after="0"/>
              <w:cnfStyle w:val="000000000000" w:firstRow="0" w:lastRow="0" w:firstColumn="0" w:lastColumn="0" w:oddVBand="0" w:evenVBand="0" w:oddHBand="0" w:evenHBand="0" w:firstRowFirstColumn="0" w:firstRowLastColumn="0" w:lastRowFirstColumn="0" w:lastRowLastColumn="0"/>
            </w:pPr>
            <w:r>
              <w:t>(Matter Type 2 Code = IDOM)</w:t>
            </w:r>
          </w:p>
        </w:tc>
      </w:tr>
    </w:tbl>
    <w:p w14:paraId="0AD4D02C" w14:textId="77777777" w:rsidR="00962710" w:rsidRDefault="00962710" w:rsidP="00962710">
      <w:pPr>
        <w:pStyle w:val="BodyText"/>
        <w:spacing w:after="0"/>
      </w:pPr>
    </w:p>
    <w:p w14:paraId="2142E222" w14:textId="1D6327B9" w:rsidR="00962710" w:rsidRDefault="00962710" w:rsidP="00962710">
      <w:pPr>
        <w:pStyle w:val="BodyText"/>
        <w:spacing w:after="0"/>
      </w:pPr>
      <w:r>
        <w:t xml:space="preserve">*Includes </w:t>
      </w:r>
      <w:r w:rsidR="005577EE">
        <w:t>p</w:t>
      </w:r>
      <w:r>
        <w:t xml:space="preserve">rofit costs, Counsel’s fees </w:t>
      </w:r>
      <w:r w:rsidR="005577EE">
        <w:t>and</w:t>
      </w:r>
      <w:r>
        <w:t xml:space="preserve"> </w:t>
      </w:r>
      <w:r w:rsidR="005577EE">
        <w:t>d</w:t>
      </w:r>
      <w:r>
        <w:t>isbursements</w:t>
      </w:r>
    </w:p>
    <w:p w14:paraId="1DE9E408" w14:textId="64B05D0A" w:rsidR="00962710" w:rsidRDefault="00962710" w:rsidP="00962710">
      <w:pPr>
        <w:pStyle w:val="BodyText"/>
        <w:spacing w:after="0"/>
      </w:pPr>
      <w:r>
        <w:t xml:space="preserve">HR = Hourly </w:t>
      </w:r>
      <w:r w:rsidR="005577EE">
        <w:t>r</w:t>
      </w:r>
      <w:r>
        <w:t xml:space="preserve">ates. </w:t>
      </w:r>
    </w:p>
    <w:p w14:paraId="30DDCACB" w14:textId="26E97DFE" w:rsidR="00962710" w:rsidRDefault="00962710" w:rsidP="00962710">
      <w:pPr>
        <w:pStyle w:val="BodyText"/>
        <w:spacing w:after="0"/>
      </w:pPr>
      <w:r>
        <w:t xml:space="preserve">SFS = Standard </w:t>
      </w:r>
      <w:r w:rsidR="005577EE">
        <w:t>f</w:t>
      </w:r>
      <w:r>
        <w:t xml:space="preserve">ee </w:t>
      </w:r>
      <w:r w:rsidR="005577EE">
        <w:t>s</w:t>
      </w:r>
      <w:r>
        <w:t>cheme</w:t>
      </w:r>
    </w:p>
    <w:p w14:paraId="47B996F3" w14:textId="77777777" w:rsidR="00962710" w:rsidRPr="00DF2677" w:rsidRDefault="00962710" w:rsidP="00962710">
      <w:pPr>
        <w:pStyle w:val="Heading1"/>
        <w:rPr>
          <w:sz w:val="32"/>
        </w:rPr>
      </w:pPr>
      <w:r w:rsidRPr="00DF2677">
        <w:rPr>
          <w:sz w:val="32"/>
        </w:rPr>
        <w:t>Relevant guidance and legislation</w:t>
      </w:r>
    </w:p>
    <w:p w14:paraId="35E0D3E0" w14:textId="77777777" w:rsidR="00962710" w:rsidRDefault="00962710" w:rsidP="00962710">
      <w:hyperlink r:id="rId14" w:history="1">
        <w:r>
          <w:rPr>
            <w:rStyle w:val="Hyperlink"/>
          </w:rPr>
          <w:t>Microsoft Word - 8 2024 Immigration and Asylum Category Specific Rules.docx (publishing.service.gov.uk)</w:t>
        </w:r>
      </w:hyperlink>
    </w:p>
    <w:p w14:paraId="0D2D0BEC" w14:textId="77777777" w:rsidR="00962710" w:rsidRDefault="00962710" w:rsidP="00962710">
      <w:hyperlink r:id="rId15" w:history="1">
        <w:r>
          <w:rPr>
            <w:rStyle w:val="Hyperlink"/>
          </w:rPr>
          <w:t>Guidance for reporting Controlled Work and Controlled Work Matters (publishing.service.gov.uk)</w:t>
        </w:r>
      </w:hyperlink>
    </w:p>
    <w:p w14:paraId="142F2485" w14:textId="77777777" w:rsidR="00962710" w:rsidRDefault="00962710" w:rsidP="00962710">
      <w:hyperlink r:id="rId16" w:history="1">
        <w:r w:rsidRPr="0046133E">
          <w:rPr>
            <w:rStyle w:val="Hyperlink"/>
          </w:rPr>
          <w:t>https://www.gov.uk/legal-aid/funding-for-exceptional-cases</w:t>
        </w:r>
      </w:hyperlink>
    </w:p>
    <w:p w14:paraId="49A6E70F" w14:textId="77777777" w:rsidR="00A63F2C" w:rsidRDefault="00A63F2C" w:rsidP="00A63F2C">
      <w:pPr>
        <w:pStyle w:val="BodyText"/>
      </w:pPr>
    </w:p>
    <w:sectPr w:rsidR="00A63F2C" w:rsidSect="00D82D2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124A" w14:textId="77777777" w:rsidR="007D6937" w:rsidRDefault="007D6937" w:rsidP="006D69A7">
      <w:pPr>
        <w:spacing w:after="0" w:line="240" w:lineRule="auto"/>
      </w:pPr>
      <w:r>
        <w:separator/>
      </w:r>
    </w:p>
  </w:endnote>
  <w:endnote w:type="continuationSeparator" w:id="0">
    <w:p w14:paraId="56408909" w14:textId="77777777" w:rsidR="007D6937" w:rsidRDefault="007D6937"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02C" w14:textId="6D8B7632" w:rsidR="00157FC4" w:rsidRDefault="00157FC4">
    <w:pPr>
      <w:pStyle w:val="Footer"/>
    </w:pPr>
    <w:r>
      <w:rPr>
        <w:noProof/>
      </w:rPr>
      <mc:AlternateContent>
        <mc:Choice Requires="wps">
          <w:drawing>
            <wp:anchor distT="0" distB="0" distL="0" distR="0" simplePos="0" relativeHeight="251662336" behindDoc="0" locked="0" layoutInCell="1" allowOverlap="1" wp14:anchorId="1A425CD2" wp14:editId="3F0C0125">
              <wp:simplePos x="635" y="635"/>
              <wp:positionH relativeFrom="page">
                <wp:align>center</wp:align>
              </wp:positionH>
              <wp:positionV relativeFrom="page">
                <wp:align>bottom</wp:align>
              </wp:positionV>
              <wp:extent cx="551815" cy="404495"/>
              <wp:effectExtent l="0" t="0" r="635" b="0"/>
              <wp:wrapNone/>
              <wp:docPr id="1561087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2CC48B" w14:textId="797CE5D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25CD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D2CC48B" w14:textId="797CE5D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462" w14:textId="45E2ED5E" w:rsidR="00CA4174" w:rsidRDefault="00157FC4">
    <w:pPr>
      <w:pStyle w:val="Footer"/>
    </w:pPr>
    <w:r>
      <w:rPr>
        <w:noProof/>
      </w:rPr>
      <mc:AlternateContent>
        <mc:Choice Requires="wps">
          <w:drawing>
            <wp:anchor distT="0" distB="0" distL="0" distR="0" simplePos="0" relativeHeight="251663360" behindDoc="0" locked="0" layoutInCell="1" allowOverlap="1" wp14:anchorId="2DB8F74E" wp14:editId="4EF21428">
              <wp:simplePos x="723900" y="10160000"/>
              <wp:positionH relativeFrom="page">
                <wp:align>center</wp:align>
              </wp:positionH>
              <wp:positionV relativeFrom="page">
                <wp:align>bottom</wp:align>
              </wp:positionV>
              <wp:extent cx="551815" cy="404495"/>
              <wp:effectExtent l="0" t="0" r="635" b="0"/>
              <wp:wrapNone/>
              <wp:docPr id="15735810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FD20B1" w14:textId="20DBE52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8F74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3FD20B1" w14:textId="20DBE52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r w:rsidR="00D82D2E">
      <w:fldChar w:fldCharType="begin"/>
    </w:r>
    <w:r w:rsidR="00D82D2E">
      <w:instrText xml:space="preserve"> PAGE   \* MERGEFORMAT </w:instrText>
    </w:r>
    <w:r w:rsidR="00D82D2E">
      <w:fldChar w:fldCharType="separate"/>
    </w:r>
    <w:r w:rsidR="00D82D2E">
      <w:rPr>
        <w:noProof/>
      </w:rPr>
      <w:t>1</w:t>
    </w:r>
    <w:r w:rsidR="00D82D2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5872" w14:textId="58F71F43" w:rsidR="00D82D2E" w:rsidRDefault="00157FC4" w:rsidP="00D82D2E">
    <w:pPr>
      <w:pStyle w:val="Footer"/>
      <w:spacing w:before="1200"/>
    </w:pPr>
    <w:r>
      <w:rPr>
        <w:noProof/>
      </w:rPr>
      <mc:AlternateContent>
        <mc:Choice Requires="wps">
          <w:drawing>
            <wp:anchor distT="0" distB="0" distL="0" distR="0" simplePos="0" relativeHeight="251661312" behindDoc="0" locked="0" layoutInCell="1" allowOverlap="1" wp14:anchorId="1B773E2F" wp14:editId="6296C396">
              <wp:simplePos x="723900" y="9398000"/>
              <wp:positionH relativeFrom="page">
                <wp:align>center</wp:align>
              </wp:positionH>
              <wp:positionV relativeFrom="page">
                <wp:align>bottom</wp:align>
              </wp:positionV>
              <wp:extent cx="551815" cy="404495"/>
              <wp:effectExtent l="0" t="0" r="635" b="0"/>
              <wp:wrapNone/>
              <wp:docPr id="11751725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8B1DBF" w14:textId="3D011389"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73E2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D8B1DBF" w14:textId="3D011389"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CE3D" w14:textId="77777777" w:rsidR="007D6937" w:rsidRDefault="007D6937" w:rsidP="006D69A7">
      <w:pPr>
        <w:spacing w:after="0" w:line="240" w:lineRule="auto"/>
      </w:pPr>
      <w:r>
        <w:separator/>
      </w:r>
    </w:p>
  </w:footnote>
  <w:footnote w:type="continuationSeparator" w:id="0">
    <w:p w14:paraId="0DC086D2" w14:textId="77777777" w:rsidR="007D6937" w:rsidRDefault="007D6937"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B3D1" w14:textId="62441C42" w:rsidR="00157FC4" w:rsidRDefault="00157FC4">
    <w:pPr>
      <w:pStyle w:val="Header"/>
    </w:pPr>
    <w:r>
      <w:rPr>
        <w:noProof/>
      </w:rPr>
      <mc:AlternateContent>
        <mc:Choice Requires="wps">
          <w:drawing>
            <wp:anchor distT="0" distB="0" distL="0" distR="0" simplePos="0" relativeHeight="251659264" behindDoc="0" locked="0" layoutInCell="1" allowOverlap="1" wp14:anchorId="69FCE8EA" wp14:editId="4C03486E">
              <wp:simplePos x="635" y="635"/>
              <wp:positionH relativeFrom="page">
                <wp:align>center</wp:align>
              </wp:positionH>
              <wp:positionV relativeFrom="page">
                <wp:align>top</wp:align>
              </wp:positionV>
              <wp:extent cx="551815" cy="404495"/>
              <wp:effectExtent l="0" t="0" r="635" b="14605"/>
              <wp:wrapNone/>
              <wp:docPr id="8585449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8523F" w14:textId="54F830E6"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E8E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A78523F" w14:textId="54F830E6"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AE36" w14:textId="2EFB2065" w:rsidR="00D82D2E" w:rsidRDefault="00157FC4">
    <w:pPr>
      <w:pStyle w:val="Header"/>
    </w:pPr>
    <w:r>
      <w:rPr>
        <w:noProof/>
      </w:rPr>
      <mc:AlternateContent>
        <mc:Choice Requires="wps">
          <w:drawing>
            <wp:anchor distT="0" distB="0" distL="0" distR="0" simplePos="0" relativeHeight="251660288" behindDoc="0" locked="0" layoutInCell="1" allowOverlap="1" wp14:anchorId="05CE5DD3" wp14:editId="63D0AB94">
              <wp:simplePos x="723900" y="361950"/>
              <wp:positionH relativeFrom="page">
                <wp:align>center</wp:align>
              </wp:positionH>
              <wp:positionV relativeFrom="page">
                <wp:align>top</wp:align>
              </wp:positionV>
              <wp:extent cx="551815" cy="404495"/>
              <wp:effectExtent l="0" t="0" r="635" b="14605"/>
              <wp:wrapNone/>
              <wp:docPr id="1620155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C8CBAC" w14:textId="523A3D88"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E5DD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0C8CBAC" w14:textId="523A3D88"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r>
      <w:t>IA Keycard 10 – V1.</w:t>
    </w:r>
    <w:r w:rsidR="00640368">
      <w:t>0</w:t>
    </w:r>
    <w:r>
      <w:t xml:space="preserve"> – June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5E79" w14:textId="34B98451" w:rsidR="00D82D2E" w:rsidRDefault="00157FC4">
    <w:pPr>
      <w:pStyle w:val="Header"/>
    </w:pPr>
    <w:r>
      <w:rPr>
        <w:noProof/>
      </w:rPr>
      <mc:AlternateContent>
        <mc:Choice Requires="wps">
          <w:drawing>
            <wp:anchor distT="0" distB="0" distL="0" distR="0" simplePos="0" relativeHeight="251658240" behindDoc="0" locked="0" layoutInCell="1" allowOverlap="1" wp14:anchorId="4C15D564" wp14:editId="1679225E">
              <wp:simplePos x="723900" y="361950"/>
              <wp:positionH relativeFrom="page">
                <wp:align>center</wp:align>
              </wp:positionH>
              <wp:positionV relativeFrom="page">
                <wp:align>top</wp:align>
              </wp:positionV>
              <wp:extent cx="551815" cy="404495"/>
              <wp:effectExtent l="0" t="0" r="635" b="14605"/>
              <wp:wrapNone/>
              <wp:docPr id="17272786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F8693" w14:textId="1B1A8DD2"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5D56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73F8693" w14:textId="1B1A8DD2"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v:textbox>
              <w10:wrap anchorx="page" anchory="page"/>
            </v:shape>
          </w:pict>
        </mc:Fallback>
      </mc:AlternateContent>
    </w:r>
    <w:r w:rsidR="00D82D2E">
      <w:rPr>
        <w:noProof/>
      </w:rPr>
      <w:drawing>
        <wp:anchor distT="0" distB="0" distL="114300" distR="114300" simplePos="0" relativeHeight="251657215" behindDoc="1" locked="0" layoutInCell="1" allowOverlap="1" wp14:anchorId="01994F7C" wp14:editId="718AF513">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04247F8E"/>
    <w:multiLevelType w:val="hybridMultilevel"/>
    <w:tmpl w:val="682A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16E5C"/>
    <w:multiLevelType w:val="hybridMultilevel"/>
    <w:tmpl w:val="1B4A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A0B1A"/>
    <w:multiLevelType w:val="hybridMultilevel"/>
    <w:tmpl w:val="440048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B85195"/>
    <w:multiLevelType w:val="hybridMultilevel"/>
    <w:tmpl w:val="C090C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261CC"/>
    <w:multiLevelType w:val="multilevel"/>
    <w:tmpl w:val="39F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920D6B"/>
    <w:multiLevelType w:val="multilevel"/>
    <w:tmpl w:val="DD70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52522">
    <w:abstractNumId w:val="2"/>
  </w:num>
  <w:num w:numId="2" w16cid:durableId="475223522">
    <w:abstractNumId w:val="0"/>
  </w:num>
  <w:num w:numId="3" w16cid:durableId="1412776768">
    <w:abstractNumId w:val="1"/>
  </w:num>
  <w:num w:numId="4" w16cid:durableId="1382632983">
    <w:abstractNumId w:val="6"/>
  </w:num>
  <w:num w:numId="5" w16cid:durableId="216282997">
    <w:abstractNumId w:val="4"/>
  </w:num>
  <w:num w:numId="6" w16cid:durableId="366881410">
    <w:abstractNumId w:val="3"/>
  </w:num>
  <w:num w:numId="7" w16cid:durableId="1656058970">
    <w:abstractNumId w:val="8"/>
  </w:num>
  <w:num w:numId="8" w16cid:durableId="1629356737">
    <w:abstractNumId w:val="7"/>
  </w:num>
  <w:num w:numId="9" w16cid:durableId="20653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EF"/>
    <w:rsid w:val="0000511D"/>
    <w:rsid w:val="000079B4"/>
    <w:rsid w:val="0002113E"/>
    <w:rsid w:val="00031B2E"/>
    <w:rsid w:val="0005098B"/>
    <w:rsid w:val="00090C5D"/>
    <w:rsid w:val="000A320E"/>
    <w:rsid w:val="000A3347"/>
    <w:rsid w:val="000D16EA"/>
    <w:rsid w:val="001031CB"/>
    <w:rsid w:val="00120891"/>
    <w:rsid w:val="0015033C"/>
    <w:rsid w:val="00157FC4"/>
    <w:rsid w:val="00170746"/>
    <w:rsid w:val="00174663"/>
    <w:rsid w:val="00177232"/>
    <w:rsid w:val="00194E44"/>
    <w:rsid w:val="0019768C"/>
    <w:rsid w:val="001B5055"/>
    <w:rsid w:val="001B63A7"/>
    <w:rsid w:val="001F0AE3"/>
    <w:rsid w:val="001F298A"/>
    <w:rsid w:val="00205FEB"/>
    <w:rsid w:val="00211B1E"/>
    <w:rsid w:val="00265642"/>
    <w:rsid w:val="00276C74"/>
    <w:rsid w:val="002A37D1"/>
    <w:rsid w:val="002B7CEC"/>
    <w:rsid w:val="002E1245"/>
    <w:rsid w:val="002E7CCA"/>
    <w:rsid w:val="003134EF"/>
    <w:rsid w:val="00326B40"/>
    <w:rsid w:val="003B518D"/>
    <w:rsid w:val="00403783"/>
    <w:rsid w:val="00413EB8"/>
    <w:rsid w:val="00470BF3"/>
    <w:rsid w:val="00473D9A"/>
    <w:rsid w:val="00475F44"/>
    <w:rsid w:val="0048173B"/>
    <w:rsid w:val="004E064D"/>
    <w:rsid w:val="00501BF9"/>
    <w:rsid w:val="005317F1"/>
    <w:rsid w:val="005577EE"/>
    <w:rsid w:val="00583E5A"/>
    <w:rsid w:val="005E243F"/>
    <w:rsid w:val="00602471"/>
    <w:rsid w:val="00616DAB"/>
    <w:rsid w:val="006173BB"/>
    <w:rsid w:val="00640368"/>
    <w:rsid w:val="00645C8F"/>
    <w:rsid w:val="00673CE9"/>
    <w:rsid w:val="006A1C8E"/>
    <w:rsid w:val="006C79B0"/>
    <w:rsid w:val="006D3A5C"/>
    <w:rsid w:val="006D69A7"/>
    <w:rsid w:val="006E0B8C"/>
    <w:rsid w:val="00721975"/>
    <w:rsid w:val="007355DF"/>
    <w:rsid w:val="00751E5F"/>
    <w:rsid w:val="00766DFF"/>
    <w:rsid w:val="007812B8"/>
    <w:rsid w:val="007A49C0"/>
    <w:rsid w:val="007D6937"/>
    <w:rsid w:val="007E186D"/>
    <w:rsid w:val="007F59C2"/>
    <w:rsid w:val="008235E5"/>
    <w:rsid w:val="00825BD2"/>
    <w:rsid w:val="00877E66"/>
    <w:rsid w:val="008E30DC"/>
    <w:rsid w:val="00962710"/>
    <w:rsid w:val="0098533B"/>
    <w:rsid w:val="0098678E"/>
    <w:rsid w:val="009923AD"/>
    <w:rsid w:val="009A28DB"/>
    <w:rsid w:val="009C631A"/>
    <w:rsid w:val="009E0E6B"/>
    <w:rsid w:val="009F08BD"/>
    <w:rsid w:val="00A35578"/>
    <w:rsid w:val="00A35AD8"/>
    <w:rsid w:val="00A47A57"/>
    <w:rsid w:val="00A63F2C"/>
    <w:rsid w:val="00A866A8"/>
    <w:rsid w:val="00A92BBE"/>
    <w:rsid w:val="00A93057"/>
    <w:rsid w:val="00AB4972"/>
    <w:rsid w:val="00AB6593"/>
    <w:rsid w:val="00AE6834"/>
    <w:rsid w:val="00AF1FC5"/>
    <w:rsid w:val="00B33907"/>
    <w:rsid w:val="00B46F2B"/>
    <w:rsid w:val="00B53A14"/>
    <w:rsid w:val="00B62888"/>
    <w:rsid w:val="00B9644E"/>
    <w:rsid w:val="00BA561B"/>
    <w:rsid w:val="00BE7DAC"/>
    <w:rsid w:val="00C115C1"/>
    <w:rsid w:val="00C15D09"/>
    <w:rsid w:val="00C63835"/>
    <w:rsid w:val="00C71F81"/>
    <w:rsid w:val="00C725F2"/>
    <w:rsid w:val="00C72E55"/>
    <w:rsid w:val="00C755F2"/>
    <w:rsid w:val="00C95B55"/>
    <w:rsid w:val="00CA4174"/>
    <w:rsid w:val="00CA55ED"/>
    <w:rsid w:val="00CB4AE7"/>
    <w:rsid w:val="00CE5CDB"/>
    <w:rsid w:val="00D02F58"/>
    <w:rsid w:val="00D065B3"/>
    <w:rsid w:val="00D60C44"/>
    <w:rsid w:val="00D82D2E"/>
    <w:rsid w:val="00D8358E"/>
    <w:rsid w:val="00DB12AA"/>
    <w:rsid w:val="00DD799D"/>
    <w:rsid w:val="00DE4F4C"/>
    <w:rsid w:val="00DE7252"/>
    <w:rsid w:val="00E10D96"/>
    <w:rsid w:val="00E202AA"/>
    <w:rsid w:val="00E2484B"/>
    <w:rsid w:val="00E34802"/>
    <w:rsid w:val="00E56513"/>
    <w:rsid w:val="00EA138B"/>
    <w:rsid w:val="00EA6AF9"/>
    <w:rsid w:val="00EF3276"/>
    <w:rsid w:val="00F3409C"/>
    <w:rsid w:val="00FC585E"/>
    <w:rsid w:val="00FF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CA66"/>
  <w15:chartTrackingRefBased/>
  <w15:docId w15:val="{4FC737FF-CAAB-42F5-949D-0BFB9014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8"/>
    <w:semiHidden/>
    <w:qFormat/>
    <w:rsid w:val="00A92BBE"/>
    <w:pPr>
      <w:spacing w:after="240" w:line="276" w:lineRule="auto"/>
    </w:pPr>
    <w:rPr>
      <w:sz w:val="24"/>
    </w:rPr>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uiPriority w:val="9"/>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0A320E"/>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7"/>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ListParagraph">
    <w:name w:val="List Paragraph"/>
    <w:basedOn w:val="Normal"/>
    <w:uiPriority w:val="34"/>
    <w:qFormat/>
    <w:rsid w:val="00962710"/>
    <w:pPr>
      <w:spacing w:after="160" w:line="259" w:lineRule="auto"/>
      <w:ind w:left="720"/>
      <w:contextualSpacing/>
    </w:pPr>
    <w:rPr>
      <w:sz w:val="22"/>
    </w:rPr>
  </w:style>
  <w:style w:type="paragraph" w:customStyle="1" w:styleId="Default">
    <w:name w:val="Default"/>
    <w:rsid w:val="0096271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F298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3620">
      <w:bodyDiv w:val="1"/>
      <w:marLeft w:val="0"/>
      <w:marRight w:val="0"/>
      <w:marTop w:val="0"/>
      <w:marBottom w:val="0"/>
      <w:divBdr>
        <w:top w:val="none" w:sz="0" w:space="0" w:color="auto"/>
        <w:left w:val="none" w:sz="0" w:space="0" w:color="auto"/>
        <w:bottom w:val="none" w:sz="0" w:space="0" w:color="auto"/>
        <w:right w:val="none" w:sz="0" w:space="0" w:color="auto"/>
      </w:divBdr>
    </w:div>
    <w:div w:id="15483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immigration-rules/immigration-rules-appendix-victim-of-domestic-abu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16499/Clarification_of_immigration_funding_in_trafficking_cas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legal-aid/funding-for-exceptional-ca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cloud-platform-e218f50a4812967ba1215eaecede923f.s3.amazonaws.com%2Fuploads%2Fsites%2F47%2F2024%2F10%2FIA-Key-card-2-NABA-Changes.docx&amp;wdOrigin=BROWSELI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media/66d0789c011f08ebe0502c98/Guidance_for_Reporting_Controlled_Work_V36_1_September_2024.pdf" TargetMode="External"/><Relationship Id="rId23" Type="http://schemas.openxmlformats.org/officeDocument/2006/relationships/fontTable" Target="fontTable.xml"/><Relationship Id="rId10" Type="http://schemas.openxmlformats.org/officeDocument/2006/relationships/hyperlink" Target="https://assets.publishing.service.gov.uk/media/635ab670e90e070bc2faa806/ECF_Provider_Pack_September_2022_Amendment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statistics/legal-aid-statistics-quarterly-april-to-june-2024/legal-aid-statistics-england-and-wales-bulletin-apr-to-jun-2024" TargetMode="External"/><Relationship Id="rId14" Type="http://schemas.openxmlformats.org/officeDocument/2006/relationships/hyperlink" Target="https://assets.publishing.service.gov.uk/media/66a9ff2d0808eaf43b50da63/4_8_2024_Immigration_and_Asylum_Category_Specific_Rules.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q65q\Downloads\laa-word-template-green%20(2).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laa-word-template-green (2)</Template>
  <TotalTime>353</TotalTime>
  <Pages>1</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[Title]</vt:lpstr>
    </vt:vector>
  </TitlesOfParts>
  <Manager>Legal Aid Agency</Manager>
  <Company>Legal Aid Agency</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or description]</dc:subject>
  <dc:creator>Goddard, Tammy | She/Hers</dc:creator>
  <cp:keywords>[Key words separated by commas]</cp:keywords>
  <dc:description/>
  <cp:lastModifiedBy>Facey, John (LAA)</cp:lastModifiedBy>
  <cp:revision>78</cp:revision>
  <dcterms:created xsi:type="dcterms:W3CDTF">2025-06-03T09:55:00Z</dcterms:created>
  <dcterms:modified xsi:type="dcterms:W3CDTF">2025-06-04T07:47:00Z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66f42e59,332c5b0f,9a8291b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460bb5a2,5d0c4e84,5dcaf0cf</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2025-06-03T14:45:09Z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7df92655-af04-4eac-ade5-6b8b3b0fd9ea</vt:lpwstr>
  </property>
  <property fmtid="{D5CDD505-2E9C-101B-9397-08002B2CF9AE}" pid="14" name="MSIP_Label_eed1d2f5-2977-4ce1-839d-57a403841e1f_ContentBits">
    <vt:lpwstr>3</vt:lpwstr>
  </property>
  <property fmtid="{D5CDD505-2E9C-101B-9397-08002B2CF9AE}" pid="15" name="MSIP_Label_eed1d2f5-2977-4ce1-839d-57a403841e1f_Tag">
    <vt:lpwstr>10, 0, 1, 1</vt:lpwstr>
  </property>
</Properties>
</file>