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9DA8A" w14:textId="1FD3F716" w:rsidR="00C755F2" w:rsidRDefault="00E22A5A" w:rsidP="00C755F2">
      <w:pPr>
        <w:pStyle w:val="BodyText"/>
        <w:spacing w:after="1400"/>
      </w:pPr>
      <w:r>
        <w:rPr>
          <w:noProof/>
        </w:rPr>
        <w:drawing>
          <wp:anchor distT="0" distB="0" distL="114300" distR="114300" simplePos="0" relativeHeight="251658242" behindDoc="0" locked="0" layoutInCell="1" allowOverlap="1" wp14:anchorId="21BAD5E5" wp14:editId="730B8E84">
            <wp:simplePos x="0" y="0"/>
            <wp:positionH relativeFrom="margin">
              <wp:align>left</wp:align>
            </wp:positionH>
            <wp:positionV relativeFrom="page">
              <wp:posOffset>781050</wp:posOffset>
            </wp:positionV>
            <wp:extent cx="1226185" cy="1070610"/>
            <wp:effectExtent l="0" t="0" r="0" b="0"/>
            <wp:wrapNone/>
            <wp:docPr id="4" name="Picture 4" descr="Legal aid agency (LA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gal aid agency (LAA) coat of arms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6185" cy="1070610"/>
                    </a:xfrm>
                    <a:prstGeom prst="rect">
                      <a:avLst/>
                    </a:prstGeom>
                    <a:noFill/>
                    <a:ln>
                      <a:noFill/>
                    </a:ln>
                  </pic:spPr>
                </pic:pic>
              </a:graphicData>
            </a:graphic>
          </wp:anchor>
        </w:drawing>
      </w:r>
      <w:r w:rsidR="00230CE2">
        <w:rPr>
          <w:noProof/>
        </w:rPr>
        <w:drawing>
          <wp:anchor distT="0" distB="0" distL="114300" distR="114300" simplePos="0" relativeHeight="251658241" behindDoc="1" locked="0" layoutInCell="1" allowOverlap="1" wp14:anchorId="47D8D6EE" wp14:editId="400A213D">
            <wp:simplePos x="914400" y="914400"/>
            <wp:positionH relativeFrom="page">
              <wp:align>left</wp:align>
            </wp:positionH>
            <wp:positionV relativeFrom="page">
              <wp:align>top</wp:align>
            </wp:positionV>
            <wp:extent cx="7558766" cy="10691997"/>
            <wp:effectExtent l="0" t="0" r="4445" b="0"/>
            <wp:wrapNone/>
            <wp:docPr id="1" name="Picture 1" descr="Providing access to justice through working with others to achieve excellence in the delivery of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viding access to justice through working with others to achieve excellence in the delivery of legal ai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6" cy="10691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B46BE" w14:textId="77777777" w:rsidR="00AC34F8" w:rsidRDefault="00AC34F8" w:rsidP="00EC7005">
      <w:pPr>
        <w:pStyle w:val="Title"/>
      </w:pPr>
    </w:p>
    <w:p w14:paraId="01C58B18" w14:textId="7567E020" w:rsidR="00EC7005" w:rsidRDefault="00AC34F8" w:rsidP="00EC7005">
      <w:pPr>
        <w:pStyle w:val="Title"/>
      </w:pPr>
      <w:r>
        <w:t>Service development</w:t>
      </w:r>
      <w:r w:rsidR="00A11276">
        <w:t>:</w:t>
      </w:r>
      <w:r w:rsidR="00EC7005">
        <w:t xml:space="preserve"> #HelpUsSayYes </w:t>
      </w:r>
      <w:r w:rsidR="007C0D77">
        <w:t>webinar</w:t>
      </w:r>
      <w:r w:rsidR="00EC7005">
        <w:t>: Your questions</w:t>
      </w:r>
    </w:p>
    <w:p w14:paraId="5A32D27E" w14:textId="337AE059" w:rsidR="0073662A" w:rsidRDefault="00AC34F8" w:rsidP="006D69A7">
      <w:pPr>
        <w:pStyle w:val="Date"/>
        <w:rPr>
          <w:rFonts w:eastAsiaTheme="minorEastAsia"/>
          <w:b/>
          <w:sz w:val="48"/>
        </w:rPr>
      </w:pPr>
      <w:r>
        <w:rPr>
          <w:rFonts w:eastAsiaTheme="minorEastAsia"/>
          <w:b/>
          <w:sz w:val="48"/>
        </w:rPr>
        <w:t xml:space="preserve">Crime </w:t>
      </w:r>
      <w:r w:rsidR="00745E3E">
        <w:rPr>
          <w:rFonts w:eastAsiaTheme="minorEastAsia"/>
          <w:b/>
          <w:sz w:val="48"/>
        </w:rPr>
        <w:t>C</w:t>
      </w:r>
      <w:r>
        <w:rPr>
          <w:rFonts w:eastAsiaTheme="minorEastAsia"/>
          <w:b/>
          <w:sz w:val="48"/>
        </w:rPr>
        <w:t>ontract 2025</w:t>
      </w:r>
    </w:p>
    <w:p w14:paraId="33498815" w14:textId="77777777" w:rsidR="0073662A" w:rsidRDefault="0073662A" w:rsidP="006D69A7">
      <w:pPr>
        <w:pStyle w:val="Date"/>
        <w:rPr>
          <w:rFonts w:eastAsiaTheme="minorEastAsia"/>
          <w:b/>
          <w:sz w:val="48"/>
        </w:rPr>
      </w:pPr>
    </w:p>
    <w:p w14:paraId="268E03BA" w14:textId="481800A2" w:rsidR="0015033C" w:rsidRDefault="00AC34F8" w:rsidP="006D69A7">
      <w:pPr>
        <w:pStyle w:val="Date"/>
      </w:pPr>
      <w:r>
        <w:t>October</w:t>
      </w:r>
      <w:r w:rsidR="00A11276">
        <w:t xml:space="preserve"> 2025</w:t>
      </w:r>
    </w:p>
    <w:p w14:paraId="3131AEB1" w14:textId="77777777" w:rsidR="006D69A7" w:rsidRDefault="006D69A7" w:rsidP="006D69A7">
      <w:pPr>
        <w:pStyle w:val="Date"/>
      </w:pPr>
    </w:p>
    <w:p w14:paraId="5A079803" w14:textId="77777777" w:rsidR="00EA6AF9" w:rsidRDefault="00EA6AF9" w:rsidP="00EA6AF9">
      <w:pPr>
        <w:pStyle w:val="BodyText"/>
      </w:pPr>
    </w:p>
    <w:p w14:paraId="67A5C0C6" w14:textId="642D2E7C" w:rsidR="00B33907" w:rsidRDefault="00EA6AF9" w:rsidP="00EA6AF9">
      <w:pPr>
        <w:pStyle w:val="BodyText"/>
      </w:pPr>
      <w:r>
        <w:br w:type="page"/>
      </w:r>
    </w:p>
    <w:p w14:paraId="036AEA30" w14:textId="77777777" w:rsidR="006D69A7" w:rsidRDefault="00673CE9" w:rsidP="00673CE9">
      <w:pPr>
        <w:pStyle w:val="TOCHeading"/>
      </w:pPr>
      <w:r>
        <w:lastRenderedPageBreak/>
        <w:t>Contents</w:t>
      </w:r>
    </w:p>
    <w:p w14:paraId="37A6D36F" w14:textId="5A30EDA0" w:rsidR="00D60B93" w:rsidRDefault="00BF101D" w:rsidP="00D60B93">
      <w:pPr>
        <w:pStyle w:val="TOC1"/>
        <w:tabs>
          <w:tab w:val="right" w:pos="9628"/>
        </w:tabs>
      </w:pPr>
      <w:r>
        <w:t>Verification and audit activity</w:t>
      </w:r>
      <w:r w:rsidR="002458DE">
        <w:tab/>
        <w:t>3</w:t>
      </w:r>
    </w:p>
    <w:p w14:paraId="067A4E1B" w14:textId="03C89EAF" w:rsidR="002458DE" w:rsidRDefault="00EF69A9" w:rsidP="002458DE">
      <w:pPr>
        <w:pStyle w:val="TOC1"/>
        <w:tabs>
          <w:tab w:val="right" w:pos="9628"/>
        </w:tabs>
      </w:pPr>
      <w:r>
        <w:t>Off</w:t>
      </w:r>
      <w:r w:rsidR="00CD7308">
        <w:t>ice requirements</w:t>
      </w:r>
      <w:r w:rsidR="002458DE">
        <w:tab/>
      </w:r>
      <w:r w:rsidR="00CD7308">
        <w:t>4</w:t>
      </w:r>
    </w:p>
    <w:p w14:paraId="7B8851AF" w14:textId="2EBB4524" w:rsidR="00942A6C" w:rsidRDefault="00CD7308" w:rsidP="00942A6C">
      <w:pPr>
        <w:pStyle w:val="TOC1"/>
        <w:tabs>
          <w:tab w:val="right" w:pos="9628"/>
        </w:tabs>
      </w:pPr>
      <w:r>
        <w:t>Supervision</w:t>
      </w:r>
      <w:r w:rsidR="007533B4">
        <w:t xml:space="preserve"> </w:t>
      </w:r>
      <w:r w:rsidR="00942A6C">
        <w:tab/>
      </w:r>
      <w:r>
        <w:t>5</w:t>
      </w:r>
    </w:p>
    <w:p w14:paraId="3529A527" w14:textId="2F49DDE6" w:rsidR="00CF2FE6" w:rsidRDefault="00805A53" w:rsidP="00CF2FE6">
      <w:pPr>
        <w:pStyle w:val="TOC1"/>
        <w:tabs>
          <w:tab w:val="right" w:pos="9628"/>
        </w:tabs>
      </w:pPr>
      <w:r>
        <w:t>D</w:t>
      </w:r>
      <w:r w:rsidR="009D1959">
        <w:t>uty solicitor rules</w:t>
      </w:r>
      <w:r w:rsidR="00CF2FE6">
        <w:tab/>
      </w:r>
      <w:r w:rsidR="009D1959">
        <w:t>8</w:t>
      </w:r>
    </w:p>
    <w:p w14:paraId="4F42533E" w14:textId="753FE35F" w:rsidR="009D1959" w:rsidRDefault="009D1959" w:rsidP="009D1959">
      <w:pPr>
        <w:pStyle w:val="TOC1"/>
        <w:tabs>
          <w:tab w:val="right" w:pos="9628"/>
        </w:tabs>
      </w:pPr>
      <w:r>
        <w:t>Accredited representatives and designated fee earners</w:t>
      </w:r>
      <w:r>
        <w:t xml:space="preserve"> </w:t>
      </w:r>
      <w:r>
        <w:tab/>
      </w:r>
      <w:r>
        <w:t>11</w:t>
      </w:r>
    </w:p>
    <w:p w14:paraId="3E804212" w14:textId="1461F528" w:rsidR="009D1959" w:rsidRDefault="009D1959" w:rsidP="009D1959">
      <w:pPr>
        <w:pStyle w:val="TOC1"/>
        <w:tabs>
          <w:tab w:val="right" w:pos="9628"/>
        </w:tabs>
      </w:pPr>
      <w:r>
        <w:t>Conducting police station advice</w:t>
      </w:r>
      <w:r>
        <w:tab/>
      </w:r>
      <w:r>
        <w:t>12</w:t>
      </w:r>
    </w:p>
    <w:p w14:paraId="7F249393" w14:textId="1DF221DB" w:rsidR="009D1959" w:rsidRDefault="009D1959" w:rsidP="009D1959">
      <w:pPr>
        <w:pStyle w:val="TOC1"/>
        <w:tabs>
          <w:tab w:val="right" w:pos="9628"/>
        </w:tabs>
      </w:pPr>
      <w:r>
        <w:t>Claiming</w:t>
      </w:r>
      <w:r>
        <w:t xml:space="preserve"> </w:t>
      </w:r>
      <w:r>
        <w:tab/>
        <w:t>1</w:t>
      </w:r>
      <w:r>
        <w:t>3</w:t>
      </w:r>
    </w:p>
    <w:p w14:paraId="393E7C78" w14:textId="0AF993AF" w:rsidR="009D1959" w:rsidRDefault="009D1959" w:rsidP="009D1959">
      <w:pPr>
        <w:pStyle w:val="TOC1"/>
        <w:tabs>
          <w:tab w:val="right" w:pos="9628"/>
        </w:tabs>
      </w:pPr>
      <w:r>
        <w:t>Remuneration</w:t>
      </w:r>
      <w:r>
        <w:tab/>
        <w:t>1</w:t>
      </w:r>
      <w:r>
        <w:t>4</w:t>
      </w:r>
    </w:p>
    <w:p w14:paraId="0AA6A50A" w14:textId="5D5EDAD4" w:rsidR="009D1959" w:rsidRDefault="009D1959" w:rsidP="009D1959">
      <w:pPr>
        <w:pStyle w:val="TOC1"/>
        <w:tabs>
          <w:tab w:val="right" w:pos="9628"/>
        </w:tabs>
      </w:pPr>
      <w:r>
        <w:t xml:space="preserve">Quality </w:t>
      </w:r>
      <w:r w:rsidR="005E7524">
        <w:t>standards</w:t>
      </w:r>
      <w:r>
        <w:tab/>
        <w:t>1</w:t>
      </w:r>
      <w:r w:rsidR="005E7524">
        <w:t>5</w:t>
      </w:r>
    </w:p>
    <w:p w14:paraId="361622FC" w14:textId="668736B4" w:rsidR="009D1959" w:rsidRDefault="005E7524" w:rsidP="009D1959">
      <w:pPr>
        <w:pStyle w:val="TOC1"/>
        <w:tabs>
          <w:tab w:val="right" w:pos="9628"/>
        </w:tabs>
      </w:pPr>
      <w:r>
        <w:t>Peer review</w:t>
      </w:r>
      <w:r w:rsidR="009D1959">
        <w:t xml:space="preserve"> </w:t>
      </w:r>
      <w:r w:rsidR="009D1959">
        <w:tab/>
        <w:t>1</w:t>
      </w:r>
      <w:r>
        <w:t>6</w:t>
      </w:r>
    </w:p>
    <w:p w14:paraId="0A48F9CA" w14:textId="40A3F4A3" w:rsidR="009D1959" w:rsidRDefault="005E7524" w:rsidP="009D1959">
      <w:pPr>
        <w:pStyle w:val="TOC1"/>
        <w:tabs>
          <w:tab w:val="right" w:pos="9628"/>
        </w:tabs>
      </w:pPr>
      <w:r>
        <w:t>File ret</w:t>
      </w:r>
      <w:r w:rsidR="00662795">
        <w:t>ention</w:t>
      </w:r>
      <w:r w:rsidR="009D1959">
        <w:tab/>
        <w:t>1</w:t>
      </w:r>
      <w:r>
        <w:t>7</w:t>
      </w:r>
    </w:p>
    <w:p w14:paraId="6D22B9EC" w14:textId="5DDC442D" w:rsidR="00662795" w:rsidRDefault="00662795" w:rsidP="00662795">
      <w:pPr>
        <w:pStyle w:val="TOC1"/>
        <w:tabs>
          <w:tab w:val="right" w:pos="9628"/>
        </w:tabs>
      </w:pPr>
      <w:r>
        <w:t>Guidance and resources</w:t>
      </w:r>
      <w:r>
        <w:tab/>
        <w:t>1</w:t>
      </w:r>
      <w:r>
        <w:t>8</w:t>
      </w:r>
    </w:p>
    <w:p w14:paraId="29F9BF0A" w14:textId="77777777" w:rsidR="00662795" w:rsidRPr="00662795" w:rsidRDefault="00662795" w:rsidP="00662795">
      <w:pPr>
        <w:pStyle w:val="BodyText"/>
      </w:pPr>
    </w:p>
    <w:p w14:paraId="48F2189A" w14:textId="77777777" w:rsidR="009D1959" w:rsidRPr="009D1959" w:rsidRDefault="009D1959" w:rsidP="009D1959">
      <w:pPr>
        <w:pStyle w:val="BodyText"/>
      </w:pPr>
    </w:p>
    <w:p w14:paraId="2E549D55" w14:textId="77777777" w:rsidR="009D1959" w:rsidRPr="009D1959" w:rsidRDefault="009D1959" w:rsidP="009D1959">
      <w:pPr>
        <w:pStyle w:val="BodyText"/>
      </w:pPr>
    </w:p>
    <w:p w14:paraId="2A0CFC93" w14:textId="77777777" w:rsidR="009D1959" w:rsidRPr="009D1959" w:rsidRDefault="009D1959" w:rsidP="009D1959">
      <w:pPr>
        <w:pStyle w:val="BodyText"/>
      </w:pPr>
    </w:p>
    <w:p w14:paraId="71DE61A5" w14:textId="77777777" w:rsidR="002458DE" w:rsidRDefault="002458DE" w:rsidP="002458DE">
      <w:pPr>
        <w:pStyle w:val="BodyText"/>
      </w:pPr>
    </w:p>
    <w:p w14:paraId="253C8CF1" w14:textId="336CCF98" w:rsidR="009D1959" w:rsidRPr="002458DE" w:rsidRDefault="009D1959" w:rsidP="002458DE">
      <w:pPr>
        <w:pStyle w:val="BodyText"/>
      </w:pPr>
    </w:p>
    <w:p w14:paraId="47856AA1" w14:textId="7A83E7EE" w:rsidR="00501BF9" w:rsidRDefault="009D1959" w:rsidP="00501BF9">
      <w:pPr>
        <w:pStyle w:val="Heading1"/>
      </w:pPr>
      <w:r>
        <w:lastRenderedPageBreak/>
        <w:t>V</w:t>
      </w:r>
      <w:r w:rsidR="00BF101D">
        <w:t>erification and audit activity</w:t>
      </w:r>
    </w:p>
    <w:p w14:paraId="5A5E23B8" w14:textId="77777777" w:rsidR="00B4485A" w:rsidRPr="00B4485A" w:rsidRDefault="00B4485A" w:rsidP="00B4485A">
      <w:pPr>
        <w:rPr>
          <w:rFonts w:cstheme="minorHAnsi"/>
          <w:b/>
          <w:bCs/>
          <w:sz w:val="24"/>
          <w:szCs w:val="24"/>
        </w:rPr>
      </w:pPr>
      <w:r w:rsidRPr="00B4485A">
        <w:rPr>
          <w:rFonts w:cstheme="minorHAnsi"/>
          <w:b/>
          <w:bCs/>
          <w:sz w:val="24"/>
          <w:szCs w:val="24"/>
        </w:rPr>
        <w:t>Q: What is the verification timeframe for new providers who submit an application during the contract period?</w:t>
      </w:r>
    </w:p>
    <w:p w14:paraId="688D3A16" w14:textId="77777777" w:rsidR="00B4485A" w:rsidRPr="00B4485A" w:rsidRDefault="00B4485A" w:rsidP="00B4485A">
      <w:pPr>
        <w:rPr>
          <w:rFonts w:cstheme="minorHAnsi"/>
          <w:sz w:val="24"/>
          <w:szCs w:val="24"/>
        </w:rPr>
      </w:pPr>
      <w:r w:rsidRPr="00B4485A">
        <w:rPr>
          <w:rFonts w:cstheme="minorHAnsi"/>
          <w:b/>
          <w:bCs/>
          <w:sz w:val="24"/>
          <w:szCs w:val="24"/>
        </w:rPr>
        <w:t xml:space="preserve">A: </w:t>
      </w:r>
      <w:r w:rsidRPr="00B4485A">
        <w:rPr>
          <w:rFonts w:cstheme="minorHAnsi"/>
          <w:sz w:val="24"/>
          <w:szCs w:val="24"/>
        </w:rPr>
        <w:t>We will carry out initial verification within two weeks of receiving your application. Following this, your LAA contract manager will complete a full compliance check within three months of your contract’s start date.</w:t>
      </w:r>
    </w:p>
    <w:p w14:paraId="0CFA3B95" w14:textId="77777777" w:rsidR="00B4485A" w:rsidRPr="00B4485A" w:rsidRDefault="00B4485A" w:rsidP="00B4485A">
      <w:pPr>
        <w:rPr>
          <w:rFonts w:cstheme="minorHAnsi"/>
          <w:b/>
          <w:sz w:val="24"/>
          <w:szCs w:val="24"/>
        </w:rPr>
      </w:pPr>
      <w:r w:rsidRPr="00B4485A">
        <w:rPr>
          <w:rFonts w:cstheme="minorHAnsi"/>
          <w:b/>
          <w:bCs/>
          <w:sz w:val="24"/>
          <w:szCs w:val="24"/>
        </w:rPr>
        <w:t>Q: Does a contract manager have to visit us every year?</w:t>
      </w:r>
    </w:p>
    <w:p w14:paraId="76CC7195" w14:textId="77777777" w:rsidR="00B4485A" w:rsidRPr="00B4485A" w:rsidRDefault="00B4485A" w:rsidP="00B4485A">
      <w:pPr>
        <w:rPr>
          <w:rFonts w:cstheme="minorHAnsi"/>
          <w:sz w:val="24"/>
          <w:szCs w:val="24"/>
        </w:rPr>
      </w:pPr>
      <w:r w:rsidRPr="00B4485A">
        <w:rPr>
          <w:rFonts w:cstheme="minorHAnsi"/>
          <w:b/>
          <w:bCs/>
          <w:sz w:val="24"/>
          <w:szCs w:val="24"/>
        </w:rPr>
        <w:t xml:space="preserve">A: </w:t>
      </w:r>
      <w:r w:rsidRPr="00B4485A">
        <w:rPr>
          <w:rFonts w:cstheme="minorHAnsi"/>
          <w:sz w:val="24"/>
          <w:szCs w:val="24"/>
        </w:rPr>
        <w:t xml:space="preserve">LAA contract managers typically visit each firm once a year to carry out a review. For further details about the different types of checks or audits the LAA may carry out, please refer to the </w:t>
      </w:r>
      <w:hyperlink r:id="rId13" w:history="1">
        <w:r w:rsidRPr="00B4485A">
          <w:rPr>
            <w:rStyle w:val="Hyperlink"/>
            <w:rFonts w:cstheme="minorHAnsi"/>
            <w:sz w:val="24"/>
            <w:szCs w:val="24"/>
          </w:rPr>
          <w:t>LAA_List_of_Audit_and_Assurance_Activities_2025.pdf</w:t>
        </w:r>
      </w:hyperlink>
    </w:p>
    <w:p w14:paraId="3E1BE2C6" w14:textId="77777777" w:rsidR="00DD7523" w:rsidRDefault="00DD7523" w:rsidP="00EF2AFE">
      <w:pPr>
        <w:rPr>
          <w:rFonts w:ascii="Arial" w:hAnsi="Arial" w:cs="Arial"/>
          <w:b/>
          <w:bCs/>
          <w:sz w:val="24"/>
          <w:szCs w:val="24"/>
        </w:rPr>
      </w:pPr>
    </w:p>
    <w:p w14:paraId="3DFFBDEF" w14:textId="77777777" w:rsidR="00DD7523" w:rsidRDefault="00DD7523" w:rsidP="00EF2AFE">
      <w:pPr>
        <w:rPr>
          <w:rFonts w:ascii="Arial" w:hAnsi="Arial" w:cs="Arial"/>
          <w:b/>
          <w:bCs/>
          <w:sz w:val="24"/>
          <w:szCs w:val="24"/>
        </w:rPr>
      </w:pPr>
    </w:p>
    <w:p w14:paraId="324DCA7C" w14:textId="77777777" w:rsidR="00DD7523" w:rsidRDefault="00DD7523" w:rsidP="00EF2AFE">
      <w:pPr>
        <w:rPr>
          <w:rFonts w:ascii="Arial" w:hAnsi="Arial" w:cs="Arial"/>
          <w:b/>
          <w:bCs/>
          <w:sz w:val="24"/>
          <w:szCs w:val="24"/>
        </w:rPr>
      </w:pPr>
    </w:p>
    <w:p w14:paraId="42F56835" w14:textId="77777777" w:rsidR="00DD7523" w:rsidRDefault="00DD7523" w:rsidP="00EF2AFE">
      <w:pPr>
        <w:rPr>
          <w:rFonts w:ascii="Arial" w:hAnsi="Arial" w:cs="Arial"/>
          <w:b/>
          <w:bCs/>
          <w:sz w:val="24"/>
          <w:szCs w:val="24"/>
        </w:rPr>
      </w:pPr>
    </w:p>
    <w:p w14:paraId="5E8D6487" w14:textId="77777777" w:rsidR="00DD7523" w:rsidRDefault="00DD7523" w:rsidP="00EF2AFE">
      <w:pPr>
        <w:rPr>
          <w:rFonts w:ascii="Arial" w:hAnsi="Arial" w:cs="Arial"/>
          <w:b/>
          <w:bCs/>
          <w:sz w:val="24"/>
          <w:szCs w:val="24"/>
        </w:rPr>
      </w:pPr>
    </w:p>
    <w:p w14:paraId="201B7D10" w14:textId="77777777" w:rsidR="00DD7523" w:rsidRDefault="00DD7523" w:rsidP="00EF2AFE">
      <w:pPr>
        <w:rPr>
          <w:rFonts w:ascii="Arial" w:hAnsi="Arial" w:cs="Arial"/>
          <w:b/>
          <w:bCs/>
          <w:sz w:val="24"/>
          <w:szCs w:val="24"/>
        </w:rPr>
      </w:pPr>
    </w:p>
    <w:p w14:paraId="726A1411" w14:textId="77777777" w:rsidR="00DD7523" w:rsidRDefault="00DD7523" w:rsidP="00EF2AFE">
      <w:pPr>
        <w:rPr>
          <w:rFonts w:ascii="Arial" w:hAnsi="Arial" w:cs="Arial"/>
          <w:b/>
          <w:bCs/>
          <w:sz w:val="24"/>
          <w:szCs w:val="24"/>
        </w:rPr>
      </w:pPr>
    </w:p>
    <w:p w14:paraId="5057ADD4" w14:textId="77777777" w:rsidR="00DD7523" w:rsidRDefault="00DD7523" w:rsidP="00EF2AFE">
      <w:pPr>
        <w:rPr>
          <w:rFonts w:ascii="Arial" w:hAnsi="Arial" w:cs="Arial"/>
          <w:b/>
          <w:bCs/>
          <w:sz w:val="24"/>
          <w:szCs w:val="24"/>
        </w:rPr>
      </w:pPr>
    </w:p>
    <w:p w14:paraId="7F779AEC" w14:textId="77777777" w:rsidR="00DD7523" w:rsidRDefault="00DD7523" w:rsidP="00EF2AFE">
      <w:pPr>
        <w:rPr>
          <w:rFonts w:ascii="Arial" w:hAnsi="Arial" w:cs="Arial"/>
          <w:b/>
          <w:bCs/>
          <w:sz w:val="24"/>
          <w:szCs w:val="24"/>
        </w:rPr>
      </w:pPr>
    </w:p>
    <w:p w14:paraId="6F393261" w14:textId="77777777" w:rsidR="00DD7523" w:rsidRDefault="00DD7523" w:rsidP="00EF2AFE">
      <w:pPr>
        <w:rPr>
          <w:rFonts w:ascii="Arial" w:hAnsi="Arial" w:cs="Arial"/>
          <w:b/>
          <w:bCs/>
          <w:sz w:val="24"/>
          <w:szCs w:val="24"/>
        </w:rPr>
      </w:pPr>
    </w:p>
    <w:p w14:paraId="65E7EC23" w14:textId="77777777" w:rsidR="00DD7523" w:rsidRDefault="00DD7523" w:rsidP="00EF2AFE">
      <w:pPr>
        <w:rPr>
          <w:rFonts w:ascii="Arial" w:hAnsi="Arial" w:cs="Arial"/>
          <w:b/>
          <w:bCs/>
          <w:sz w:val="24"/>
          <w:szCs w:val="24"/>
        </w:rPr>
      </w:pPr>
    </w:p>
    <w:p w14:paraId="75C09048" w14:textId="77777777" w:rsidR="00DD7523" w:rsidRDefault="00DD7523" w:rsidP="00EF2AFE">
      <w:pPr>
        <w:rPr>
          <w:rFonts w:ascii="Arial" w:hAnsi="Arial" w:cs="Arial"/>
          <w:b/>
          <w:bCs/>
          <w:sz w:val="24"/>
          <w:szCs w:val="24"/>
        </w:rPr>
      </w:pPr>
    </w:p>
    <w:p w14:paraId="06AF8A74" w14:textId="77777777" w:rsidR="00DD7523" w:rsidRDefault="00DD7523" w:rsidP="00EF2AFE">
      <w:pPr>
        <w:rPr>
          <w:rFonts w:ascii="Arial" w:hAnsi="Arial" w:cs="Arial"/>
          <w:b/>
          <w:bCs/>
          <w:sz w:val="24"/>
          <w:szCs w:val="24"/>
        </w:rPr>
      </w:pPr>
    </w:p>
    <w:p w14:paraId="3D0D613D" w14:textId="77777777" w:rsidR="00DD7523" w:rsidRDefault="00DD7523" w:rsidP="00EF2AFE">
      <w:pPr>
        <w:rPr>
          <w:rFonts w:ascii="Arial" w:hAnsi="Arial" w:cs="Arial"/>
          <w:b/>
          <w:bCs/>
          <w:sz w:val="24"/>
          <w:szCs w:val="24"/>
        </w:rPr>
      </w:pPr>
    </w:p>
    <w:p w14:paraId="66F2E89D" w14:textId="77777777" w:rsidR="00DD7523" w:rsidRDefault="00DD7523" w:rsidP="00EF2AFE">
      <w:pPr>
        <w:rPr>
          <w:rFonts w:ascii="Arial" w:hAnsi="Arial" w:cs="Arial"/>
          <w:b/>
          <w:bCs/>
          <w:sz w:val="24"/>
          <w:szCs w:val="24"/>
        </w:rPr>
      </w:pPr>
    </w:p>
    <w:p w14:paraId="2570A851" w14:textId="77777777" w:rsidR="00DD7523" w:rsidRDefault="00DD7523" w:rsidP="00EF2AFE">
      <w:pPr>
        <w:rPr>
          <w:rFonts w:ascii="Arial" w:hAnsi="Arial" w:cs="Arial"/>
          <w:b/>
          <w:bCs/>
          <w:sz w:val="24"/>
          <w:szCs w:val="24"/>
        </w:rPr>
      </w:pPr>
    </w:p>
    <w:p w14:paraId="0FAB309B" w14:textId="77777777" w:rsidR="00DD7523" w:rsidRDefault="00DD7523" w:rsidP="00EF2AFE">
      <w:pPr>
        <w:rPr>
          <w:rFonts w:ascii="Arial" w:hAnsi="Arial" w:cs="Arial"/>
          <w:b/>
          <w:bCs/>
          <w:sz w:val="24"/>
          <w:szCs w:val="24"/>
        </w:rPr>
      </w:pPr>
    </w:p>
    <w:p w14:paraId="4DC5A81A" w14:textId="77777777" w:rsidR="00DD7523" w:rsidRDefault="00DD7523" w:rsidP="00EF2AFE">
      <w:pPr>
        <w:rPr>
          <w:rFonts w:ascii="Arial" w:hAnsi="Arial" w:cs="Arial"/>
          <w:b/>
          <w:bCs/>
          <w:sz w:val="24"/>
          <w:szCs w:val="24"/>
        </w:rPr>
      </w:pPr>
    </w:p>
    <w:p w14:paraId="0BC7187B" w14:textId="77777777" w:rsidR="00DD7523" w:rsidRDefault="00DD7523" w:rsidP="00EF2AFE">
      <w:pPr>
        <w:rPr>
          <w:rFonts w:ascii="Arial" w:hAnsi="Arial" w:cs="Arial"/>
          <w:b/>
          <w:bCs/>
          <w:sz w:val="24"/>
          <w:szCs w:val="24"/>
        </w:rPr>
      </w:pPr>
    </w:p>
    <w:p w14:paraId="37DCEF8D" w14:textId="77777777" w:rsidR="00DD7523" w:rsidRDefault="00DD7523" w:rsidP="00EF2AFE">
      <w:pPr>
        <w:rPr>
          <w:rFonts w:ascii="Arial" w:hAnsi="Arial" w:cs="Arial"/>
          <w:b/>
          <w:bCs/>
          <w:sz w:val="24"/>
          <w:szCs w:val="24"/>
        </w:rPr>
      </w:pPr>
    </w:p>
    <w:p w14:paraId="3BB03FEC" w14:textId="6E05E4A6" w:rsidR="00DD7523" w:rsidRDefault="00EF69A9" w:rsidP="00DD7523">
      <w:pPr>
        <w:pStyle w:val="Heading1"/>
      </w:pPr>
      <w:r>
        <w:lastRenderedPageBreak/>
        <w:t>Off</w:t>
      </w:r>
      <w:r w:rsidR="00CD7308">
        <w:t>ice requirements</w:t>
      </w:r>
    </w:p>
    <w:p w14:paraId="2F97DBD4" w14:textId="77777777" w:rsidR="00CD7308" w:rsidRPr="00CD7308" w:rsidRDefault="00CD7308" w:rsidP="00CD7308">
      <w:pPr>
        <w:rPr>
          <w:rFonts w:cstheme="minorHAnsi"/>
          <w:b/>
          <w:sz w:val="24"/>
          <w:szCs w:val="24"/>
        </w:rPr>
      </w:pPr>
      <w:r w:rsidRPr="00CD7308">
        <w:rPr>
          <w:rFonts w:cstheme="minorHAnsi"/>
          <w:b/>
          <w:sz w:val="24"/>
          <w:szCs w:val="24"/>
        </w:rPr>
        <w:t xml:space="preserve">Q: </w:t>
      </w:r>
      <w:r w:rsidRPr="00CD7308">
        <w:rPr>
          <w:rFonts w:cstheme="minorHAnsi"/>
          <w:b/>
          <w:bCs/>
          <w:sz w:val="24"/>
          <w:szCs w:val="24"/>
        </w:rPr>
        <w:t>Which</w:t>
      </w:r>
      <w:r w:rsidRPr="00CD7308">
        <w:rPr>
          <w:rFonts w:cstheme="minorHAnsi"/>
          <w:b/>
          <w:sz w:val="24"/>
          <w:szCs w:val="24"/>
        </w:rPr>
        <w:t xml:space="preserve"> page was the </w:t>
      </w:r>
      <w:r w:rsidRPr="00CD7308">
        <w:rPr>
          <w:rFonts w:cstheme="minorHAnsi"/>
          <w:b/>
          <w:bCs/>
          <w:sz w:val="24"/>
          <w:szCs w:val="24"/>
        </w:rPr>
        <w:t>relocation</w:t>
      </w:r>
      <w:r w:rsidRPr="00CD7308">
        <w:rPr>
          <w:rFonts w:cstheme="minorHAnsi"/>
          <w:b/>
          <w:sz w:val="24"/>
          <w:szCs w:val="24"/>
        </w:rPr>
        <w:t xml:space="preserve"> office point</w:t>
      </w:r>
      <w:r w:rsidRPr="00CD7308">
        <w:rPr>
          <w:rFonts w:cstheme="minorHAnsi"/>
          <w:b/>
          <w:bCs/>
          <w:sz w:val="24"/>
          <w:szCs w:val="24"/>
        </w:rPr>
        <w:t>?</w:t>
      </w:r>
    </w:p>
    <w:p w14:paraId="6FD92C47" w14:textId="77777777" w:rsidR="00CD7308" w:rsidRPr="00CD7308" w:rsidRDefault="00CD7308" w:rsidP="00CD7308">
      <w:pPr>
        <w:rPr>
          <w:rFonts w:cstheme="minorHAnsi"/>
          <w:b/>
          <w:sz w:val="24"/>
          <w:szCs w:val="24"/>
        </w:rPr>
      </w:pPr>
      <w:r w:rsidRPr="00CD7308">
        <w:rPr>
          <w:rFonts w:cstheme="minorHAnsi"/>
          <w:b/>
          <w:sz w:val="24"/>
          <w:szCs w:val="24"/>
        </w:rPr>
        <w:t xml:space="preserve">A: </w:t>
      </w:r>
      <w:r w:rsidRPr="00CD7308">
        <w:rPr>
          <w:rFonts w:cstheme="minorHAnsi"/>
          <w:sz w:val="24"/>
          <w:szCs w:val="24"/>
        </w:rPr>
        <w:t xml:space="preserve">Office relocations are detailed on slide 11 of the Crime Contract 2025 slide pack. Additional information can be found at section 6.5 of the </w:t>
      </w:r>
      <w:hyperlink r:id="rId14">
        <w:r w:rsidRPr="00CD7308">
          <w:rPr>
            <w:rStyle w:val="Hyperlink"/>
            <w:rFonts w:cstheme="minorHAnsi"/>
            <w:sz w:val="24"/>
            <w:szCs w:val="24"/>
          </w:rPr>
          <w:t>Application Guide</w:t>
        </w:r>
      </w:hyperlink>
      <w:r w:rsidRPr="00CD7308">
        <w:rPr>
          <w:rFonts w:cstheme="minorHAnsi"/>
          <w:sz w:val="24"/>
          <w:szCs w:val="24"/>
        </w:rPr>
        <w:t xml:space="preserve"> and section 7 of the </w:t>
      </w:r>
      <w:hyperlink r:id="rId15">
        <w:r w:rsidRPr="00CD7308">
          <w:rPr>
            <w:rStyle w:val="Hyperlink"/>
            <w:rFonts w:eastAsia="Arial" w:cstheme="minorHAnsi"/>
            <w:sz w:val="24"/>
            <w:szCs w:val="24"/>
          </w:rPr>
          <w:t>Duty_Solicitor_Guidance</w:t>
        </w:r>
      </w:hyperlink>
      <w:r w:rsidRPr="00CD7308">
        <w:rPr>
          <w:rFonts w:cstheme="minorHAnsi"/>
          <w:sz w:val="24"/>
          <w:szCs w:val="24"/>
        </w:rPr>
        <w:t>.</w:t>
      </w:r>
    </w:p>
    <w:p w14:paraId="79849EF1" w14:textId="77777777" w:rsidR="00CD7308" w:rsidRPr="00CD7308" w:rsidRDefault="00CD7308" w:rsidP="00CD7308">
      <w:pPr>
        <w:rPr>
          <w:rFonts w:cstheme="minorHAnsi"/>
          <w:b/>
          <w:bCs/>
          <w:sz w:val="24"/>
          <w:szCs w:val="24"/>
        </w:rPr>
      </w:pPr>
      <w:r w:rsidRPr="00CD7308">
        <w:rPr>
          <w:rFonts w:cstheme="minorHAnsi"/>
          <w:b/>
          <w:bCs/>
          <w:sz w:val="24"/>
          <w:szCs w:val="24"/>
        </w:rPr>
        <w:t>Q: Prison law only firms might only need to meet a client or witness in their office every five years or so, but do they still have to keep an office ready for meetings? Is it allowed for them to just hire a suitable meeting room whenever they need one instead?</w:t>
      </w:r>
    </w:p>
    <w:p w14:paraId="6FD28D31" w14:textId="77777777" w:rsidR="00CD7308" w:rsidRPr="00CD7308" w:rsidRDefault="00CD7308" w:rsidP="00CD7308">
      <w:pPr>
        <w:rPr>
          <w:rFonts w:cstheme="minorHAnsi"/>
          <w:sz w:val="24"/>
          <w:szCs w:val="24"/>
        </w:rPr>
      </w:pPr>
      <w:r w:rsidRPr="00CD7308">
        <w:rPr>
          <w:rFonts w:cstheme="minorHAnsi"/>
          <w:b/>
          <w:sz w:val="24"/>
          <w:szCs w:val="24"/>
        </w:rPr>
        <w:t xml:space="preserve">A: </w:t>
      </w:r>
      <w:r w:rsidRPr="00CD7308">
        <w:rPr>
          <w:rFonts w:cstheme="minorHAnsi"/>
          <w:sz w:val="24"/>
          <w:szCs w:val="24"/>
        </w:rPr>
        <w:t>Prison law only offices must satisfy the criteria at 2.39 Specification:</w:t>
      </w:r>
    </w:p>
    <w:p w14:paraId="7B7F8490" w14:textId="77777777" w:rsidR="00CD7308" w:rsidRPr="00CD7308" w:rsidRDefault="00CD7308" w:rsidP="00CD7308">
      <w:pPr>
        <w:rPr>
          <w:rFonts w:cstheme="minorHAnsi"/>
          <w:i/>
          <w:iCs/>
          <w:sz w:val="24"/>
          <w:szCs w:val="24"/>
        </w:rPr>
      </w:pPr>
      <w:r w:rsidRPr="00CD7308">
        <w:rPr>
          <w:rFonts w:cstheme="minorHAnsi"/>
          <w:i/>
          <w:iCs/>
          <w:sz w:val="24"/>
          <w:szCs w:val="24"/>
        </w:rPr>
        <w:t xml:space="preserve">‘Where you undertake contract work in the ‘Prison Law Class’ only at an Office it must: </w:t>
      </w:r>
    </w:p>
    <w:p w14:paraId="660D7A93"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‘(a) satisfy any professional requirements of your Relevant Professional Body and be registered as appropriate. </w:t>
      </w:r>
    </w:p>
    <w:p w14:paraId="2E2459C2"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(b) contain suitable facilities to interview Clients, witnesses and any other persons in a private interview room where that is required; and </w:t>
      </w:r>
    </w:p>
    <w:p w14:paraId="439420B9" w14:textId="77777777" w:rsidR="00CD7308" w:rsidRPr="00CD7308" w:rsidRDefault="00CD7308" w:rsidP="00CD7308">
      <w:pPr>
        <w:ind w:left="720"/>
        <w:rPr>
          <w:rFonts w:cstheme="minorHAnsi"/>
          <w:i/>
          <w:iCs/>
          <w:sz w:val="24"/>
          <w:szCs w:val="24"/>
        </w:rPr>
      </w:pPr>
      <w:r w:rsidRPr="00CD7308">
        <w:rPr>
          <w:rFonts w:cstheme="minorHAnsi"/>
          <w:i/>
          <w:iCs/>
          <w:sz w:val="24"/>
          <w:szCs w:val="24"/>
        </w:rPr>
        <w:t>(c) meet any relevant health and safety standards, quality standards, service standards together with additional standards set out in this Contract.’</w:t>
      </w:r>
    </w:p>
    <w:p w14:paraId="24B82A5B" w14:textId="77777777" w:rsidR="00CD7308" w:rsidRPr="00CD7308" w:rsidRDefault="00CD7308" w:rsidP="00CD7308">
      <w:pPr>
        <w:rPr>
          <w:rFonts w:cstheme="minorHAnsi"/>
          <w:sz w:val="24"/>
          <w:szCs w:val="24"/>
        </w:rPr>
      </w:pPr>
      <w:r w:rsidRPr="00CD7308">
        <w:rPr>
          <w:rFonts w:cstheme="minorHAnsi"/>
          <w:sz w:val="24"/>
          <w:szCs w:val="24"/>
        </w:rPr>
        <w:t>This should be read in conjunction with 2.48 Specification which states:</w:t>
      </w:r>
    </w:p>
    <w:p w14:paraId="483DB408"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‘The following locations do not constitute an Office for the purposes of this Contract: </w:t>
      </w:r>
    </w:p>
    <w:p w14:paraId="023081FC"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(a) hotels. </w:t>
      </w:r>
    </w:p>
    <w:p w14:paraId="19F74351"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(b) vehicles. </w:t>
      </w:r>
    </w:p>
    <w:p w14:paraId="3DDE38B2"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(c) residential property. </w:t>
      </w:r>
    </w:p>
    <w:p w14:paraId="1131CCF9" w14:textId="77777777" w:rsidR="00CD7308" w:rsidRPr="00CD7308" w:rsidRDefault="00CD7308" w:rsidP="00CD7308">
      <w:pPr>
        <w:ind w:left="720"/>
        <w:rPr>
          <w:rFonts w:cstheme="minorHAnsi"/>
          <w:i/>
          <w:iCs/>
          <w:sz w:val="24"/>
          <w:szCs w:val="24"/>
        </w:rPr>
      </w:pPr>
      <w:r w:rsidRPr="00CD7308">
        <w:rPr>
          <w:rFonts w:cstheme="minorHAnsi"/>
          <w:i/>
          <w:iCs/>
          <w:sz w:val="24"/>
          <w:szCs w:val="24"/>
        </w:rPr>
        <w:t xml:space="preserve">(d) virtual offices or any such similar arrangement whereby all communication (written, electronic or by telephone) is referred to another location. </w:t>
      </w:r>
    </w:p>
    <w:p w14:paraId="3E912ACC" w14:textId="77777777" w:rsidR="00CD7308" w:rsidRPr="00CD7308" w:rsidRDefault="00CD7308" w:rsidP="00CD7308">
      <w:pPr>
        <w:ind w:left="709"/>
        <w:rPr>
          <w:rFonts w:cstheme="minorHAnsi"/>
          <w:sz w:val="24"/>
          <w:szCs w:val="24"/>
        </w:rPr>
      </w:pPr>
      <w:r w:rsidRPr="00CD7308">
        <w:rPr>
          <w:rFonts w:cstheme="minorHAnsi"/>
          <w:i/>
          <w:iCs/>
          <w:sz w:val="24"/>
          <w:szCs w:val="24"/>
        </w:rPr>
        <w:t>(e) unless you undertake Contract Work in the Prison Law Class only at an Office serviced premises, shared premises or similar where you do not have exclusive use of a designated space meeting the requirements of Paragraph 2.38.’</w:t>
      </w:r>
    </w:p>
    <w:p w14:paraId="275E34F7" w14:textId="77777777" w:rsidR="000D1E22" w:rsidRDefault="000D1E22" w:rsidP="000D1E22">
      <w:pPr>
        <w:rPr>
          <w:rFonts w:ascii="Arial" w:hAnsi="Arial" w:cs="Arial"/>
        </w:rPr>
      </w:pPr>
    </w:p>
    <w:p w14:paraId="18B5137A" w14:textId="77777777" w:rsidR="00801922" w:rsidRDefault="00801922" w:rsidP="000D1E22">
      <w:pPr>
        <w:jc w:val="center"/>
        <w:rPr>
          <w:rFonts w:ascii="Arial" w:hAnsi="Arial" w:cs="Arial"/>
          <w:b/>
          <w:bCs/>
          <w:sz w:val="28"/>
          <w:szCs w:val="28"/>
          <w:u w:val="single"/>
        </w:rPr>
      </w:pPr>
    </w:p>
    <w:p w14:paraId="5384FF64" w14:textId="77777777" w:rsidR="00801922" w:rsidRDefault="00801922" w:rsidP="000D1E22">
      <w:pPr>
        <w:jc w:val="center"/>
        <w:rPr>
          <w:rFonts w:ascii="Arial" w:hAnsi="Arial" w:cs="Arial"/>
          <w:b/>
          <w:bCs/>
          <w:sz w:val="28"/>
          <w:szCs w:val="28"/>
          <w:u w:val="single"/>
        </w:rPr>
      </w:pPr>
    </w:p>
    <w:p w14:paraId="192D891C" w14:textId="77777777" w:rsidR="00801922" w:rsidRDefault="00801922" w:rsidP="000D1E22">
      <w:pPr>
        <w:jc w:val="center"/>
        <w:rPr>
          <w:rFonts w:ascii="Arial" w:hAnsi="Arial" w:cs="Arial"/>
          <w:b/>
          <w:bCs/>
          <w:sz w:val="28"/>
          <w:szCs w:val="28"/>
          <w:u w:val="single"/>
        </w:rPr>
      </w:pPr>
    </w:p>
    <w:p w14:paraId="606C6D65" w14:textId="77777777" w:rsidR="00801922" w:rsidRDefault="00801922" w:rsidP="000D1E22">
      <w:pPr>
        <w:jc w:val="center"/>
        <w:rPr>
          <w:rFonts w:ascii="Arial" w:hAnsi="Arial" w:cs="Arial"/>
          <w:b/>
          <w:bCs/>
          <w:sz w:val="28"/>
          <w:szCs w:val="28"/>
          <w:u w:val="single"/>
        </w:rPr>
      </w:pPr>
    </w:p>
    <w:p w14:paraId="4D532CA7" w14:textId="6462191D" w:rsidR="002E5FC2" w:rsidRDefault="00CD7308" w:rsidP="002E5FC2">
      <w:pPr>
        <w:pStyle w:val="Heading1"/>
      </w:pPr>
      <w:r>
        <w:lastRenderedPageBreak/>
        <w:t>Supervision</w:t>
      </w:r>
    </w:p>
    <w:p w14:paraId="70B5BA8C" w14:textId="77777777" w:rsidR="00D41B01" w:rsidRPr="00D41B01" w:rsidRDefault="00D41B01" w:rsidP="00D41B01">
      <w:pPr>
        <w:rPr>
          <w:rFonts w:cstheme="minorHAnsi"/>
          <w:b/>
          <w:sz w:val="24"/>
          <w:szCs w:val="24"/>
        </w:rPr>
      </w:pPr>
      <w:r w:rsidRPr="00D41B01">
        <w:rPr>
          <w:rFonts w:cstheme="minorHAnsi"/>
          <w:b/>
          <w:bCs/>
          <w:sz w:val="24"/>
          <w:szCs w:val="24"/>
        </w:rPr>
        <w:t>Q: Does the change in office hours mean the rules about how many hours a legal aid supervisor must supervise have changed?</w:t>
      </w:r>
    </w:p>
    <w:p w14:paraId="06C282F3"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 xml:space="preserve">No, you must still employ one full time equivalent (FTE) supervisor for each class of work you are authorised to undertake. </w:t>
      </w:r>
    </w:p>
    <w:p w14:paraId="6F2661F1" w14:textId="77777777" w:rsidR="00D41B01" w:rsidRPr="00D41B01" w:rsidRDefault="00D41B01" w:rsidP="00D41B01">
      <w:pPr>
        <w:rPr>
          <w:rFonts w:cstheme="minorHAnsi"/>
          <w:sz w:val="24"/>
          <w:szCs w:val="24"/>
        </w:rPr>
      </w:pPr>
      <w:r w:rsidRPr="00D41B01">
        <w:rPr>
          <w:rFonts w:cstheme="minorHAnsi"/>
          <w:sz w:val="24"/>
          <w:szCs w:val="24"/>
        </w:rPr>
        <w:t>FTE is defined in the Specification as:</w:t>
      </w:r>
    </w:p>
    <w:p w14:paraId="2E884733" w14:textId="1965CD05" w:rsidR="00D41B01" w:rsidRPr="00D41B01" w:rsidRDefault="00C2083C" w:rsidP="00D41B01">
      <w:pPr>
        <w:rPr>
          <w:rFonts w:cstheme="minorHAnsi"/>
          <w:i/>
          <w:iCs/>
          <w:sz w:val="24"/>
          <w:szCs w:val="24"/>
        </w:rPr>
      </w:pPr>
      <w:r w:rsidRPr="00D41B01">
        <w:rPr>
          <w:rFonts w:cstheme="minorHAnsi"/>
          <w:i/>
          <w:iCs/>
          <w:sz w:val="24"/>
          <w:szCs w:val="24"/>
        </w:rPr>
        <w:t>‘the</w:t>
      </w:r>
      <w:r w:rsidR="00D41B01" w:rsidRPr="00D41B01">
        <w:rPr>
          <w:rFonts w:cstheme="minorHAnsi"/>
          <w:i/>
          <w:iCs/>
          <w:sz w:val="24"/>
          <w:szCs w:val="24"/>
        </w:rPr>
        <w:t xml:space="preserve"> equivalent of one individual working 35 hours in a standard 7-day week (excluding breaks). More than one individual may together make up the FTE requirement’.</w:t>
      </w:r>
    </w:p>
    <w:p w14:paraId="3D2031B1" w14:textId="77777777" w:rsidR="00D41B01" w:rsidRPr="00D41B01" w:rsidRDefault="00D41B01" w:rsidP="00D41B01">
      <w:pPr>
        <w:rPr>
          <w:rFonts w:cstheme="minorHAnsi"/>
          <w:sz w:val="24"/>
          <w:szCs w:val="24"/>
        </w:rPr>
      </w:pPr>
      <w:r w:rsidRPr="00D41B01">
        <w:rPr>
          <w:rFonts w:cstheme="minorHAnsi"/>
          <w:b/>
          <w:sz w:val="24"/>
          <w:szCs w:val="24"/>
        </w:rPr>
        <w:t xml:space="preserve">Q: Can </w:t>
      </w:r>
      <w:r w:rsidRPr="00D41B01">
        <w:rPr>
          <w:rFonts w:cstheme="minorHAnsi"/>
          <w:b/>
          <w:bCs/>
          <w:sz w:val="24"/>
          <w:szCs w:val="24"/>
        </w:rPr>
        <w:t>a single</w:t>
      </w:r>
      <w:r w:rsidRPr="00D41B01">
        <w:rPr>
          <w:rFonts w:cstheme="minorHAnsi"/>
          <w:b/>
          <w:sz w:val="24"/>
          <w:szCs w:val="24"/>
        </w:rPr>
        <w:t xml:space="preserve"> supervisor </w:t>
      </w:r>
      <w:r w:rsidRPr="00D41B01">
        <w:rPr>
          <w:rFonts w:cstheme="minorHAnsi"/>
          <w:b/>
          <w:bCs/>
          <w:sz w:val="24"/>
          <w:szCs w:val="24"/>
        </w:rPr>
        <w:t>oversee</w:t>
      </w:r>
      <w:r w:rsidRPr="00D41B01">
        <w:rPr>
          <w:rFonts w:cstheme="minorHAnsi"/>
          <w:b/>
          <w:sz w:val="24"/>
          <w:szCs w:val="24"/>
        </w:rPr>
        <w:t xml:space="preserve"> two firms at the same time?</w:t>
      </w:r>
    </w:p>
    <w:p w14:paraId="171F15B1" w14:textId="77777777" w:rsidR="00D41B01" w:rsidRPr="00D41B01" w:rsidRDefault="00D41B01" w:rsidP="00D41B01">
      <w:pPr>
        <w:rPr>
          <w:rFonts w:cstheme="minorHAnsi"/>
          <w:sz w:val="24"/>
          <w:szCs w:val="24"/>
        </w:rPr>
      </w:pPr>
      <w:r w:rsidRPr="00D41B01">
        <w:rPr>
          <w:rFonts w:cstheme="minorHAnsi"/>
          <w:b/>
          <w:bCs/>
          <w:sz w:val="24"/>
          <w:szCs w:val="24"/>
        </w:rPr>
        <w:t xml:space="preserve">A: </w:t>
      </w:r>
      <w:r w:rsidRPr="00D41B01">
        <w:rPr>
          <w:rFonts w:cstheme="minorHAnsi"/>
          <w:sz w:val="24"/>
          <w:szCs w:val="24"/>
        </w:rPr>
        <w:t>Yes, a supervisor can oversee two firms, but each firm must have a full-time equivalent (FTE) supervisor in place. For example, if a supervisor works 17.5 hours a week at each firm, both firms would need to appoint an additional supervisor to cover the remaining 17.5 hours to meet the FTE requirement.</w:t>
      </w:r>
    </w:p>
    <w:p w14:paraId="1E8FD83B" w14:textId="77777777" w:rsidR="00D41B01" w:rsidRPr="00D41B01" w:rsidRDefault="00D41B01" w:rsidP="00D41B01">
      <w:pPr>
        <w:rPr>
          <w:rFonts w:cstheme="minorHAnsi"/>
          <w:b/>
          <w:sz w:val="24"/>
          <w:szCs w:val="24"/>
        </w:rPr>
      </w:pPr>
      <w:r w:rsidRPr="00D41B01">
        <w:rPr>
          <w:rFonts w:cstheme="minorHAnsi"/>
          <w:b/>
          <w:bCs/>
          <w:sz w:val="24"/>
          <w:szCs w:val="24"/>
        </w:rPr>
        <w:t>Q: If an FTE supervisor is responsible for supervising two other duty solicitors, is it necessary to appoint an additional supervisor, or is one supervisor sufficient?</w:t>
      </w:r>
    </w:p>
    <w:p w14:paraId="0F671A5D"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Under the Crime Contract 2025, a firm is required to employ at least one full-time equivalent (FTE) Supervisor. The contract does not specify a required ratio of supervisor to staff.</w:t>
      </w:r>
    </w:p>
    <w:p w14:paraId="016B2DD7" w14:textId="77777777" w:rsidR="00D41B01" w:rsidRPr="00D41B01" w:rsidRDefault="00D41B01" w:rsidP="00D41B01">
      <w:pPr>
        <w:rPr>
          <w:rFonts w:cstheme="minorHAnsi"/>
          <w:b/>
          <w:sz w:val="24"/>
          <w:szCs w:val="24"/>
        </w:rPr>
      </w:pPr>
      <w:r w:rsidRPr="00D41B01">
        <w:rPr>
          <w:rFonts w:cstheme="minorHAnsi"/>
          <w:b/>
          <w:sz w:val="24"/>
          <w:szCs w:val="24"/>
        </w:rPr>
        <w:t xml:space="preserve">Q: </w:t>
      </w:r>
      <w:r w:rsidRPr="00D41B01">
        <w:rPr>
          <w:rFonts w:cstheme="minorHAnsi"/>
          <w:b/>
          <w:bCs/>
          <w:sz w:val="24"/>
          <w:szCs w:val="24"/>
        </w:rPr>
        <w:t xml:space="preserve">Just </w:t>
      </w:r>
      <w:r w:rsidRPr="00D41B01">
        <w:rPr>
          <w:rFonts w:cstheme="minorHAnsi"/>
          <w:b/>
          <w:sz w:val="24"/>
          <w:szCs w:val="24"/>
        </w:rPr>
        <w:t xml:space="preserve">to </w:t>
      </w:r>
      <w:r w:rsidRPr="00D41B01">
        <w:rPr>
          <w:rFonts w:cstheme="minorHAnsi"/>
          <w:b/>
          <w:bCs/>
          <w:sz w:val="24"/>
          <w:szCs w:val="24"/>
        </w:rPr>
        <w:t>confirm, do</w:t>
      </w:r>
      <w:r w:rsidRPr="00D41B01">
        <w:rPr>
          <w:rFonts w:cstheme="minorHAnsi"/>
          <w:b/>
          <w:sz w:val="24"/>
          <w:szCs w:val="24"/>
        </w:rPr>
        <w:t xml:space="preserve"> we only need to complete the duty verification form and </w:t>
      </w:r>
      <w:r w:rsidRPr="00D41B01">
        <w:rPr>
          <w:rFonts w:cstheme="minorHAnsi"/>
          <w:b/>
          <w:bCs/>
          <w:sz w:val="24"/>
          <w:szCs w:val="24"/>
        </w:rPr>
        <w:t>not</w:t>
      </w:r>
      <w:r w:rsidRPr="00D41B01">
        <w:rPr>
          <w:rFonts w:cstheme="minorHAnsi"/>
          <w:b/>
          <w:sz w:val="24"/>
          <w:szCs w:val="24"/>
        </w:rPr>
        <w:t xml:space="preserve"> the supervisor declaration form?</w:t>
      </w:r>
    </w:p>
    <w:p w14:paraId="07CA5299"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If the duty solicitor also acts as a supervisor, they must complete the supervisor declaration form.</w:t>
      </w:r>
    </w:p>
    <w:p w14:paraId="77CF619D" w14:textId="77777777" w:rsidR="00D41B01" w:rsidRPr="00D41B01" w:rsidRDefault="00D41B01" w:rsidP="00D41B01">
      <w:pPr>
        <w:rPr>
          <w:rFonts w:cstheme="minorHAnsi"/>
          <w:b/>
          <w:bCs/>
          <w:sz w:val="24"/>
          <w:szCs w:val="24"/>
        </w:rPr>
      </w:pPr>
      <w:r w:rsidRPr="00D41B01">
        <w:rPr>
          <w:rFonts w:cstheme="minorHAnsi"/>
          <w:b/>
          <w:bCs/>
          <w:sz w:val="24"/>
          <w:szCs w:val="24"/>
        </w:rPr>
        <w:t>Q: Can the frequency of file reviews be reduced to less than once a month for senior solicitors with greater experience, provided we can justify this decision?</w:t>
      </w:r>
    </w:p>
    <w:p w14:paraId="69E0CBEA"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 xml:space="preserve">As per 2.18 of the Specification, the number and frequency of file reviews should be based on the abilities, knowledge and experience of the person being supervised. Each firm is responsible for deciding this and must be able to justify their approach during an audit. Additional guidance on effective supervision is available from page 9 in: </w:t>
      </w:r>
      <w:hyperlink r:id="rId16" w:history="1">
        <w:r w:rsidRPr="00D41B01">
          <w:rPr>
            <w:rStyle w:val="Hyperlink"/>
            <w:rFonts w:cstheme="minorHAnsi"/>
            <w:sz w:val="24"/>
            <w:szCs w:val="24"/>
          </w:rPr>
          <w:t>Supervisor Requirements and Guidance on Effective Supervision</w:t>
        </w:r>
      </w:hyperlink>
    </w:p>
    <w:p w14:paraId="6FFBCC9C" w14:textId="77777777" w:rsidR="00D41B01" w:rsidRPr="00D41B01" w:rsidRDefault="00D41B01" w:rsidP="00D41B01">
      <w:pPr>
        <w:rPr>
          <w:rFonts w:cstheme="minorHAnsi"/>
          <w:b/>
          <w:sz w:val="24"/>
          <w:szCs w:val="24"/>
        </w:rPr>
      </w:pPr>
      <w:r w:rsidRPr="00D41B01">
        <w:rPr>
          <w:rFonts w:cstheme="minorHAnsi"/>
          <w:b/>
          <w:sz w:val="24"/>
          <w:szCs w:val="24"/>
        </w:rPr>
        <w:t>Q: How many file reviews?</w:t>
      </w:r>
    </w:p>
    <w:p w14:paraId="29E57F80"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As per section 2.18 of the Specification, firms should decide how often and how many file reviews to carry out. This is based on the skills, knowledge and experience of the person being supervised. You must justify your approach if audited.</w:t>
      </w:r>
    </w:p>
    <w:p w14:paraId="64590AAB" w14:textId="77777777" w:rsidR="00D41B01" w:rsidRPr="00D41B01" w:rsidRDefault="00D41B01" w:rsidP="00D41B01">
      <w:pPr>
        <w:rPr>
          <w:rFonts w:cstheme="minorHAnsi"/>
          <w:b/>
          <w:sz w:val="24"/>
          <w:szCs w:val="24"/>
        </w:rPr>
      </w:pPr>
      <w:r w:rsidRPr="00D41B01">
        <w:rPr>
          <w:rFonts w:cstheme="minorHAnsi"/>
          <w:sz w:val="24"/>
          <w:szCs w:val="24"/>
        </w:rPr>
        <w:t xml:space="preserve">Further guidance on effective supervision can be found starting on page 9 of the </w:t>
      </w:r>
      <w:hyperlink r:id="rId17" w:history="1">
        <w:r w:rsidRPr="00D41B01">
          <w:rPr>
            <w:rStyle w:val="Hyperlink"/>
            <w:rFonts w:cstheme="minorHAnsi"/>
            <w:sz w:val="24"/>
            <w:szCs w:val="24"/>
          </w:rPr>
          <w:t>Supervisor Requirements and Guidance on Effective Supervision</w:t>
        </w:r>
      </w:hyperlink>
    </w:p>
    <w:p w14:paraId="46FB32AA" w14:textId="77777777" w:rsidR="00D41B01" w:rsidRPr="00D41B01" w:rsidRDefault="00D41B01" w:rsidP="00D41B01">
      <w:pPr>
        <w:rPr>
          <w:rFonts w:cstheme="minorHAnsi"/>
          <w:b/>
          <w:bCs/>
          <w:sz w:val="24"/>
          <w:szCs w:val="24"/>
        </w:rPr>
      </w:pPr>
      <w:r w:rsidRPr="00D41B01">
        <w:rPr>
          <w:rFonts w:eastAsia="Times New Roman" w:cstheme="minorHAnsi"/>
          <w:b/>
          <w:bCs/>
          <w:sz w:val="24"/>
          <w:szCs w:val="24"/>
        </w:rPr>
        <w:lastRenderedPageBreak/>
        <w:t>Q:</w:t>
      </w:r>
      <w:r w:rsidRPr="00D41B01">
        <w:rPr>
          <w:rFonts w:eastAsia="Arial" w:cstheme="minorHAnsi"/>
          <w:sz w:val="24"/>
          <w:szCs w:val="24"/>
        </w:rPr>
        <w:t xml:space="preserve"> </w:t>
      </w:r>
      <w:r w:rsidRPr="00D41B01">
        <w:rPr>
          <w:rFonts w:cstheme="minorHAnsi"/>
          <w:b/>
          <w:bCs/>
          <w:sz w:val="24"/>
          <w:szCs w:val="24"/>
        </w:rPr>
        <w:t>How often do file reviews happen? Is there a minimum number of files that must be checked?</w:t>
      </w:r>
    </w:p>
    <w:p w14:paraId="2DD376DB" w14:textId="77777777" w:rsidR="00D41B01" w:rsidRPr="00D41B01" w:rsidRDefault="00D41B01" w:rsidP="00D41B01">
      <w:pPr>
        <w:rPr>
          <w:rFonts w:cstheme="minorHAnsi"/>
          <w:sz w:val="24"/>
          <w:szCs w:val="24"/>
        </w:rPr>
      </w:pPr>
      <w:r w:rsidRPr="00D41B01">
        <w:rPr>
          <w:rFonts w:eastAsia="Times New Roman" w:cstheme="minorHAnsi"/>
          <w:b/>
          <w:bCs/>
          <w:sz w:val="24"/>
          <w:szCs w:val="24"/>
        </w:rPr>
        <w:t xml:space="preserve">A: </w:t>
      </w:r>
      <w:r w:rsidRPr="00D41B01">
        <w:rPr>
          <w:rFonts w:cstheme="minorHAnsi"/>
          <w:sz w:val="24"/>
          <w:szCs w:val="24"/>
        </w:rPr>
        <w:t xml:space="preserve">As per 2.18 of the Specification, the number and frequency of file reviews should be based on the abilities, knowledge and experience of the person being supervised. Each firm is responsible for deciding this and must be able to justify their approach during an audit. Additional guidance on effective supervision is available from page 9 in: </w:t>
      </w:r>
      <w:hyperlink r:id="rId18" w:history="1">
        <w:r w:rsidRPr="00D41B01">
          <w:rPr>
            <w:rStyle w:val="Hyperlink"/>
            <w:rFonts w:cstheme="minorHAnsi"/>
            <w:sz w:val="24"/>
            <w:szCs w:val="24"/>
          </w:rPr>
          <w:t>Supervisor Requirements and Guidance on Effective Supervision</w:t>
        </w:r>
      </w:hyperlink>
    </w:p>
    <w:p w14:paraId="248373E5" w14:textId="77777777" w:rsidR="00D41B01" w:rsidRPr="00D41B01" w:rsidRDefault="00D41B01" w:rsidP="00D41B01">
      <w:pPr>
        <w:rPr>
          <w:rFonts w:cstheme="minorHAnsi"/>
          <w:b/>
          <w:bCs/>
          <w:sz w:val="24"/>
          <w:szCs w:val="24"/>
        </w:rPr>
      </w:pPr>
      <w:r w:rsidRPr="00D41B01">
        <w:rPr>
          <w:rFonts w:eastAsia="Times New Roman" w:cstheme="minorHAnsi"/>
          <w:b/>
          <w:bCs/>
          <w:sz w:val="24"/>
          <w:szCs w:val="24"/>
        </w:rPr>
        <w:t>Q:</w:t>
      </w:r>
      <w:r w:rsidRPr="00D41B01">
        <w:rPr>
          <w:rFonts w:eastAsia="Arial" w:cstheme="minorHAnsi"/>
          <w:sz w:val="24"/>
          <w:szCs w:val="24"/>
        </w:rPr>
        <w:t xml:space="preserve"> </w:t>
      </w:r>
      <w:r w:rsidRPr="00D41B01">
        <w:rPr>
          <w:rFonts w:cstheme="minorHAnsi"/>
          <w:b/>
          <w:bCs/>
          <w:sz w:val="24"/>
          <w:szCs w:val="24"/>
        </w:rPr>
        <w:t>For example, should I review trainees’ files every month and files for more experienced solicitors every few months?</w:t>
      </w:r>
    </w:p>
    <w:p w14:paraId="6201E4D7" w14:textId="77777777" w:rsidR="00D41B01" w:rsidRPr="00D41B01" w:rsidRDefault="00D41B01" w:rsidP="00D41B01">
      <w:pPr>
        <w:rPr>
          <w:rFonts w:cstheme="minorHAnsi"/>
          <w:sz w:val="24"/>
          <w:szCs w:val="24"/>
        </w:rPr>
      </w:pPr>
      <w:r w:rsidRPr="00D41B01">
        <w:rPr>
          <w:rFonts w:eastAsia="Arial" w:cstheme="minorHAnsi"/>
          <w:sz w:val="24"/>
          <w:szCs w:val="24"/>
        </w:rPr>
        <w:t xml:space="preserve"> </w:t>
      </w:r>
      <w:r w:rsidRPr="00D41B01">
        <w:rPr>
          <w:rFonts w:eastAsia="Times New Roman" w:cstheme="minorHAnsi"/>
          <w:b/>
          <w:bCs/>
          <w:sz w:val="24"/>
          <w:szCs w:val="24"/>
        </w:rPr>
        <w:t xml:space="preserve">A: </w:t>
      </w:r>
      <w:r w:rsidRPr="00D41B01">
        <w:rPr>
          <w:rFonts w:cstheme="minorHAnsi"/>
          <w:sz w:val="24"/>
          <w:szCs w:val="24"/>
        </w:rPr>
        <w:t xml:space="preserve">As per 2.18 of the Specification, the number and frequency of file reviews should be based on the abilities, knowledge and experience of the person being supervised. Each firm is responsible for deciding this and must be able to justify their approach during an audit. Additional guidance on effective supervision is available from page 9 in: </w:t>
      </w:r>
      <w:hyperlink r:id="rId19" w:history="1">
        <w:r w:rsidRPr="00D41B01">
          <w:rPr>
            <w:rStyle w:val="Hyperlink"/>
            <w:rFonts w:cstheme="minorHAnsi"/>
            <w:sz w:val="24"/>
            <w:szCs w:val="24"/>
          </w:rPr>
          <w:t>Supervisor Requirements and Guidance on Effective Supervision</w:t>
        </w:r>
      </w:hyperlink>
    </w:p>
    <w:p w14:paraId="7DB50556" w14:textId="77777777" w:rsidR="00D41B01" w:rsidRPr="00D41B01" w:rsidRDefault="00D41B01" w:rsidP="00D41B01">
      <w:pPr>
        <w:rPr>
          <w:rFonts w:cstheme="minorHAnsi"/>
          <w:b/>
          <w:sz w:val="24"/>
          <w:szCs w:val="24"/>
        </w:rPr>
      </w:pPr>
      <w:r w:rsidRPr="00D41B01">
        <w:rPr>
          <w:rFonts w:cstheme="minorHAnsi"/>
          <w:b/>
          <w:bCs/>
          <w:sz w:val="24"/>
          <w:szCs w:val="24"/>
        </w:rPr>
        <w:t xml:space="preserve">Q: </w:t>
      </w:r>
      <w:r w:rsidRPr="00D41B01">
        <w:rPr>
          <w:rFonts w:cstheme="minorHAnsi"/>
          <w:b/>
          <w:sz w:val="24"/>
          <w:szCs w:val="24"/>
        </w:rPr>
        <w:t>Have the supervisor ratios changed in civil as well as criminal?</w:t>
      </w:r>
    </w:p>
    <w:p w14:paraId="249AB066" w14:textId="77777777" w:rsidR="00D41B01" w:rsidRPr="00D41B01" w:rsidRDefault="00D41B01" w:rsidP="00D41B01">
      <w:pPr>
        <w:rPr>
          <w:rFonts w:cstheme="minorHAnsi"/>
          <w:sz w:val="24"/>
          <w:szCs w:val="24"/>
        </w:rPr>
      </w:pPr>
      <w:r w:rsidRPr="00D41B01">
        <w:rPr>
          <w:rFonts w:cstheme="minorHAnsi"/>
          <w:b/>
          <w:sz w:val="24"/>
          <w:szCs w:val="24"/>
        </w:rPr>
        <w:t xml:space="preserve">A: </w:t>
      </w:r>
      <w:r w:rsidRPr="00D41B01">
        <w:rPr>
          <w:rFonts w:cstheme="minorHAnsi"/>
          <w:sz w:val="24"/>
          <w:szCs w:val="24"/>
        </w:rPr>
        <w:t xml:space="preserve">The supervisor ratios for the Standard Civil Contract have not changed. </w:t>
      </w:r>
    </w:p>
    <w:p w14:paraId="5D6E1225" w14:textId="77777777" w:rsidR="00D41B01" w:rsidRPr="00D41B01" w:rsidRDefault="00D41B01" w:rsidP="00D41B01">
      <w:pPr>
        <w:rPr>
          <w:rFonts w:cstheme="minorHAnsi"/>
          <w:sz w:val="24"/>
          <w:szCs w:val="24"/>
        </w:rPr>
      </w:pPr>
      <w:r w:rsidRPr="00D41B01">
        <w:rPr>
          <w:rFonts w:cstheme="minorHAnsi"/>
          <w:sz w:val="24"/>
          <w:szCs w:val="24"/>
        </w:rPr>
        <w:t xml:space="preserve">Additional details on civil supervisor ratios can be found at 2.26 Standard Civil Contract 2024 Specification - </w:t>
      </w:r>
      <w:hyperlink r:id="rId20" w:history="1">
        <w:r w:rsidRPr="00D41B01">
          <w:rPr>
            <w:rStyle w:val="Hyperlink"/>
            <w:rFonts w:cstheme="minorHAnsi"/>
            <w:sz w:val="24"/>
            <w:szCs w:val="24"/>
          </w:rPr>
          <w:t xml:space="preserve"> Standard Civil Contract</w:t>
        </w:r>
      </w:hyperlink>
    </w:p>
    <w:p w14:paraId="62BAEE28" w14:textId="77777777" w:rsidR="00D41B01" w:rsidRPr="00D41B01" w:rsidRDefault="00D41B01" w:rsidP="00D41B01">
      <w:pPr>
        <w:rPr>
          <w:rFonts w:cstheme="minorHAnsi"/>
          <w:b/>
          <w:sz w:val="24"/>
          <w:szCs w:val="24"/>
        </w:rPr>
      </w:pPr>
      <w:r w:rsidRPr="00D41B01">
        <w:rPr>
          <w:rFonts w:cstheme="minorHAnsi"/>
          <w:b/>
          <w:bCs/>
          <w:sz w:val="24"/>
          <w:szCs w:val="24"/>
        </w:rPr>
        <w:t>Q: Has the rule changed so that a supervisor can now oversee more than two offices, or is it still the same?</w:t>
      </w:r>
    </w:p>
    <w:p w14:paraId="384F50C5" w14:textId="77777777" w:rsidR="00D41B01" w:rsidRPr="00D41B01" w:rsidRDefault="00D41B01" w:rsidP="00D41B01">
      <w:pPr>
        <w:rPr>
          <w:rFonts w:cstheme="minorHAnsi"/>
          <w:sz w:val="24"/>
          <w:szCs w:val="24"/>
        </w:rPr>
      </w:pPr>
      <w:r w:rsidRPr="00D41B01">
        <w:rPr>
          <w:rFonts w:cstheme="minorHAnsi"/>
          <w:b/>
          <w:bCs/>
          <w:sz w:val="24"/>
          <w:szCs w:val="24"/>
        </w:rPr>
        <w:t xml:space="preserve">A: </w:t>
      </w:r>
      <w:r w:rsidRPr="00D41B01">
        <w:rPr>
          <w:rFonts w:cstheme="minorHAnsi"/>
          <w:sz w:val="24"/>
          <w:szCs w:val="24"/>
        </w:rPr>
        <w:t xml:space="preserve"> A supervisor can supervise across a maximum of two offices for the same provider (2.9 of the Specification).</w:t>
      </w:r>
    </w:p>
    <w:p w14:paraId="55DA600B" w14:textId="77777777" w:rsidR="00D41B01" w:rsidRPr="00D41B01" w:rsidRDefault="00D41B01" w:rsidP="00D41B01">
      <w:pPr>
        <w:rPr>
          <w:rFonts w:cstheme="minorHAnsi"/>
          <w:sz w:val="24"/>
          <w:szCs w:val="24"/>
        </w:rPr>
      </w:pPr>
      <w:r w:rsidRPr="00D41B01">
        <w:rPr>
          <w:rFonts w:cstheme="minorHAnsi"/>
          <w:sz w:val="24"/>
          <w:szCs w:val="24"/>
        </w:rPr>
        <w:t xml:space="preserve">There is a new rule at 2.8 of the Specification that a crime supervisor may now supervise at a maximum of two providers. Under 2.10 of the Specification, where an individual supervisor supervises two providers, they may only supervise at one office for each provider - </w:t>
      </w:r>
    </w:p>
    <w:p w14:paraId="35A374F7" w14:textId="77777777" w:rsidR="00D41B01" w:rsidRPr="00D41B01" w:rsidRDefault="00D41B01" w:rsidP="00D41B01">
      <w:pPr>
        <w:rPr>
          <w:rFonts w:cstheme="minorHAnsi"/>
          <w:sz w:val="24"/>
          <w:szCs w:val="24"/>
        </w:rPr>
      </w:pPr>
      <w:r w:rsidRPr="00D41B01">
        <w:rPr>
          <w:rFonts w:cstheme="minorHAnsi"/>
          <w:sz w:val="24"/>
          <w:szCs w:val="24"/>
        </w:rPr>
        <w:t xml:space="preserve">2.10 - Pursuant to Paragraph 2.9, where a Supervisor acts as a Supervisor at another Provider this means they may only act as a Supervisor at one of your Offices as they will also be acting as a Supervisor at an Office of another Provider. </w:t>
      </w:r>
    </w:p>
    <w:p w14:paraId="5ACB01F1" w14:textId="77777777" w:rsidR="00D41B01" w:rsidRPr="00D41B01" w:rsidRDefault="00D41B01" w:rsidP="00D41B01">
      <w:pPr>
        <w:rPr>
          <w:rFonts w:cstheme="minorHAnsi"/>
          <w:b/>
          <w:bCs/>
          <w:sz w:val="24"/>
          <w:szCs w:val="24"/>
        </w:rPr>
      </w:pPr>
      <w:r w:rsidRPr="00D41B01">
        <w:rPr>
          <w:rFonts w:eastAsia="Times New Roman" w:cstheme="minorHAnsi"/>
          <w:b/>
          <w:bCs/>
          <w:sz w:val="24"/>
          <w:szCs w:val="24"/>
        </w:rPr>
        <w:t xml:space="preserve">Q: </w:t>
      </w:r>
      <w:r w:rsidRPr="00D41B01">
        <w:rPr>
          <w:rFonts w:cstheme="minorHAnsi"/>
          <w:b/>
          <w:bCs/>
          <w:sz w:val="24"/>
          <w:szCs w:val="24"/>
        </w:rPr>
        <w:t>Can someone who works for you as a consultant be a supervisor under the 2025 contract?</w:t>
      </w:r>
    </w:p>
    <w:p w14:paraId="39166F11" w14:textId="77777777" w:rsidR="00D41B01" w:rsidRPr="00D41B01" w:rsidRDefault="00D41B01" w:rsidP="00D41B01">
      <w:pPr>
        <w:rPr>
          <w:rFonts w:eastAsia="Times New Roman" w:cstheme="minorHAnsi"/>
          <w:sz w:val="24"/>
          <w:szCs w:val="24"/>
        </w:rPr>
      </w:pPr>
      <w:r w:rsidRPr="00D41B01">
        <w:rPr>
          <w:rFonts w:eastAsia="Times New Roman" w:cstheme="minorHAnsi"/>
          <w:b/>
          <w:sz w:val="24"/>
          <w:szCs w:val="24"/>
        </w:rPr>
        <w:t xml:space="preserve">A: </w:t>
      </w:r>
      <w:r w:rsidRPr="00D41B01">
        <w:rPr>
          <w:rFonts w:eastAsia="Times New Roman" w:cstheme="minorHAnsi"/>
          <w:sz w:val="24"/>
          <w:szCs w:val="24"/>
        </w:rPr>
        <w:t>No, as per 2.3 – 2.5 Specification, you must employ at least 1 FTE supervisor. Therefore, consultants cannot be a supervisor.</w:t>
      </w:r>
    </w:p>
    <w:p w14:paraId="2CAFA3F6" w14:textId="77777777" w:rsidR="00D41B01" w:rsidRPr="00D41B01" w:rsidRDefault="00D41B01" w:rsidP="00D41B01">
      <w:pPr>
        <w:rPr>
          <w:rFonts w:cstheme="minorHAnsi"/>
          <w:b/>
          <w:sz w:val="24"/>
          <w:szCs w:val="24"/>
        </w:rPr>
      </w:pPr>
      <w:r w:rsidRPr="00D41B01">
        <w:rPr>
          <w:rFonts w:eastAsia="Times New Roman" w:cstheme="minorHAnsi"/>
          <w:b/>
          <w:bCs/>
          <w:sz w:val="24"/>
          <w:szCs w:val="24"/>
        </w:rPr>
        <w:t xml:space="preserve">Q: </w:t>
      </w:r>
      <w:r w:rsidRPr="00D41B01">
        <w:rPr>
          <w:rFonts w:cstheme="minorHAnsi"/>
          <w:b/>
          <w:bCs/>
          <w:sz w:val="24"/>
          <w:szCs w:val="24"/>
        </w:rPr>
        <w:t>Does a supervisor need to keep a record of how much time they spend supervising each fee earner?</w:t>
      </w:r>
    </w:p>
    <w:p w14:paraId="6931E477" w14:textId="77777777" w:rsidR="00D41B01" w:rsidRPr="00D41B01" w:rsidRDefault="00D41B01" w:rsidP="00D41B01">
      <w:pPr>
        <w:rPr>
          <w:rFonts w:cstheme="minorHAnsi"/>
          <w:sz w:val="24"/>
          <w:szCs w:val="24"/>
        </w:rPr>
      </w:pPr>
      <w:r w:rsidRPr="00D41B01">
        <w:rPr>
          <w:rFonts w:eastAsia="Times New Roman" w:cstheme="minorHAnsi"/>
          <w:b/>
          <w:bCs/>
          <w:sz w:val="24"/>
          <w:szCs w:val="24"/>
        </w:rPr>
        <w:t xml:space="preserve">A: </w:t>
      </w:r>
      <w:r w:rsidRPr="00D41B01">
        <w:rPr>
          <w:rFonts w:cstheme="minorHAnsi"/>
          <w:sz w:val="24"/>
          <w:szCs w:val="24"/>
        </w:rPr>
        <w:t>There is no contractual requirement to keep a record of the time spent supervising under the 2025 Crime Contract. However, if there is an audit, you may be required to explain how supervision works in your firm. Keeping a record of supervision could help show that you are supervising effectively.</w:t>
      </w:r>
    </w:p>
    <w:p w14:paraId="3A1689BD" w14:textId="77777777" w:rsidR="00D41B01" w:rsidRPr="00F74E17" w:rsidRDefault="00D41B01" w:rsidP="00D41B01">
      <w:pPr>
        <w:rPr>
          <w:rFonts w:eastAsia="Arial" w:cstheme="minorHAnsi"/>
          <w:b/>
          <w:bCs/>
          <w:sz w:val="24"/>
          <w:szCs w:val="24"/>
        </w:rPr>
      </w:pPr>
      <w:r w:rsidRPr="00F74E17">
        <w:rPr>
          <w:rFonts w:eastAsia="Times New Roman" w:cstheme="minorHAnsi"/>
          <w:b/>
          <w:bCs/>
          <w:sz w:val="24"/>
          <w:szCs w:val="24"/>
        </w:rPr>
        <w:lastRenderedPageBreak/>
        <w:t>Q:</w:t>
      </w:r>
      <w:r w:rsidRPr="00F74E17">
        <w:rPr>
          <w:rFonts w:eastAsia="Arial" w:cstheme="minorHAnsi"/>
          <w:sz w:val="24"/>
          <w:szCs w:val="24"/>
        </w:rPr>
        <w:t xml:space="preserve"> </w:t>
      </w:r>
      <w:r w:rsidRPr="00F74E17">
        <w:rPr>
          <w:rFonts w:eastAsia="Arial" w:cstheme="minorHAnsi"/>
          <w:b/>
          <w:bCs/>
          <w:sz w:val="24"/>
          <w:szCs w:val="24"/>
        </w:rPr>
        <w:t>I am the only crime fee earner and supervisor in my firm. Can I review my file or should another solicitor who does not deal with crime matters review my files?</w:t>
      </w:r>
    </w:p>
    <w:p w14:paraId="0DAEEFB4" w14:textId="3E7D67E5" w:rsidR="00D41B01" w:rsidRPr="00D41B01" w:rsidRDefault="00D41B01" w:rsidP="00D41B01">
      <w:pPr>
        <w:rPr>
          <w:rFonts w:eastAsia="Times New Roman" w:cstheme="minorHAnsi"/>
          <w:sz w:val="24"/>
          <w:szCs w:val="24"/>
        </w:rPr>
      </w:pPr>
      <w:r w:rsidRPr="00D41B01">
        <w:rPr>
          <w:rFonts w:eastAsia="Times New Roman" w:cstheme="minorHAnsi"/>
          <w:sz w:val="24"/>
          <w:szCs w:val="24"/>
        </w:rPr>
        <w:t xml:space="preserve">All providers must maintain compliance with paragraphs 2.3 to 2.26 of the Specification and should discuss their approach to compliance with their </w:t>
      </w:r>
      <w:r w:rsidR="00F74E17">
        <w:rPr>
          <w:rFonts w:eastAsia="Times New Roman" w:cstheme="minorHAnsi"/>
          <w:sz w:val="24"/>
          <w:szCs w:val="24"/>
        </w:rPr>
        <w:t>c</w:t>
      </w:r>
      <w:r w:rsidRPr="00D41B01">
        <w:rPr>
          <w:rFonts w:eastAsia="Times New Roman" w:cstheme="minorHAnsi"/>
          <w:sz w:val="24"/>
          <w:szCs w:val="24"/>
        </w:rPr>
        <w:t xml:space="preserve">ontract </w:t>
      </w:r>
      <w:r w:rsidR="00F74E17">
        <w:rPr>
          <w:rFonts w:eastAsia="Times New Roman" w:cstheme="minorHAnsi"/>
          <w:sz w:val="24"/>
          <w:szCs w:val="24"/>
        </w:rPr>
        <w:t>m</w:t>
      </w:r>
      <w:r w:rsidRPr="00D41B01">
        <w:rPr>
          <w:rFonts w:eastAsia="Times New Roman" w:cstheme="minorHAnsi"/>
          <w:sz w:val="24"/>
          <w:szCs w:val="24"/>
        </w:rPr>
        <w:t xml:space="preserve">anager. Compliance with a relevant quality standard (either the LAA’s </w:t>
      </w:r>
      <w:r w:rsidR="00F74E17">
        <w:rPr>
          <w:rFonts w:eastAsia="Times New Roman" w:cstheme="minorHAnsi"/>
          <w:sz w:val="24"/>
          <w:szCs w:val="24"/>
        </w:rPr>
        <w:t>s</w:t>
      </w:r>
      <w:r w:rsidRPr="00D41B01">
        <w:rPr>
          <w:rFonts w:eastAsia="Times New Roman" w:cstheme="minorHAnsi"/>
          <w:sz w:val="24"/>
          <w:szCs w:val="24"/>
        </w:rPr>
        <w:t xml:space="preserve">pecialist </w:t>
      </w:r>
      <w:r w:rsidR="00F74E17">
        <w:rPr>
          <w:rFonts w:eastAsia="Times New Roman" w:cstheme="minorHAnsi"/>
          <w:sz w:val="24"/>
          <w:szCs w:val="24"/>
        </w:rPr>
        <w:t>q</w:t>
      </w:r>
      <w:r w:rsidRPr="00D41B01">
        <w:rPr>
          <w:rFonts w:eastAsia="Times New Roman" w:cstheme="minorHAnsi"/>
          <w:sz w:val="24"/>
          <w:szCs w:val="24"/>
        </w:rPr>
        <w:t xml:space="preserve">uality </w:t>
      </w:r>
      <w:r w:rsidR="00F74E17">
        <w:rPr>
          <w:rFonts w:eastAsia="Times New Roman" w:cstheme="minorHAnsi"/>
          <w:sz w:val="24"/>
          <w:szCs w:val="24"/>
        </w:rPr>
        <w:t>m</w:t>
      </w:r>
      <w:r w:rsidRPr="00D41B01">
        <w:rPr>
          <w:rFonts w:eastAsia="Times New Roman" w:cstheme="minorHAnsi"/>
          <w:sz w:val="24"/>
          <w:szCs w:val="24"/>
        </w:rPr>
        <w:t>ark</w:t>
      </w:r>
      <w:r w:rsidR="00F74E17">
        <w:rPr>
          <w:rFonts w:eastAsia="Times New Roman" w:cstheme="minorHAnsi"/>
          <w:sz w:val="24"/>
          <w:szCs w:val="24"/>
        </w:rPr>
        <w:t xml:space="preserve"> (SQM)</w:t>
      </w:r>
      <w:r w:rsidRPr="00D41B01">
        <w:rPr>
          <w:rFonts w:eastAsia="Times New Roman" w:cstheme="minorHAnsi"/>
          <w:sz w:val="24"/>
          <w:szCs w:val="24"/>
        </w:rPr>
        <w:t xml:space="preserve"> or Lexcel) must also be maintained. The SQM includes further guidance on conducting file reviews at E2.1 to E2.6.</w:t>
      </w:r>
    </w:p>
    <w:p w14:paraId="1461BD00" w14:textId="77777777" w:rsidR="00D41B01" w:rsidRPr="00D41B01" w:rsidRDefault="00D41B01" w:rsidP="00D41B01">
      <w:pPr>
        <w:rPr>
          <w:rFonts w:eastAsia="Arial" w:cstheme="minorHAnsi"/>
          <w:sz w:val="24"/>
          <w:szCs w:val="24"/>
        </w:rPr>
      </w:pPr>
      <w:r w:rsidRPr="00D41B01">
        <w:rPr>
          <w:rFonts w:eastAsia="Times New Roman" w:cstheme="minorHAnsi"/>
          <w:b/>
          <w:bCs/>
          <w:sz w:val="24"/>
          <w:szCs w:val="24"/>
        </w:rPr>
        <w:t>Q:</w:t>
      </w:r>
      <w:r w:rsidRPr="00D41B01">
        <w:rPr>
          <w:rFonts w:eastAsia="Arial" w:cstheme="minorHAnsi"/>
          <w:sz w:val="24"/>
          <w:szCs w:val="24"/>
        </w:rPr>
        <w:t xml:space="preserve"> </w:t>
      </w:r>
      <w:r w:rsidRPr="00D41B01">
        <w:rPr>
          <w:rFonts w:eastAsia="Arial" w:cstheme="minorHAnsi"/>
          <w:b/>
          <w:sz w:val="24"/>
          <w:szCs w:val="24"/>
        </w:rPr>
        <w:t>Can a supervisor be a consultant?</w:t>
      </w:r>
    </w:p>
    <w:p w14:paraId="049C6E3D" w14:textId="77777777" w:rsidR="00D41B01" w:rsidRPr="00D41B01" w:rsidRDefault="00D41B01" w:rsidP="00D41B01">
      <w:pPr>
        <w:rPr>
          <w:rFonts w:eastAsia="Times New Roman" w:cstheme="minorHAnsi"/>
          <w:sz w:val="24"/>
          <w:szCs w:val="24"/>
        </w:rPr>
      </w:pPr>
      <w:r w:rsidRPr="00D41B01">
        <w:rPr>
          <w:rFonts w:eastAsia="Times New Roman" w:cstheme="minorHAnsi"/>
          <w:b/>
          <w:sz w:val="24"/>
          <w:szCs w:val="24"/>
        </w:rPr>
        <w:t xml:space="preserve">A: </w:t>
      </w:r>
      <w:r w:rsidRPr="00D41B01">
        <w:rPr>
          <w:rFonts w:eastAsia="Times New Roman" w:cstheme="minorHAnsi"/>
          <w:sz w:val="24"/>
          <w:szCs w:val="24"/>
        </w:rPr>
        <w:t>No, as per 2.4 Specification, the supervisor must be employed by you, therefore cannot be a consultant.</w:t>
      </w:r>
    </w:p>
    <w:p w14:paraId="003DC759" w14:textId="77777777" w:rsidR="00D41B01" w:rsidRPr="00D41B01" w:rsidRDefault="00D41B01" w:rsidP="00D41B01">
      <w:pPr>
        <w:rPr>
          <w:rFonts w:cstheme="minorHAnsi"/>
          <w:b/>
          <w:bCs/>
          <w:sz w:val="24"/>
          <w:szCs w:val="24"/>
        </w:rPr>
      </w:pPr>
      <w:r w:rsidRPr="00D41B01">
        <w:rPr>
          <w:rFonts w:eastAsia="Times New Roman" w:cstheme="minorHAnsi"/>
          <w:b/>
          <w:sz w:val="24"/>
          <w:szCs w:val="24"/>
        </w:rPr>
        <w:t>Q:</w:t>
      </w:r>
      <w:r w:rsidRPr="00D41B01">
        <w:rPr>
          <w:rFonts w:eastAsia="Arial" w:cstheme="minorHAnsi"/>
          <w:sz w:val="24"/>
          <w:szCs w:val="24"/>
        </w:rPr>
        <w:t xml:space="preserve"> </w:t>
      </w:r>
      <w:r w:rsidRPr="00D41B01">
        <w:rPr>
          <w:rFonts w:cstheme="minorHAnsi"/>
          <w:b/>
          <w:bCs/>
          <w:sz w:val="24"/>
          <w:szCs w:val="24"/>
        </w:rPr>
        <w:t>Since the High Court’s decision in Mazur, paralegals and trainees are only allowed to help qualified solicitors and cannot handle their own files. Does this mean a formal file review isn’t needed, because all their work is supervised by a qualified lawyer?</w:t>
      </w:r>
    </w:p>
    <w:p w14:paraId="5D1542C0" w14:textId="496040B9" w:rsidR="00D41B01" w:rsidRPr="00D41B01" w:rsidRDefault="00D41B01" w:rsidP="00D41B01">
      <w:pPr>
        <w:rPr>
          <w:rFonts w:eastAsia="Times New Roman" w:cstheme="minorHAnsi"/>
          <w:b/>
          <w:bCs/>
          <w:sz w:val="24"/>
          <w:szCs w:val="24"/>
        </w:rPr>
      </w:pPr>
      <w:r w:rsidRPr="00D41B01">
        <w:rPr>
          <w:rFonts w:eastAsia="Times New Roman" w:cstheme="minorHAnsi"/>
          <w:b/>
          <w:sz w:val="24"/>
          <w:szCs w:val="24"/>
        </w:rPr>
        <w:t xml:space="preserve">A: </w:t>
      </w:r>
      <w:r w:rsidRPr="00D41B01">
        <w:rPr>
          <w:rFonts w:eastAsia="Times New Roman" w:cstheme="minorHAnsi"/>
          <w:sz w:val="24"/>
          <w:szCs w:val="24"/>
        </w:rPr>
        <w:t xml:space="preserve">As per 2.18 of the </w:t>
      </w:r>
      <w:r w:rsidR="00F74E17">
        <w:rPr>
          <w:rFonts w:eastAsia="Times New Roman" w:cstheme="minorHAnsi"/>
          <w:sz w:val="24"/>
          <w:szCs w:val="24"/>
        </w:rPr>
        <w:t>c</w:t>
      </w:r>
      <w:r w:rsidRPr="00D41B01">
        <w:rPr>
          <w:rFonts w:eastAsia="Times New Roman" w:cstheme="minorHAnsi"/>
          <w:sz w:val="24"/>
          <w:szCs w:val="24"/>
        </w:rPr>
        <w:t>ontract Specification, supervisors must conduct file reviews for each designated fee earner or caseworker they supervise.</w:t>
      </w:r>
    </w:p>
    <w:p w14:paraId="13AE9A0B" w14:textId="77777777" w:rsidR="00D41B01" w:rsidRPr="00D41B01" w:rsidRDefault="00D41B01" w:rsidP="00D41B01">
      <w:pPr>
        <w:rPr>
          <w:rFonts w:cstheme="minorHAnsi"/>
          <w:b/>
          <w:sz w:val="24"/>
          <w:szCs w:val="24"/>
        </w:rPr>
      </w:pPr>
      <w:r w:rsidRPr="00D41B01">
        <w:rPr>
          <w:rFonts w:eastAsia="Times New Roman" w:cstheme="minorHAnsi"/>
          <w:b/>
          <w:sz w:val="24"/>
          <w:szCs w:val="24"/>
        </w:rPr>
        <w:t>Q:</w:t>
      </w:r>
      <w:r w:rsidRPr="00D41B01">
        <w:rPr>
          <w:rFonts w:eastAsia="Arial" w:cstheme="minorHAnsi"/>
          <w:sz w:val="24"/>
          <w:szCs w:val="24"/>
        </w:rPr>
        <w:t xml:space="preserve"> </w:t>
      </w:r>
      <w:r w:rsidRPr="00D41B01">
        <w:rPr>
          <w:rFonts w:cstheme="minorHAnsi"/>
          <w:b/>
          <w:sz w:val="24"/>
          <w:szCs w:val="24"/>
        </w:rPr>
        <w:t xml:space="preserve">Is there any guidance </w:t>
      </w:r>
      <w:r w:rsidRPr="00D41B01">
        <w:rPr>
          <w:rFonts w:cstheme="minorHAnsi"/>
          <w:b/>
          <w:bCs/>
          <w:sz w:val="24"/>
          <w:szCs w:val="24"/>
        </w:rPr>
        <w:t xml:space="preserve">about how often </w:t>
      </w:r>
      <w:r w:rsidRPr="00D41B01">
        <w:rPr>
          <w:rFonts w:cstheme="minorHAnsi"/>
          <w:b/>
          <w:sz w:val="24"/>
          <w:szCs w:val="24"/>
        </w:rPr>
        <w:t xml:space="preserve">file reviews should </w:t>
      </w:r>
      <w:r w:rsidRPr="00D41B01">
        <w:rPr>
          <w:rFonts w:cstheme="minorHAnsi"/>
          <w:b/>
          <w:bCs/>
          <w:sz w:val="24"/>
          <w:szCs w:val="24"/>
        </w:rPr>
        <w:t xml:space="preserve">happen? You mentioned that it depends on the fee earner’s experience. For instance, if </w:t>
      </w:r>
      <w:r w:rsidRPr="00D41B01">
        <w:rPr>
          <w:rFonts w:cstheme="minorHAnsi"/>
          <w:b/>
          <w:sz w:val="24"/>
          <w:szCs w:val="24"/>
        </w:rPr>
        <w:t xml:space="preserve">a solicitor </w:t>
      </w:r>
      <w:r w:rsidRPr="00D41B01">
        <w:rPr>
          <w:rFonts w:cstheme="minorHAnsi"/>
          <w:b/>
          <w:bCs/>
          <w:sz w:val="24"/>
          <w:szCs w:val="24"/>
        </w:rPr>
        <w:t>has</w:t>
      </w:r>
      <w:r w:rsidRPr="00D41B01">
        <w:rPr>
          <w:rFonts w:cstheme="minorHAnsi"/>
          <w:b/>
          <w:sz w:val="24"/>
          <w:szCs w:val="24"/>
        </w:rPr>
        <w:t xml:space="preserve"> 20 years </w:t>
      </w:r>
      <w:r w:rsidRPr="00D41B01">
        <w:rPr>
          <w:rFonts w:cstheme="minorHAnsi"/>
          <w:b/>
          <w:bCs/>
          <w:sz w:val="24"/>
          <w:szCs w:val="24"/>
        </w:rPr>
        <w:t xml:space="preserve">of </w:t>
      </w:r>
      <w:r w:rsidRPr="00D41B01">
        <w:rPr>
          <w:rFonts w:cstheme="minorHAnsi"/>
          <w:b/>
          <w:sz w:val="24"/>
          <w:szCs w:val="24"/>
        </w:rPr>
        <w:t>experience</w:t>
      </w:r>
      <w:r w:rsidRPr="00D41B01">
        <w:rPr>
          <w:rFonts w:cstheme="minorHAnsi"/>
          <w:b/>
          <w:bCs/>
          <w:sz w:val="24"/>
          <w:szCs w:val="24"/>
        </w:rPr>
        <w:t>, would reviewing their files</w:t>
      </w:r>
      <w:r w:rsidRPr="00D41B01">
        <w:rPr>
          <w:rFonts w:cstheme="minorHAnsi"/>
          <w:b/>
          <w:sz w:val="24"/>
          <w:szCs w:val="24"/>
        </w:rPr>
        <w:t xml:space="preserve"> every </w:t>
      </w:r>
      <w:r w:rsidRPr="00D41B01">
        <w:rPr>
          <w:rFonts w:cstheme="minorHAnsi"/>
          <w:b/>
          <w:bCs/>
          <w:sz w:val="24"/>
          <w:szCs w:val="24"/>
        </w:rPr>
        <w:t>three</w:t>
      </w:r>
      <w:r w:rsidRPr="00D41B01">
        <w:rPr>
          <w:rFonts w:cstheme="minorHAnsi"/>
          <w:b/>
          <w:sz w:val="24"/>
          <w:szCs w:val="24"/>
        </w:rPr>
        <w:t xml:space="preserve"> months be </w:t>
      </w:r>
      <w:r w:rsidRPr="00D41B01">
        <w:rPr>
          <w:rFonts w:cstheme="minorHAnsi"/>
          <w:b/>
          <w:bCs/>
          <w:sz w:val="24"/>
          <w:szCs w:val="24"/>
        </w:rPr>
        <w:t>reasonable</w:t>
      </w:r>
      <w:r w:rsidRPr="00D41B01">
        <w:rPr>
          <w:rFonts w:cstheme="minorHAnsi"/>
          <w:b/>
          <w:sz w:val="24"/>
          <w:szCs w:val="24"/>
        </w:rPr>
        <w:t>?</w:t>
      </w:r>
    </w:p>
    <w:p w14:paraId="2C585524" w14:textId="77777777" w:rsidR="00D41B01" w:rsidRPr="00D41B01" w:rsidRDefault="00D41B01" w:rsidP="00D41B01">
      <w:pPr>
        <w:rPr>
          <w:rFonts w:cstheme="minorHAnsi"/>
          <w:b/>
          <w:bCs/>
          <w:sz w:val="24"/>
          <w:szCs w:val="24"/>
        </w:rPr>
      </w:pPr>
      <w:r w:rsidRPr="00D41B01">
        <w:rPr>
          <w:rFonts w:eastAsia="Times New Roman" w:cstheme="minorHAnsi"/>
          <w:b/>
          <w:bCs/>
          <w:sz w:val="24"/>
          <w:szCs w:val="24"/>
        </w:rPr>
        <w:t xml:space="preserve">A: </w:t>
      </w:r>
      <w:r w:rsidRPr="00D41B01">
        <w:rPr>
          <w:rFonts w:cstheme="minorHAnsi"/>
          <w:sz w:val="24"/>
          <w:szCs w:val="24"/>
        </w:rPr>
        <w:t xml:space="preserve">As per 2.18 of the Specification, the number and frequency of file reviews should be based on the abilities, knowledge and experience of the person being supervised. Each firm is responsible for deciding this and must be able to justify their approach during an audit. Additional guidance on effective supervision is available from page 9 in: </w:t>
      </w:r>
      <w:hyperlink r:id="rId21" w:history="1">
        <w:r w:rsidRPr="00D41B01">
          <w:rPr>
            <w:rStyle w:val="Hyperlink"/>
            <w:rFonts w:cstheme="minorHAnsi"/>
            <w:sz w:val="24"/>
            <w:szCs w:val="24"/>
          </w:rPr>
          <w:t>Supervisor Requirements and Guidance on Effective Supervision</w:t>
        </w:r>
      </w:hyperlink>
    </w:p>
    <w:p w14:paraId="0A11BEC1" w14:textId="77777777" w:rsidR="000D1E22" w:rsidRPr="00D41B01" w:rsidRDefault="000D1E22" w:rsidP="000D1E22">
      <w:pPr>
        <w:rPr>
          <w:rFonts w:cstheme="minorHAnsi"/>
          <w:sz w:val="24"/>
          <w:szCs w:val="24"/>
        </w:rPr>
      </w:pPr>
    </w:p>
    <w:p w14:paraId="65CF957A" w14:textId="77777777" w:rsidR="000D1E22" w:rsidRPr="00D41B01" w:rsidRDefault="000D1E22" w:rsidP="000D1E22">
      <w:pPr>
        <w:rPr>
          <w:rFonts w:cstheme="minorHAnsi"/>
          <w:sz w:val="24"/>
          <w:szCs w:val="24"/>
        </w:rPr>
      </w:pPr>
    </w:p>
    <w:p w14:paraId="67A65F55" w14:textId="77777777" w:rsidR="000D1E22" w:rsidRPr="00D41B01" w:rsidRDefault="000D1E22" w:rsidP="000D1E22">
      <w:pPr>
        <w:rPr>
          <w:rFonts w:cstheme="minorHAnsi"/>
          <w:sz w:val="24"/>
          <w:szCs w:val="24"/>
        </w:rPr>
      </w:pPr>
    </w:p>
    <w:p w14:paraId="471E8EAD" w14:textId="6D6EC53F" w:rsidR="005451D6" w:rsidRDefault="00D63B2D" w:rsidP="005451D6">
      <w:pPr>
        <w:pStyle w:val="Heading1"/>
      </w:pPr>
      <w:r>
        <w:lastRenderedPageBreak/>
        <w:t>Duty solicitor rules</w:t>
      </w:r>
    </w:p>
    <w:p w14:paraId="279510D7" w14:textId="77777777" w:rsidR="00D63B2D" w:rsidRPr="00751AC6" w:rsidRDefault="00D63B2D" w:rsidP="00D63B2D">
      <w:pPr>
        <w:rPr>
          <w:rFonts w:eastAsia="Arial" w:cstheme="minorHAnsi"/>
          <w:sz w:val="24"/>
          <w:szCs w:val="24"/>
        </w:rPr>
      </w:pPr>
      <w:r w:rsidRPr="00751AC6">
        <w:rPr>
          <w:rFonts w:eastAsia="Times New Roman" w:cstheme="minorHAnsi"/>
          <w:b/>
          <w:sz w:val="24"/>
          <w:szCs w:val="24"/>
        </w:rPr>
        <w:t>Q:</w:t>
      </w:r>
      <w:r w:rsidRPr="00751AC6">
        <w:rPr>
          <w:rFonts w:eastAsia="Arial" w:cstheme="minorHAnsi"/>
          <w:sz w:val="24"/>
          <w:szCs w:val="24"/>
        </w:rPr>
        <w:t xml:space="preserve"> </w:t>
      </w:r>
      <w:r w:rsidRPr="00751AC6">
        <w:rPr>
          <w:rFonts w:eastAsia="Arial" w:cstheme="minorHAnsi"/>
          <w:b/>
          <w:sz w:val="24"/>
          <w:szCs w:val="24"/>
        </w:rPr>
        <w:t xml:space="preserve">Can you hold a contract without being on a </w:t>
      </w:r>
      <w:r w:rsidRPr="00751AC6">
        <w:rPr>
          <w:rFonts w:eastAsia="Arial" w:cstheme="minorHAnsi"/>
          <w:b/>
          <w:bCs/>
          <w:sz w:val="24"/>
          <w:szCs w:val="24"/>
        </w:rPr>
        <w:t>duty solicitor</w:t>
      </w:r>
      <w:r w:rsidRPr="00751AC6">
        <w:rPr>
          <w:rFonts w:eastAsia="Arial" w:cstheme="minorHAnsi"/>
          <w:b/>
          <w:sz w:val="24"/>
          <w:szCs w:val="24"/>
        </w:rPr>
        <w:t xml:space="preserve"> rota?</w:t>
      </w:r>
    </w:p>
    <w:p w14:paraId="1CB3E28C" w14:textId="77777777" w:rsidR="00D63B2D" w:rsidRPr="00751AC6" w:rsidRDefault="00D63B2D" w:rsidP="00D63B2D">
      <w:pPr>
        <w:rPr>
          <w:rFonts w:eastAsia="Times New Roman" w:cstheme="minorHAnsi"/>
          <w:sz w:val="24"/>
          <w:szCs w:val="24"/>
        </w:rPr>
      </w:pPr>
      <w:r w:rsidRPr="00751AC6">
        <w:rPr>
          <w:rFonts w:eastAsia="Times New Roman" w:cstheme="minorHAnsi"/>
          <w:b/>
          <w:sz w:val="24"/>
          <w:szCs w:val="24"/>
        </w:rPr>
        <w:t xml:space="preserve">A: </w:t>
      </w:r>
      <w:r w:rsidRPr="00751AC6">
        <w:rPr>
          <w:rFonts w:eastAsia="Times New Roman" w:cstheme="minorHAnsi"/>
          <w:sz w:val="24"/>
          <w:szCs w:val="24"/>
        </w:rPr>
        <w:t>Yes, you can hold a Crime Contract 2025 and conduct own client work only.</w:t>
      </w:r>
    </w:p>
    <w:p w14:paraId="3C06D18D" w14:textId="77777777" w:rsidR="00D63B2D" w:rsidRPr="00751AC6" w:rsidRDefault="00D63B2D" w:rsidP="00D63B2D">
      <w:pPr>
        <w:rPr>
          <w:rFonts w:eastAsia="Arial" w:cstheme="minorHAnsi"/>
          <w:sz w:val="24"/>
          <w:szCs w:val="24"/>
        </w:rPr>
      </w:pPr>
      <w:r w:rsidRPr="00751AC6">
        <w:rPr>
          <w:rFonts w:eastAsia="Times New Roman" w:cstheme="minorHAnsi"/>
          <w:b/>
          <w:bCs/>
          <w:sz w:val="24"/>
          <w:szCs w:val="24"/>
        </w:rPr>
        <w:t>Q:</w:t>
      </w:r>
      <w:r w:rsidRPr="00751AC6">
        <w:rPr>
          <w:rFonts w:eastAsia="Arial" w:cstheme="minorHAnsi"/>
          <w:sz w:val="24"/>
          <w:szCs w:val="24"/>
        </w:rPr>
        <w:t xml:space="preserve"> </w:t>
      </w:r>
      <w:r w:rsidRPr="00751AC6">
        <w:rPr>
          <w:rFonts w:eastAsia="Arial" w:cstheme="minorHAnsi"/>
          <w:b/>
          <w:sz w:val="24"/>
          <w:szCs w:val="24"/>
        </w:rPr>
        <w:t>Is there a minimum amount of contract hours a duty solicitor must undertake per month?</w:t>
      </w:r>
    </w:p>
    <w:p w14:paraId="6CA1ED01" w14:textId="77777777" w:rsidR="00D63B2D" w:rsidRPr="00751AC6" w:rsidRDefault="00D63B2D" w:rsidP="00D63B2D">
      <w:pPr>
        <w:rPr>
          <w:rFonts w:eastAsia="Times New Roman" w:cstheme="minorHAnsi"/>
          <w:b/>
          <w:bCs/>
          <w:sz w:val="24"/>
          <w:szCs w:val="24"/>
        </w:rPr>
      </w:pPr>
      <w:r w:rsidRPr="00751AC6">
        <w:rPr>
          <w:rFonts w:eastAsia="Times New Roman" w:cstheme="minorHAnsi"/>
          <w:b/>
          <w:bCs/>
          <w:sz w:val="24"/>
          <w:szCs w:val="24"/>
        </w:rPr>
        <w:t>A:</w:t>
      </w:r>
      <w:r w:rsidRPr="00751AC6">
        <w:rPr>
          <w:rFonts w:cstheme="minorHAnsi"/>
          <w:sz w:val="24"/>
          <w:szCs w:val="24"/>
        </w:rPr>
        <w:t xml:space="preserve"> Yes, to maintain duty solicitor status, as per 6.22 and 6.23 of the Specification, a duty solicitor must complete at least 50 hours of criminal defence work per calendar month </w:t>
      </w:r>
      <w:r w:rsidRPr="00751AC6">
        <w:rPr>
          <w:rFonts w:eastAsia="Arial" w:cstheme="minorHAnsi"/>
          <w:sz w:val="24"/>
          <w:szCs w:val="24"/>
        </w:rPr>
        <w:t>from the office for which those duty slots have been obtained.</w:t>
      </w:r>
    </w:p>
    <w:p w14:paraId="1B0E36F4" w14:textId="77777777" w:rsidR="00D63B2D" w:rsidRPr="00751AC6" w:rsidRDefault="00D63B2D" w:rsidP="00D63B2D">
      <w:pPr>
        <w:rPr>
          <w:rFonts w:cstheme="minorHAnsi"/>
          <w:b/>
          <w:bCs/>
          <w:sz w:val="24"/>
          <w:szCs w:val="24"/>
        </w:rPr>
      </w:pPr>
      <w:r w:rsidRPr="00751AC6">
        <w:rPr>
          <w:rFonts w:cstheme="minorHAnsi"/>
          <w:b/>
          <w:bCs/>
          <w:sz w:val="24"/>
          <w:szCs w:val="24"/>
        </w:rPr>
        <w:t>Q: Have the minimum compliance requirements for duty solicitors changed, specifically regarding the requirement to complete 50 hours of criminal defence work per calendar month?</w:t>
      </w:r>
    </w:p>
    <w:p w14:paraId="0B5EDE39" w14:textId="4397E478"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 xml:space="preserve">No, as set out in sections 6.22 and 6.23 of the Specification, duty solicitors must complete 50 hours of criminal defence work per calendar month. To maintain ‘duty solicitor’ status, these must be completed from </w:t>
      </w:r>
      <w:r w:rsidRPr="00751AC6">
        <w:rPr>
          <w:rFonts w:eastAsia="Arial" w:cstheme="minorHAnsi"/>
          <w:sz w:val="24"/>
          <w:szCs w:val="24"/>
        </w:rPr>
        <w:t>the office where those duty slots are allocated. However, t</w:t>
      </w:r>
      <w:r w:rsidRPr="00751AC6">
        <w:rPr>
          <w:rFonts w:cstheme="minorHAnsi"/>
          <w:sz w:val="24"/>
          <w:szCs w:val="24"/>
        </w:rPr>
        <w:t>he number of required police station and court attendances specified in paragraph 6.21 has been updated to align with the supervisor attendance requirements.</w:t>
      </w:r>
    </w:p>
    <w:p w14:paraId="517FF14B" w14:textId="77777777" w:rsidR="00D63B2D" w:rsidRPr="00751AC6" w:rsidRDefault="00D63B2D" w:rsidP="00D63B2D">
      <w:pPr>
        <w:rPr>
          <w:rFonts w:cstheme="minorHAnsi"/>
          <w:b/>
          <w:bCs/>
          <w:sz w:val="24"/>
          <w:szCs w:val="24"/>
        </w:rPr>
      </w:pPr>
      <w:r w:rsidRPr="00751AC6">
        <w:rPr>
          <w:rFonts w:cstheme="minorHAnsi"/>
          <w:b/>
          <w:bCs/>
          <w:sz w:val="24"/>
          <w:szCs w:val="24"/>
        </w:rPr>
        <w:t>Q: Does the requirement for "one duty slot in your name" also cover court duty slots?</w:t>
      </w:r>
    </w:p>
    <w:p w14:paraId="3458BA1D" w14:textId="21ECD865"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 xml:space="preserve">Yes, as per the Specification, a </w:t>
      </w:r>
      <w:r w:rsidR="00751AC6">
        <w:rPr>
          <w:rFonts w:cstheme="minorHAnsi"/>
          <w:sz w:val="24"/>
          <w:szCs w:val="24"/>
        </w:rPr>
        <w:t>‘</w:t>
      </w:r>
      <w:r w:rsidRPr="00751AC6">
        <w:rPr>
          <w:rFonts w:cstheme="minorHAnsi"/>
          <w:sz w:val="24"/>
          <w:szCs w:val="24"/>
        </w:rPr>
        <w:t>Duty Period</w:t>
      </w:r>
      <w:r w:rsidR="00751AC6">
        <w:rPr>
          <w:rFonts w:cstheme="minorHAnsi"/>
          <w:sz w:val="24"/>
          <w:szCs w:val="24"/>
        </w:rPr>
        <w:t>’</w:t>
      </w:r>
      <w:r w:rsidRPr="00751AC6">
        <w:rPr>
          <w:rFonts w:cstheme="minorHAnsi"/>
          <w:sz w:val="24"/>
          <w:szCs w:val="24"/>
        </w:rPr>
        <w:t xml:space="preserve"> or </w:t>
      </w:r>
      <w:r w:rsidR="00751AC6">
        <w:rPr>
          <w:rFonts w:cstheme="minorHAnsi"/>
          <w:sz w:val="24"/>
          <w:szCs w:val="24"/>
        </w:rPr>
        <w:t>‘</w:t>
      </w:r>
      <w:r w:rsidRPr="00751AC6">
        <w:rPr>
          <w:rFonts w:cstheme="minorHAnsi"/>
          <w:sz w:val="24"/>
          <w:szCs w:val="24"/>
        </w:rPr>
        <w:t>Duty Slot</w:t>
      </w:r>
      <w:r w:rsidR="00751AC6">
        <w:rPr>
          <w:rFonts w:cstheme="minorHAnsi"/>
          <w:sz w:val="24"/>
          <w:szCs w:val="24"/>
        </w:rPr>
        <w:t>’</w:t>
      </w:r>
      <w:r w:rsidRPr="00751AC6">
        <w:rPr>
          <w:rFonts w:cstheme="minorHAnsi"/>
          <w:sz w:val="24"/>
          <w:szCs w:val="24"/>
        </w:rPr>
        <w:t xml:space="preserve"> refers to a set time when a duty solicitor must be available to provide advice, assistance, or advocacy under the duty scheme. This applies to both court duty and police station duty.</w:t>
      </w:r>
    </w:p>
    <w:p w14:paraId="4AE8CBA4" w14:textId="77777777" w:rsidR="00D63B2D" w:rsidRPr="00751AC6" w:rsidRDefault="00D63B2D" w:rsidP="00D63B2D">
      <w:pPr>
        <w:rPr>
          <w:rFonts w:cstheme="minorHAnsi"/>
          <w:b/>
          <w:bCs/>
          <w:sz w:val="24"/>
          <w:szCs w:val="24"/>
        </w:rPr>
      </w:pPr>
      <w:r w:rsidRPr="00751AC6">
        <w:rPr>
          <w:rFonts w:cstheme="minorHAnsi"/>
          <w:b/>
          <w:bCs/>
          <w:sz w:val="24"/>
          <w:szCs w:val="24"/>
        </w:rPr>
        <w:t>Q: Regarding the requirement for one duty slot in your name, what exactly is expected? Do you need to handle all cases during that slot, even though it is often not possible because several cases may be ready at the same time?</w:t>
      </w:r>
    </w:p>
    <w:p w14:paraId="5FD93C00" w14:textId="77777777"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To meet the criteria, you must personally attend the duty slot assigned to you. Under paragraph 6.21(d) of the Specification, continuing to undertake duty solicitor work requires that, within each rolling three-month period, you complete at least one police station duty solicitor attendance (not including telephone advice) or attend a duty slot allocated in your name. It does not matter how many clients you see during that slot; simply being present for the scheduled duty slot is enough to satisfy the requirement.</w:t>
      </w:r>
    </w:p>
    <w:p w14:paraId="2BDFBBA5" w14:textId="77777777" w:rsidR="00D63B2D" w:rsidRPr="00751AC6" w:rsidRDefault="00D63B2D" w:rsidP="00D63B2D">
      <w:pPr>
        <w:rPr>
          <w:rFonts w:cstheme="minorHAnsi"/>
          <w:b/>
          <w:bCs/>
          <w:sz w:val="24"/>
          <w:szCs w:val="24"/>
        </w:rPr>
      </w:pPr>
      <w:r w:rsidRPr="00751AC6">
        <w:rPr>
          <w:rFonts w:cstheme="minorHAnsi"/>
          <w:b/>
          <w:bCs/>
          <w:sz w:val="24"/>
          <w:szCs w:val="24"/>
        </w:rPr>
        <w:t>Q: Is it permissible for two individuals to share the three-month requirement by one covering the morning and the other the afternoon?</w:t>
      </w:r>
    </w:p>
    <w:p w14:paraId="412E7525" w14:textId="77777777" w:rsidR="00D63B2D" w:rsidRPr="00751AC6" w:rsidRDefault="00D63B2D" w:rsidP="00D63B2D">
      <w:pPr>
        <w:rPr>
          <w:rFonts w:cstheme="minorHAnsi"/>
          <w:sz w:val="24"/>
          <w:szCs w:val="24"/>
        </w:rPr>
      </w:pPr>
      <w:r w:rsidRPr="00751AC6">
        <w:rPr>
          <w:rFonts w:cstheme="minorHAnsi"/>
          <w:b/>
          <w:sz w:val="24"/>
          <w:szCs w:val="24"/>
        </w:rPr>
        <w:t>A</w:t>
      </w:r>
      <w:r w:rsidRPr="00751AC6">
        <w:rPr>
          <w:rFonts w:cstheme="minorHAnsi"/>
          <w:b/>
          <w:bCs/>
          <w:sz w:val="24"/>
          <w:szCs w:val="24"/>
        </w:rPr>
        <w:t xml:space="preserve">: </w:t>
      </w:r>
      <w:r w:rsidRPr="00751AC6">
        <w:rPr>
          <w:rFonts w:cstheme="minorHAnsi"/>
          <w:sz w:val="24"/>
          <w:szCs w:val="24"/>
        </w:rPr>
        <w:t>The duty slot allocated under section 6.21(d) of the Specification cannot be shared between two individuals. Only the duty solicitor to whom the slot is assigned can fulfil this requirement.</w:t>
      </w:r>
    </w:p>
    <w:p w14:paraId="2E50DBDE" w14:textId="77777777" w:rsidR="00D63B2D" w:rsidRPr="00751AC6" w:rsidRDefault="00D63B2D" w:rsidP="00D63B2D">
      <w:pPr>
        <w:rPr>
          <w:rFonts w:cstheme="minorHAnsi"/>
          <w:b/>
          <w:bCs/>
          <w:sz w:val="24"/>
          <w:szCs w:val="24"/>
        </w:rPr>
      </w:pPr>
      <w:r w:rsidRPr="00751AC6">
        <w:rPr>
          <w:rFonts w:cstheme="minorHAnsi"/>
          <w:b/>
          <w:bCs/>
          <w:sz w:val="24"/>
          <w:szCs w:val="24"/>
        </w:rPr>
        <w:t>Q: To confirm, the requirement can be met by either attending one police station duty case or one court duty slot? I previously understood this as referring specifically to a police station duty slot.</w:t>
      </w:r>
    </w:p>
    <w:p w14:paraId="6F0F9BCD" w14:textId="77777777" w:rsidR="00D63B2D" w:rsidRPr="00751AC6" w:rsidRDefault="00D63B2D" w:rsidP="00D63B2D">
      <w:pPr>
        <w:rPr>
          <w:rFonts w:cstheme="minorHAnsi"/>
          <w:sz w:val="24"/>
          <w:szCs w:val="24"/>
        </w:rPr>
      </w:pPr>
      <w:r w:rsidRPr="00751AC6">
        <w:rPr>
          <w:rFonts w:cstheme="minorHAnsi"/>
          <w:b/>
          <w:bCs/>
          <w:sz w:val="24"/>
          <w:szCs w:val="24"/>
        </w:rPr>
        <w:lastRenderedPageBreak/>
        <w:t xml:space="preserve">A: </w:t>
      </w:r>
      <w:r w:rsidRPr="00751AC6">
        <w:rPr>
          <w:rFonts w:cstheme="minorHAnsi"/>
          <w:sz w:val="24"/>
          <w:szCs w:val="24"/>
        </w:rPr>
        <w:t>Yes, according to the Specification, a "Duty Period" or "Duty Slot" refers to a set time when a duty solicitor must be available to provide advice and assistance, or advocacy assistance as part of the duty scheme. This includes both court duty and police station duty.</w:t>
      </w:r>
    </w:p>
    <w:p w14:paraId="44D9049A" w14:textId="77777777" w:rsidR="00D63B2D" w:rsidRPr="00751AC6" w:rsidRDefault="00D63B2D" w:rsidP="00D63B2D">
      <w:pPr>
        <w:rPr>
          <w:rFonts w:cstheme="minorHAnsi"/>
          <w:b/>
          <w:bCs/>
          <w:sz w:val="24"/>
          <w:szCs w:val="24"/>
        </w:rPr>
      </w:pPr>
      <w:r w:rsidRPr="00751AC6">
        <w:rPr>
          <w:rFonts w:cstheme="minorHAnsi"/>
          <w:b/>
          <w:bCs/>
          <w:sz w:val="24"/>
          <w:szCs w:val="24"/>
        </w:rPr>
        <w:t>Q: Do I need to complete 20 magistrates’ court cases each year to fulfil the duty solicitor requirements?</w:t>
      </w:r>
    </w:p>
    <w:p w14:paraId="54926EF9" w14:textId="032C2899"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As per section 6.21(c</w:t>
      </w:r>
      <w:r w:rsidR="00AD5079" w:rsidRPr="00751AC6">
        <w:rPr>
          <w:rFonts w:cstheme="minorHAnsi"/>
          <w:sz w:val="24"/>
          <w:szCs w:val="24"/>
        </w:rPr>
        <w:t>), to</w:t>
      </w:r>
      <w:r w:rsidRPr="00751AC6">
        <w:rPr>
          <w:rFonts w:cstheme="minorHAnsi"/>
          <w:sz w:val="24"/>
          <w:szCs w:val="24"/>
        </w:rPr>
        <w:t xml:space="preserve"> retain your duty solicitor slots, you must complete either at least 20 magistrates' court representations and advocacy (including representing a client during a magistrates' court duty session, with each session counting as one representation); or at least 10 magistrates' court representations and advocacy and five Crown Court representations and advocacy within any 12-month rolling period.</w:t>
      </w:r>
    </w:p>
    <w:p w14:paraId="10B816EF" w14:textId="77777777" w:rsidR="00D63B2D" w:rsidRPr="00751AC6" w:rsidRDefault="00D63B2D" w:rsidP="00D63B2D">
      <w:pPr>
        <w:rPr>
          <w:rFonts w:cstheme="minorHAnsi"/>
          <w:b/>
          <w:bCs/>
          <w:sz w:val="24"/>
          <w:szCs w:val="24"/>
        </w:rPr>
      </w:pPr>
      <w:r w:rsidRPr="00751AC6">
        <w:rPr>
          <w:rFonts w:cstheme="minorHAnsi"/>
          <w:b/>
          <w:bCs/>
          <w:sz w:val="24"/>
          <w:szCs w:val="24"/>
        </w:rPr>
        <w:t>Q: What should you do if you are unable to perform your duty work due to illness or other circumstances?</w:t>
      </w:r>
    </w:p>
    <w:p w14:paraId="01548573" w14:textId="4ECF563C"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If a duty solicitor is absent due to sick leave, the firm may continue to retain their allocated duty slots for up to six months from the start date of their absence, in accordance with section 6.24 and 6.28 of the Specification.</w:t>
      </w:r>
    </w:p>
    <w:p w14:paraId="22905037" w14:textId="77777777" w:rsidR="00D63B2D" w:rsidRPr="00751AC6" w:rsidRDefault="00D63B2D" w:rsidP="00D63B2D">
      <w:pPr>
        <w:rPr>
          <w:rFonts w:cstheme="minorHAnsi"/>
          <w:sz w:val="24"/>
          <w:szCs w:val="24"/>
        </w:rPr>
      </w:pPr>
      <w:r w:rsidRPr="00751AC6">
        <w:rPr>
          <w:rFonts w:cstheme="minorHAnsi"/>
          <w:b/>
          <w:bCs/>
          <w:sz w:val="24"/>
          <w:szCs w:val="24"/>
        </w:rPr>
        <w:t>Q: Could you provide further clarification regarding the requirement for duty solicitors to attend any court room during their duty period?</w:t>
      </w:r>
    </w:p>
    <w:p w14:paraId="156213BE" w14:textId="77777777" w:rsidR="00D63B2D" w:rsidRPr="00751AC6" w:rsidRDefault="00D63B2D" w:rsidP="00D63B2D">
      <w:pPr>
        <w:rPr>
          <w:rFonts w:cstheme="minorHAnsi"/>
          <w:sz w:val="24"/>
          <w:szCs w:val="24"/>
        </w:rPr>
      </w:pPr>
      <w:r w:rsidRPr="00751AC6">
        <w:rPr>
          <w:rFonts w:cstheme="minorHAnsi"/>
          <w:b/>
          <w:sz w:val="24"/>
          <w:szCs w:val="24"/>
        </w:rPr>
        <w:t xml:space="preserve">A: </w:t>
      </w:r>
      <w:r w:rsidRPr="00751AC6">
        <w:rPr>
          <w:rFonts w:cstheme="minorHAnsi"/>
          <w:sz w:val="24"/>
          <w:szCs w:val="24"/>
        </w:rPr>
        <w:t>Please see 10.12 Specification which states:</w:t>
      </w:r>
    </w:p>
    <w:p w14:paraId="6E9C231F" w14:textId="77777777" w:rsidR="00D63B2D" w:rsidRPr="00751AC6" w:rsidRDefault="00D63B2D" w:rsidP="00D63B2D">
      <w:pPr>
        <w:ind w:left="720"/>
        <w:rPr>
          <w:rFonts w:cstheme="minorHAnsi"/>
          <w:i/>
          <w:iCs/>
          <w:sz w:val="24"/>
          <w:szCs w:val="24"/>
        </w:rPr>
      </w:pPr>
      <w:r w:rsidRPr="00751AC6">
        <w:rPr>
          <w:rFonts w:cstheme="minorHAnsi"/>
          <w:i/>
          <w:iCs/>
          <w:sz w:val="24"/>
          <w:szCs w:val="24"/>
        </w:rPr>
        <w:t>‘A Duty Solicitor is required, where requested by the court, to provide Duty Solicitor services in any court room during the Duty Period at a specified Magistrates’ court and not only at a specific room listed on any rota document or similar.’</w:t>
      </w:r>
    </w:p>
    <w:p w14:paraId="76FC3C34" w14:textId="77777777" w:rsidR="00D63B2D" w:rsidRPr="00751AC6" w:rsidRDefault="00D63B2D" w:rsidP="00D63B2D">
      <w:pPr>
        <w:rPr>
          <w:rFonts w:cstheme="minorHAnsi"/>
          <w:b/>
          <w:bCs/>
          <w:sz w:val="24"/>
          <w:szCs w:val="24"/>
        </w:rPr>
      </w:pPr>
      <w:r w:rsidRPr="00751AC6">
        <w:rPr>
          <w:rFonts w:cstheme="minorHAnsi"/>
          <w:b/>
          <w:bCs/>
          <w:sz w:val="24"/>
          <w:szCs w:val="24"/>
        </w:rPr>
        <w:t>Q: If I am on bail court duty and the court asks me to assist with remand court duty, am I required to do so even if the remand duty solicitor does not want my help, would prefer to handle their own work, and wishes to retain the associated fees?</w:t>
      </w:r>
    </w:p>
    <w:p w14:paraId="459E9AB1" w14:textId="77777777" w:rsidR="00D63B2D" w:rsidRPr="00751AC6" w:rsidRDefault="00D63B2D" w:rsidP="00D63B2D">
      <w:pPr>
        <w:rPr>
          <w:rFonts w:cstheme="minorHAnsi"/>
          <w:sz w:val="24"/>
          <w:szCs w:val="24"/>
        </w:rPr>
      </w:pPr>
      <w:r w:rsidRPr="00751AC6">
        <w:rPr>
          <w:rFonts w:cstheme="minorHAnsi"/>
          <w:b/>
          <w:bCs/>
          <w:sz w:val="24"/>
          <w:szCs w:val="24"/>
        </w:rPr>
        <w:t xml:space="preserve">A: </w:t>
      </w:r>
      <w:r w:rsidRPr="00751AC6">
        <w:rPr>
          <w:rFonts w:cstheme="minorHAnsi"/>
          <w:sz w:val="24"/>
          <w:szCs w:val="24"/>
        </w:rPr>
        <w:t>Please see 10.12 Specification which states:</w:t>
      </w:r>
    </w:p>
    <w:p w14:paraId="70A13F41" w14:textId="77777777" w:rsidR="00D63B2D" w:rsidRPr="00751AC6" w:rsidRDefault="00D63B2D" w:rsidP="00D63B2D">
      <w:pPr>
        <w:ind w:left="720"/>
        <w:rPr>
          <w:rFonts w:cstheme="minorHAnsi"/>
          <w:i/>
          <w:sz w:val="24"/>
          <w:szCs w:val="24"/>
        </w:rPr>
      </w:pPr>
      <w:r w:rsidRPr="00751AC6">
        <w:rPr>
          <w:rFonts w:cstheme="minorHAnsi"/>
          <w:i/>
          <w:sz w:val="24"/>
          <w:szCs w:val="24"/>
        </w:rPr>
        <w:t>‘A Duty Solicitor is required, where requested by the court, to provide Duty Solicitor services in any court room during the Duty Period at a specified Magistrates’ court and not only at a specific room listed on any rota document or similar.’</w:t>
      </w:r>
    </w:p>
    <w:p w14:paraId="7504A156" w14:textId="524DDE6D" w:rsidR="00D63B2D" w:rsidRPr="00751AC6" w:rsidRDefault="00D63B2D" w:rsidP="00D63B2D">
      <w:pPr>
        <w:rPr>
          <w:rFonts w:cstheme="minorHAnsi"/>
          <w:sz w:val="24"/>
          <w:szCs w:val="24"/>
        </w:rPr>
      </w:pPr>
      <w:r w:rsidRPr="00751AC6">
        <w:rPr>
          <w:rFonts w:cstheme="minorHAnsi"/>
          <w:sz w:val="24"/>
          <w:szCs w:val="24"/>
        </w:rPr>
        <w:t xml:space="preserve">In the scenario described, if the court asks, the solicitor assigned to bail court </w:t>
      </w:r>
      <w:r w:rsidR="002B3B97" w:rsidRPr="00751AC6">
        <w:rPr>
          <w:rFonts w:cstheme="minorHAnsi"/>
          <w:sz w:val="24"/>
          <w:szCs w:val="24"/>
        </w:rPr>
        <w:t>duty should</w:t>
      </w:r>
      <w:r w:rsidRPr="00751AC6">
        <w:rPr>
          <w:rFonts w:cstheme="minorHAnsi"/>
          <w:sz w:val="24"/>
          <w:szCs w:val="24"/>
        </w:rPr>
        <w:t xml:space="preserve"> also handle remand court duty matters.</w:t>
      </w:r>
    </w:p>
    <w:p w14:paraId="4DAE62D7" w14:textId="77777777" w:rsidR="00D63B2D" w:rsidRPr="00751AC6" w:rsidRDefault="00D63B2D" w:rsidP="00D63B2D">
      <w:pPr>
        <w:rPr>
          <w:rFonts w:cstheme="minorHAnsi"/>
          <w:b/>
          <w:bCs/>
          <w:sz w:val="24"/>
          <w:szCs w:val="24"/>
        </w:rPr>
      </w:pPr>
      <w:r w:rsidRPr="00751AC6">
        <w:rPr>
          <w:rFonts w:cstheme="minorHAnsi"/>
          <w:b/>
          <w:bCs/>
          <w:sz w:val="24"/>
          <w:szCs w:val="24"/>
        </w:rPr>
        <w:t>Q: If a solicitor is unable to complete an in-person police station duty attendance or at least one court duty slot within a rolling three-month period, for example due to illness, is it permissible for them to compensate by undertaking two duty slots in a subsequent three-month period?</w:t>
      </w:r>
    </w:p>
    <w:p w14:paraId="3612C306" w14:textId="066AAA7F" w:rsidR="00D63B2D" w:rsidRPr="00751AC6" w:rsidRDefault="00D63B2D" w:rsidP="00D63B2D">
      <w:pPr>
        <w:rPr>
          <w:rFonts w:cstheme="minorHAnsi"/>
          <w:sz w:val="24"/>
          <w:szCs w:val="24"/>
        </w:rPr>
      </w:pPr>
      <w:r w:rsidRPr="00751AC6">
        <w:rPr>
          <w:rFonts w:cstheme="minorHAnsi"/>
          <w:b/>
          <w:sz w:val="24"/>
          <w:szCs w:val="24"/>
        </w:rPr>
        <w:t xml:space="preserve">A: </w:t>
      </w:r>
      <w:r w:rsidRPr="00751AC6">
        <w:rPr>
          <w:rFonts w:cstheme="minorHAnsi"/>
          <w:sz w:val="24"/>
          <w:szCs w:val="24"/>
        </w:rPr>
        <w:t>There sa</w:t>
      </w:r>
      <w:r w:rsidR="002B3B97">
        <w:rPr>
          <w:rFonts w:cstheme="minorHAnsi"/>
          <w:sz w:val="24"/>
          <w:szCs w:val="24"/>
        </w:rPr>
        <w:t>m</w:t>
      </w:r>
      <w:r w:rsidRPr="00751AC6">
        <w:rPr>
          <w:rFonts w:cstheme="minorHAnsi"/>
          <w:sz w:val="24"/>
          <w:szCs w:val="24"/>
        </w:rPr>
        <w:t>e provisions at 6.24(b) &amp; 6.28(c) of the Specification which explain how slots can be retained during instances of sickness absence.</w:t>
      </w:r>
    </w:p>
    <w:p w14:paraId="08D08CC2" w14:textId="77777777" w:rsidR="00D63B2D" w:rsidRPr="00751AC6" w:rsidRDefault="00D63B2D" w:rsidP="00D63B2D">
      <w:pPr>
        <w:rPr>
          <w:rFonts w:cstheme="minorHAnsi"/>
          <w:i/>
          <w:sz w:val="24"/>
          <w:szCs w:val="24"/>
        </w:rPr>
      </w:pPr>
      <w:r w:rsidRPr="00751AC6">
        <w:rPr>
          <w:rFonts w:cstheme="minorHAnsi"/>
          <w:i/>
          <w:iCs/>
          <w:sz w:val="24"/>
          <w:szCs w:val="24"/>
        </w:rPr>
        <w:t xml:space="preserve">6.24. </w:t>
      </w:r>
      <w:r w:rsidRPr="00751AC6">
        <w:rPr>
          <w:rFonts w:cstheme="minorHAnsi"/>
          <w:i/>
          <w:sz w:val="24"/>
          <w:szCs w:val="24"/>
        </w:rPr>
        <w:t xml:space="preserve">You may retain duty slots allocated in respect of duty solicitors where the named duty solicitor is: </w:t>
      </w:r>
    </w:p>
    <w:p w14:paraId="43B49E35" w14:textId="77777777" w:rsidR="00D63B2D" w:rsidRPr="00751AC6" w:rsidRDefault="00D63B2D" w:rsidP="00D63B2D">
      <w:pPr>
        <w:ind w:left="720"/>
        <w:rPr>
          <w:rFonts w:cstheme="minorHAnsi"/>
          <w:i/>
          <w:sz w:val="24"/>
          <w:szCs w:val="24"/>
        </w:rPr>
      </w:pPr>
      <w:r w:rsidRPr="00751AC6">
        <w:rPr>
          <w:rFonts w:cstheme="minorHAnsi"/>
          <w:i/>
          <w:sz w:val="24"/>
          <w:szCs w:val="24"/>
        </w:rPr>
        <w:lastRenderedPageBreak/>
        <w:t>‘(b) absent as a result of period of sick leave up to a maximum of six months from the date of first absence.’</w:t>
      </w:r>
    </w:p>
    <w:p w14:paraId="032625C8" w14:textId="77777777" w:rsidR="00D63B2D" w:rsidRPr="00751AC6" w:rsidRDefault="00D63B2D" w:rsidP="00D63B2D">
      <w:pPr>
        <w:rPr>
          <w:rFonts w:cstheme="minorHAnsi"/>
          <w:i/>
          <w:iCs/>
          <w:sz w:val="24"/>
          <w:szCs w:val="24"/>
        </w:rPr>
      </w:pPr>
      <w:r w:rsidRPr="00751AC6">
        <w:rPr>
          <w:rFonts w:eastAsia="Arial" w:cstheme="minorHAnsi"/>
          <w:i/>
          <w:iCs/>
          <w:sz w:val="24"/>
          <w:szCs w:val="24"/>
        </w:rPr>
        <w:t>6.28 You must notify us immediately if any of the following circumstances arises:</w:t>
      </w:r>
    </w:p>
    <w:p w14:paraId="69842AEB" w14:textId="77777777" w:rsidR="00D63B2D" w:rsidRPr="00751AC6" w:rsidRDefault="00D63B2D" w:rsidP="00D63B2D">
      <w:pPr>
        <w:rPr>
          <w:rFonts w:eastAsia="Arial" w:cstheme="minorHAnsi"/>
          <w:i/>
          <w:iCs/>
          <w:sz w:val="24"/>
          <w:szCs w:val="24"/>
        </w:rPr>
      </w:pPr>
      <w:r w:rsidRPr="00751AC6">
        <w:rPr>
          <w:rFonts w:cstheme="minorHAnsi"/>
          <w:i/>
          <w:iCs/>
          <w:sz w:val="24"/>
          <w:szCs w:val="24"/>
        </w:rPr>
        <w:tab/>
      </w:r>
      <w:r w:rsidRPr="00751AC6">
        <w:rPr>
          <w:rFonts w:eastAsia="Arial" w:cstheme="minorHAnsi"/>
          <w:i/>
          <w:iCs/>
          <w:sz w:val="24"/>
          <w:szCs w:val="24"/>
        </w:rPr>
        <w:t xml:space="preserve">(c) a Duty Solicitor is absent as a result of sick leave for at least two months </w:t>
      </w:r>
      <w:r w:rsidRPr="00751AC6">
        <w:rPr>
          <w:rFonts w:cstheme="minorHAnsi"/>
          <w:i/>
          <w:iCs/>
          <w:sz w:val="24"/>
          <w:szCs w:val="24"/>
        </w:rPr>
        <w:tab/>
      </w:r>
      <w:r w:rsidRPr="00751AC6">
        <w:rPr>
          <w:rFonts w:eastAsia="Arial" w:cstheme="minorHAnsi"/>
          <w:i/>
          <w:iCs/>
          <w:sz w:val="24"/>
          <w:szCs w:val="24"/>
        </w:rPr>
        <w:t>and for any period in excess of six months from the date of first absence;</w:t>
      </w:r>
    </w:p>
    <w:p w14:paraId="0E6F5B3C" w14:textId="77777777" w:rsidR="00D63B2D" w:rsidRPr="00751AC6" w:rsidRDefault="00D63B2D" w:rsidP="00D63B2D">
      <w:pPr>
        <w:rPr>
          <w:rFonts w:cstheme="minorHAnsi"/>
          <w:b/>
          <w:bCs/>
          <w:sz w:val="24"/>
          <w:szCs w:val="24"/>
        </w:rPr>
      </w:pPr>
      <w:r w:rsidRPr="00751AC6">
        <w:rPr>
          <w:rFonts w:cstheme="minorHAnsi"/>
          <w:b/>
          <w:bCs/>
          <w:sz w:val="24"/>
          <w:szCs w:val="24"/>
        </w:rPr>
        <w:t>Q: Is it reasonable to expect a solicitor to stop working for their own client when a duty case arises especially since we don't get paid for travelling to court or for related expenses unless we're representing our own client and can claim these costs on their file?</w:t>
      </w:r>
    </w:p>
    <w:p w14:paraId="610BB974" w14:textId="04CDDD67" w:rsidR="00D63B2D" w:rsidRPr="002B3B97" w:rsidRDefault="00D63B2D" w:rsidP="00D63B2D">
      <w:pPr>
        <w:rPr>
          <w:rFonts w:eastAsia="Times New Roman" w:cstheme="minorHAnsi"/>
          <w:sz w:val="24"/>
          <w:szCs w:val="24"/>
        </w:rPr>
      </w:pPr>
      <w:r w:rsidRPr="00751AC6">
        <w:rPr>
          <w:rFonts w:eastAsia="Times New Roman" w:cstheme="minorHAnsi"/>
          <w:b/>
          <w:bCs/>
          <w:sz w:val="24"/>
          <w:szCs w:val="24"/>
        </w:rPr>
        <w:t xml:space="preserve">A: </w:t>
      </w:r>
      <w:r w:rsidRPr="002B3B97">
        <w:rPr>
          <w:rFonts w:eastAsia="Times New Roman" w:cstheme="minorHAnsi"/>
          <w:sz w:val="24"/>
          <w:szCs w:val="24"/>
        </w:rPr>
        <w:t xml:space="preserve">Under 10.16 of the </w:t>
      </w:r>
      <w:r w:rsidR="002B3B97" w:rsidRPr="002B3B97">
        <w:rPr>
          <w:rFonts w:eastAsia="Times New Roman" w:cstheme="minorHAnsi"/>
          <w:sz w:val="24"/>
          <w:szCs w:val="24"/>
        </w:rPr>
        <w:t>Specification,</w:t>
      </w:r>
      <w:r w:rsidRPr="002B3B97">
        <w:rPr>
          <w:rFonts w:eastAsia="Times New Roman" w:cstheme="minorHAnsi"/>
          <w:sz w:val="24"/>
          <w:szCs w:val="24"/>
        </w:rPr>
        <w:t xml:space="preserve"> you may carry out work for your own clients while covering a court duty slot, provided this does not interfere with your court duty responsibilities.</w:t>
      </w:r>
    </w:p>
    <w:p w14:paraId="19D67ADF" w14:textId="77777777" w:rsidR="00D63B2D" w:rsidRPr="00751AC6" w:rsidRDefault="00D63B2D" w:rsidP="00D63B2D">
      <w:pPr>
        <w:rPr>
          <w:rFonts w:cstheme="minorHAnsi"/>
          <w:b/>
          <w:bCs/>
          <w:sz w:val="24"/>
          <w:szCs w:val="24"/>
        </w:rPr>
      </w:pPr>
      <w:r w:rsidRPr="00751AC6">
        <w:rPr>
          <w:rFonts w:eastAsia="Times New Roman" w:cstheme="minorHAnsi"/>
          <w:b/>
          <w:bCs/>
          <w:sz w:val="24"/>
          <w:szCs w:val="24"/>
        </w:rPr>
        <w:t>Q:</w:t>
      </w:r>
      <w:r w:rsidRPr="00751AC6">
        <w:rPr>
          <w:rFonts w:eastAsia="Arial" w:cstheme="minorHAnsi"/>
          <w:sz w:val="24"/>
          <w:szCs w:val="24"/>
        </w:rPr>
        <w:t xml:space="preserve"> </w:t>
      </w:r>
      <w:r w:rsidRPr="00751AC6">
        <w:rPr>
          <w:rFonts w:cstheme="minorHAnsi"/>
          <w:b/>
          <w:bCs/>
          <w:sz w:val="24"/>
          <w:szCs w:val="24"/>
        </w:rPr>
        <w:t>Does the requirement apply only to cases from duty solicitor slots at the Magistrates’ Court, or do your own client cases count as well?</w:t>
      </w:r>
    </w:p>
    <w:p w14:paraId="54348DC9" w14:textId="3E0395FD" w:rsidR="00D63B2D" w:rsidRPr="00246A57" w:rsidRDefault="00D63B2D" w:rsidP="00D63B2D">
      <w:pPr>
        <w:rPr>
          <w:rFonts w:cstheme="minorHAnsi"/>
          <w:sz w:val="24"/>
          <w:szCs w:val="24"/>
          <w:highlight w:val="cyan"/>
        </w:rPr>
      </w:pPr>
      <w:r w:rsidRPr="00751AC6">
        <w:rPr>
          <w:rFonts w:eastAsia="Times New Roman" w:cstheme="minorHAnsi"/>
          <w:b/>
          <w:bCs/>
          <w:sz w:val="24"/>
          <w:szCs w:val="24"/>
        </w:rPr>
        <w:t xml:space="preserve">A: </w:t>
      </w:r>
      <w:r w:rsidRPr="00751AC6">
        <w:rPr>
          <w:rFonts w:cstheme="minorHAnsi"/>
          <w:sz w:val="24"/>
          <w:szCs w:val="24"/>
        </w:rPr>
        <w:t xml:space="preserve">If you want to keep your duty solicitor slots, you must meet the requirements in section 6.21 of the Specification. This includes completing in each rolling </w:t>
      </w:r>
      <w:r w:rsidR="002B3B97" w:rsidRPr="00751AC6">
        <w:rPr>
          <w:rFonts w:cstheme="minorHAnsi"/>
          <w:sz w:val="24"/>
          <w:szCs w:val="24"/>
        </w:rPr>
        <w:t>12-month</w:t>
      </w:r>
      <w:r w:rsidRPr="00751AC6">
        <w:rPr>
          <w:rFonts w:cstheme="minorHAnsi"/>
          <w:sz w:val="24"/>
          <w:szCs w:val="24"/>
        </w:rPr>
        <w:t xml:space="preserve"> period a minimum of 20 magistrates’ court representations and advocacy  or</w:t>
      </w:r>
      <w:r w:rsidR="002B3B97">
        <w:rPr>
          <w:rFonts w:cstheme="minorHAnsi"/>
          <w:sz w:val="24"/>
          <w:szCs w:val="24"/>
        </w:rPr>
        <w:t xml:space="preserve"> </w:t>
      </w:r>
      <w:r w:rsidRPr="00751AC6">
        <w:rPr>
          <w:rFonts w:cstheme="minorHAnsi"/>
          <w:sz w:val="24"/>
          <w:szCs w:val="24"/>
        </w:rPr>
        <w:t xml:space="preserve">10 magistrates’ court five Crown Court representations and advocacy. . </w:t>
      </w:r>
    </w:p>
    <w:p w14:paraId="7F302A83" w14:textId="2A9DDA56" w:rsidR="00D63B2D" w:rsidRPr="00751AC6" w:rsidRDefault="00D63B2D" w:rsidP="00D63B2D">
      <w:pPr>
        <w:rPr>
          <w:rFonts w:cstheme="minorHAnsi"/>
          <w:sz w:val="24"/>
          <w:szCs w:val="24"/>
        </w:rPr>
      </w:pPr>
      <w:r w:rsidRPr="00751AC6">
        <w:rPr>
          <w:rFonts w:cstheme="minorHAnsi"/>
          <w:sz w:val="24"/>
          <w:szCs w:val="24"/>
        </w:rPr>
        <w:t>These representations and advocacy can be a mix of your own clients or duty solicitor attendances. Each time you cover a court duty slot, it counts as one representation, no matter how many clients you see during that slot.</w:t>
      </w:r>
    </w:p>
    <w:p w14:paraId="75DBE344" w14:textId="77777777" w:rsidR="00D63B2D" w:rsidRPr="00751AC6" w:rsidRDefault="00D63B2D" w:rsidP="00D63B2D">
      <w:pPr>
        <w:rPr>
          <w:rFonts w:eastAsia="Arial" w:cstheme="minorHAnsi"/>
          <w:sz w:val="24"/>
          <w:szCs w:val="24"/>
        </w:rPr>
      </w:pPr>
      <w:r w:rsidRPr="00751AC6">
        <w:rPr>
          <w:rFonts w:eastAsia="Times New Roman" w:cstheme="minorHAnsi"/>
          <w:b/>
          <w:sz w:val="24"/>
          <w:szCs w:val="24"/>
        </w:rPr>
        <w:t>Q:</w:t>
      </w:r>
      <w:r w:rsidRPr="00751AC6">
        <w:rPr>
          <w:rFonts w:eastAsia="Arial" w:cstheme="minorHAnsi"/>
          <w:sz w:val="24"/>
          <w:szCs w:val="24"/>
        </w:rPr>
        <w:t xml:space="preserve"> </w:t>
      </w:r>
      <w:r w:rsidRPr="00751AC6">
        <w:rPr>
          <w:rFonts w:cstheme="minorHAnsi"/>
          <w:b/>
          <w:bCs/>
          <w:sz w:val="24"/>
          <w:szCs w:val="24"/>
        </w:rPr>
        <w:t>Has the rule about not being able to apply for legal aid in duty cases that finish on the same day been taken out? It appears most firms are either unaware of this rule or are simply ignoring it.</w:t>
      </w:r>
      <w:r w:rsidRPr="00751AC6">
        <w:rPr>
          <w:rFonts w:eastAsia="Arial" w:cstheme="minorHAnsi"/>
          <w:sz w:val="24"/>
          <w:szCs w:val="24"/>
        </w:rPr>
        <w:t xml:space="preserve">  </w:t>
      </w:r>
    </w:p>
    <w:p w14:paraId="0FAA9554" w14:textId="68F10057" w:rsidR="00D63B2D" w:rsidRPr="00751AC6" w:rsidRDefault="00D63B2D" w:rsidP="00D63B2D">
      <w:pPr>
        <w:rPr>
          <w:rFonts w:eastAsia="Times New Roman" w:cstheme="minorHAnsi"/>
          <w:b/>
          <w:bCs/>
          <w:sz w:val="24"/>
          <w:szCs w:val="24"/>
        </w:rPr>
      </w:pPr>
      <w:r w:rsidRPr="00751AC6">
        <w:rPr>
          <w:rFonts w:eastAsia="Times New Roman" w:cstheme="minorHAnsi"/>
          <w:b/>
          <w:sz w:val="24"/>
          <w:szCs w:val="24"/>
        </w:rPr>
        <w:t>A</w:t>
      </w:r>
      <w:r w:rsidRPr="00751AC6">
        <w:rPr>
          <w:rFonts w:eastAsia="Times New Roman" w:cstheme="minorHAnsi"/>
          <w:b/>
          <w:bCs/>
          <w:sz w:val="24"/>
          <w:szCs w:val="24"/>
        </w:rPr>
        <w:t xml:space="preserve">: </w:t>
      </w:r>
      <w:r w:rsidRPr="00751AC6">
        <w:rPr>
          <w:rFonts w:eastAsia="Times New Roman" w:cstheme="minorHAnsi"/>
          <w:sz w:val="24"/>
          <w:szCs w:val="24"/>
        </w:rPr>
        <w:t xml:space="preserve">There has been no change to the </w:t>
      </w:r>
      <w:r w:rsidR="002B3B97">
        <w:rPr>
          <w:rFonts w:eastAsia="Times New Roman" w:cstheme="minorHAnsi"/>
          <w:sz w:val="24"/>
          <w:szCs w:val="24"/>
        </w:rPr>
        <w:t>c</w:t>
      </w:r>
      <w:r w:rsidRPr="00751AC6">
        <w:rPr>
          <w:rFonts w:eastAsia="Times New Roman" w:cstheme="minorHAnsi"/>
          <w:sz w:val="24"/>
          <w:szCs w:val="24"/>
        </w:rPr>
        <w:t>ontract in respect of this. 10.14 of the Specification remains in force. A representation order cannot be applied for in court duty matters that conclude on the same day.</w:t>
      </w:r>
    </w:p>
    <w:p w14:paraId="1E2F611A" w14:textId="77777777" w:rsidR="00D63B2D" w:rsidRPr="00751AC6" w:rsidRDefault="00D63B2D" w:rsidP="00D63B2D">
      <w:pPr>
        <w:rPr>
          <w:rFonts w:cstheme="minorHAnsi"/>
          <w:b/>
          <w:sz w:val="24"/>
          <w:szCs w:val="24"/>
        </w:rPr>
      </w:pPr>
      <w:r w:rsidRPr="00751AC6">
        <w:rPr>
          <w:rFonts w:eastAsia="Times New Roman" w:cstheme="minorHAnsi"/>
          <w:b/>
          <w:bCs/>
          <w:sz w:val="24"/>
          <w:szCs w:val="24"/>
        </w:rPr>
        <w:t>Q:</w:t>
      </w:r>
      <w:r w:rsidRPr="00751AC6">
        <w:rPr>
          <w:rFonts w:eastAsia="Arial" w:cstheme="minorHAnsi"/>
          <w:b/>
          <w:bCs/>
          <w:sz w:val="24"/>
          <w:szCs w:val="24"/>
        </w:rPr>
        <w:t xml:space="preserve"> </w:t>
      </w:r>
      <w:r w:rsidRPr="00751AC6">
        <w:rPr>
          <w:rFonts w:cstheme="minorHAnsi"/>
          <w:b/>
          <w:bCs/>
          <w:sz w:val="24"/>
          <w:szCs w:val="24"/>
        </w:rPr>
        <w:t>Can you count magistrates’ court work you’ve done as an agent for another firm?</w:t>
      </w:r>
    </w:p>
    <w:p w14:paraId="1AACF505" w14:textId="1436B1B3" w:rsidR="00D63B2D" w:rsidRPr="00751AC6" w:rsidRDefault="00D63B2D" w:rsidP="00D63B2D">
      <w:pPr>
        <w:rPr>
          <w:rFonts w:eastAsia="Times New Roman" w:cstheme="minorHAnsi"/>
          <w:b/>
          <w:bCs/>
          <w:sz w:val="24"/>
          <w:szCs w:val="24"/>
        </w:rPr>
      </w:pPr>
      <w:r w:rsidRPr="00751AC6">
        <w:rPr>
          <w:rFonts w:eastAsia="Times New Roman" w:cstheme="minorHAnsi"/>
          <w:b/>
          <w:bCs/>
          <w:sz w:val="24"/>
          <w:szCs w:val="24"/>
        </w:rPr>
        <w:t>A:</w:t>
      </w:r>
      <w:r w:rsidRPr="00751AC6">
        <w:rPr>
          <w:rFonts w:eastAsia="Arial" w:cstheme="minorHAnsi"/>
          <w:sz w:val="24"/>
          <w:szCs w:val="24"/>
        </w:rPr>
        <w:t xml:space="preserve"> Own client magistrates’ court representation and advocacy for another firm may count towards the requirement at 6.21(c) of the Specification. However, a court duty rota slot / period at the Magistrates Court cannot be done by an agent. It must be conducted by the firm named on the duty rota.</w:t>
      </w:r>
    </w:p>
    <w:p w14:paraId="78407ABC" w14:textId="77777777" w:rsidR="00D63B2D" w:rsidRPr="00751AC6" w:rsidRDefault="00D63B2D" w:rsidP="00D63B2D">
      <w:pPr>
        <w:rPr>
          <w:rFonts w:cstheme="minorHAnsi"/>
          <w:b/>
          <w:sz w:val="24"/>
          <w:szCs w:val="24"/>
        </w:rPr>
      </w:pPr>
      <w:r w:rsidRPr="00751AC6">
        <w:rPr>
          <w:rFonts w:eastAsia="Times New Roman" w:cstheme="minorHAnsi"/>
          <w:b/>
          <w:sz w:val="24"/>
          <w:szCs w:val="24"/>
        </w:rPr>
        <w:t>Q:</w:t>
      </w:r>
      <w:r w:rsidRPr="00751AC6">
        <w:rPr>
          <w:rFonts w:eastAsia="Arial" w:cstheme="minorHAnsi"/>
          <w:sz w:val="24"/>
          <w:szCs w:val="24"/>
        </w:rPr>
        <w:t xml:space="preserve"> </w:t>
      </w:r>
      <w:r w:rsidRPr="00751AC6">
        <w:rPr>
          <w:rFonts w:cstheme="minorHAnsi"/>
          <w:b/>
          <w:bCs/>
          <w:sz w:val="24"/>
          <w:szCs w:val="24"/>
        </w:rPr>
        <w:t>Do</w:t>
      </w:r>
      <w:r w:rsidRPr="00751AC6">
        <w:rPr>
          <w:rFonts w:cstheme="minorHAnsi"/>
          <w:b/>
          <w:sz w:val="24"/>
          <w:szCs w:val="24"/>
        </w:rPr>
        <w:t xml:space="preserve"> the </w:t>
      </w:r>
      <w:r w:rsidRPr="00751AC6">
        <w:rPr>
          <w:rFonts w:cstheme="minorHAnsi"/>
          <w:b/>
          <w:bCs/>
          <w:sz w:val="24"/>
          <w:szCs w:val="24"/>
        </w:rPr>
        <w:t>six police station attendances need</w:t>
      </w:r>
      <w:r w:rsidRPr="00751AC6">
        <w:rPr>
          <w:rFonts w:cstheme="minorHAnsi"/>
          <w:b/>
          <w:sz w:val="24"/>
          <w:szCs w:val="24"/>
        </w:rPr>
        <w:t xml:space="preserve"> to be from your own duty </w:t>
      </w:r>
      <w:r w:rsidRPr="00751AC6">
        <w:rPr>
          <w:rFonts w:cstheme="minorHAnsi"/>
          <w:b/>
          <w:bCs/>
          <w:sz w:val="24"/>
          <w:szCs w:val="24"/>
        </w:rPr>
        <w:t>slots,</w:t>
      </w:r>
      <w:r w:rsidRPr="00751AC6">
        <w:rPr>
          <w:rFonts w:cstheme="minorHAnsi"/>
          <w:b/>
          <w:sz w:val="24"/>
          <w:szCs w:val="24"/>
        </w:rPr>
        <w:t xml:space="preserve"> or </w:t>
      </w:r>
      <w:r w:rsidRPr="00751AC6">
        <w:rPr>
          <w:rFonts w:cstheme="minorHAnsi"/>
          <w:b/>
          <w:bCs/>
          <w:sz w:val="24"/>
          <w:szCs w:val="24"/>
        </w:rPr>
        <w:t>can they be any attendances</w:t>
      </w:r>
      <w:r w:rsidRPr="00751AC6">
        <w:rPr>
          <w:rFonts w:cstheme="minorHAnsi"/>
          <w:b/>
          <w:sz w:val="24"/>
          <w:szCs w:val="24"/>
        </w:rPr>
        <w:t xml:space="preserve"> in general?</w:t>
      </w:r>
    </w:p>
    <w:p w14:paraId="5CB167CB" w14:textId="77777777" w:rsidR="00D63B2D" w:rsidRPr="00751AC6" w:rsidRDefault="00D63B2D" w:rsidP="00D63B2D">
      <w:pPr>
        <w:rPr>
          <w:rFonts w:cstheme="minorHAnsi"/>
          <w:sz w:val="24"/>
          <w:szCs w:val="24"/>
        </w:rPr>
      </w:pPr>
      <w:r w:rsidRPr="00751AC6">
        <w:rPr>
          <w:rFonts w:eastAsia="Times New Roman" w:cstheme="minorHAnsi"/>
          <w:b/>
          <w:sz w:val="24"/>
          <w:szCs w:val="24"/>
        </w:rPr>
        <w:t xml:space="preserve">A: </w:t>
      </w:r>
      <w:r w:rsidRPr="00751AC6">
        <w:rPr>
          <w:rFonts w:eastAsia="Times New Roman" w:cstheme="minorHAnsi"/>
          <w:sz w:val="24"/>
          <w:szCs w:val="24"/>
        </w:rPr>
        <w:t>The 6 police station attendances specified in 6.21(b) Specification, can be duty solicitor attendances or own client attendances</w:t>
      </w:r>
    </w:p>
    <w:p w14:paraId="726DD2C9" w14:textId="5025EFAA" w:rsidR="00EF2AFE" w:rsidRPr="009A231E" w:rsidRDefault="00EF2AFE" w:rsidP="00EF2AFE">
      <w:pPr>
        <w:rPr>
          <w:rFonts w:ascii="Arial" w:hAnsi="Arial" w:cs="Arial"/>
        </w:rPr>
      </w:pPr>
      <w:r w:rsidRPr="009A231E">
        <w:rPr>
          <w:rFonts w:ascii="Arial" w:hAnsi="Arial" w:cs="Arial"/>
        </w:rPr>
        <w:t> </w:t>
      </w:r>
    </w:p>
    <w:p w14:paraId="7A3C4ACC" w14:textId="77777777" w:rsidR="00EF2AFE" w:rsidRPr="00A94D3B" w:rsidRDefault="00EF2AFE" w:rsidP="00EF2AFE">
      <w:pPr>
        <w:rPr>
          <w:rFonts w:ascii="Arial" w:hAnsi="Arial" w:cs="Arial"/>
        </w:rPr>
      </w:pPr>
    </w:p>
    <w:p w14:paraId="2159A500" w14:textId="77777777" w:rsidR="00511EE9" w:rsidRDefault="00511EE9" w:rsidP="00511EE9">
      <w:pPr>
        <w:pStyle w:val="BodyText"/>
      </w:pPr>
    </w:p>
    <w:p w14:paraId="1AC4E10F" w14:textId="25A923F3" w:rsidR="00607133" w:rsidRDefault="00455ADD" w:rsidP="00607133">
      <w:pPr>
        <w:pStyle w:val="Heading1"/>
      </w:pPr>
      <w:r>
        <w:lastRenderedPageBreak/>
        <w:t>Accredited representatives and designated fee earners</w:t>
      </w:r>
    </w:p>
    <w:p w14:paraId="28F38971" w14:textId="77777777" w:rsidR="0017663B" w:rsidRPr="0017663B" w:rsidRDefault="0017663B" w:rsidP="0017663B">
      <w:pPr>
        <w:rPr>
          <w:rFonts w:cstheme="minorHAnsi"/>
          <w:b/>
          <w:bCs/>
          <w:sz w:val="24"/>
          <w:szCs w:val="24"/>
        </w:rPr>
      </w:pPr>
      <w:r w:rsidRPr="0017663B">
        <w:rPr>
          <w:rFonts w:cstheme="minorHAnsi"/>
          <w:b/>
          <w:sz w:val="24"/>
          <w:szCs w:val="24"/>
        </w:rPr>
        <w:t xml:space="preserve">Q: is there a maximum number of accredited </w:t>
      </w:r>
      <w:r w:rsidRPr="0017663B">
        <w:rPr>
          <w:rFonts w:cstheme="minorHAnsi"/>
          <w:b/>
          <w:bCs/>
          <w:sz w:val="24"/>
          <w:szCs w:val="24"/>
        </w:rPr>
        <w:t>representatives</w:t>
      </w:r>
      <w:r w:rsidRPr="0017663B">
        <w:rPr>
          <w:rFonts w:cstheme="minorHAnsi"/>
          <w:b/>
          <w:sz w:val="24"/>
          <w:szCs w:val="24"/>
        </w:rPr>
        <w:t xml:space="preserve"> assigned to a firm?</w:t>
      </w:r>
    </w:p>
    <w:p w14:paraId="21EC6DE6" w14:textId="77777777" w:rsidR="0017663B" w:rsidRPr="0017663B" w:rsidRDefault="0017663B" w:rsidP="0017663B">
      <w:pPr>
        <w:rPr>
          <w:rFonts w:cstheme="minorHAnsi"/>
          <w:sz w:val="24"/>
          <w:szCs w:val="24"/>
        </w:rPr>
      </w:pPr>
      <w:r w:rsidRPr="0017663B">
        <w:rPr>
          <w:rFonts w:cstheme="minorHAnsi"/>
          <w:b/>
          <w:bCs/>
          <w:sz w:val="24"/>
          <w:szCs w:val="24"/>
        </w:rPr>
        <w:t xml:space="preserve">A: </w:t>
      </w:r>
      <w:r w:rsidRPr="0017663B">
        <w:rPr>
          <w:rFonts w:cstheme="minorHAnsi"/>
          <w:sz w:val="24"/>
          <w:szCs w:val="24"/>
        </w:rPr>
        <w:t xml:space="preserve">There is no cap on the number of accredited representatives a firm can appoint. , You must classify as a designated fee earner any accredited representative who regularly carries out work for you (i.e. 3 or more hours per month) and supervise them effectively (see sections 2.7, 2.17, 2.18, 2.30-2.33 of the Specification) </w:t>
      </w:r>
    </w:p>
    <w:p w14:paraId="7EFAA993" w14:textId="77777777" w:rsidR="0017663B" w:rsidRPr="0017663B" w:rsidRDefault="0017663B" w:rsidP="0017663B">
      <w:pPr>
        <w:rPr>
          <w:rFonts w:cstheme="minorHAnsi"/>
          <w:sz w:val="24"/>
          <w:szCs w:val="24"/>
        </w:rPr>
      </w:pPr>
      <w:r w:rsidRPr="0017663B">
        <w:rPr>
          <w:rFonts w:cstheme="minorHAnsi"/>
          <w:sz w:val="24"/>
          <w:szCs w:val="24"/>
        </w:rPr>
        <w:t>Section 2.34(a) of the Specification requires that at least 80 percent of police station advice and assistance, whether in person or by telephone, must be provided by designated fee earners.</w:t>
      </w:r>
    </w:p>
    <w:p w14:paraId="71485A78" w14:textId="11DE8F4C" w:rsidR="0017663B" w:rsidRPr="0017663B" w:rsidRDefault="0017663B" w:rsidP="0017663B">
      <w:pPr>
        <w:rPr>
          <w:rFonts w:cstheme="minorHAnsi"/>
          <w:sz w:val="24"/>
          <w:szCs w:val="24"/>
        </w:rPr>
      </w:pPr>
      <w:r w:rsidRPr="0017663B">
        <w:rPr>
          <w:rFonts w:cstheme="minorHAnsi"/>
          <w:sz w:val="24"/>
          <w:szCs w:val="24"/>
        </w:rPr>
        <w:t xml:space="preserve">You should also note the requirements at 9.23 to 9.33 of the Specification on using accredited representatives, in </w:t>
      </w:r>
      <w:r w:rsidRPr="0017663B">
        <w:rPr>
          <w:rFonts w:cstheme="minorHAnsi"/>
          <w:sz w:val="24"/>
          <w:szCs w:val="24"/>
        </w:rPr>
        <w:t>particular,</w:t>
      </w:r>
      <w:r w:rsidRPr="0017663B">
        <w:rPr>
          <w:rFonts w:cstheme="minorHAnsi"/>
          <w:sz w:val="24"/>
          <w:szCs w:val="24"/>
        </w:rPr>
        <w:t xml:space="preserve"> 9.26 and 9.33, which apply irrespective of whether the accredited representative you use is your designated fee earner or not. To view the full Specification: </w:t>
      </w:r>
      <w:hyperlink r:id="rId22" w:history="1">
        <w:r w:rsidRPr="0017663B">
          <w:rPr>
            <w:rStyle w:val="Hyperlink"/>
            <w:rFonts w:cstheme="minorHAnsi"/>
            <w:sz w:val="24"/>
            <w:szCs w:val="24"/>
          </w:rPr>
          <w:t>Standard Crime Contract 2025 - GOV.UK</w:t>
        </w:r>
      </w:hyperlink>
      <w:r w:rsidRPr="0017663B">
        <w:rPr>
          <w:rFonts w:cstheme="minorHAnsi"/>
          <w:sz w:val="24"/>
          <w:szCs w:val="24"/>
        </w:rPr>
        <w:t xml:space="preserve"> </w:t>
      </w:r>
    </w:p>
    <w:p w14:paraId="7FC3A759" w14:textId="77777777" w:rsidR="0017663B" w:rsidRPr="0017663B" w:rsidRDefault="0017663B" w:rsidP="0017663B">
      <w:pPr>
        <w:rPr>
          <w:rFonts w:cstheme="minorHAnsi"/>
          <w:b/>
          <w:sz w:val="24"/>
          <w:szCs w:val="24"/>
        </w:rPr>
      </w:pPr>
      <w:r w:rsidRPr="0017663B">
        <w:rPr>
          <w:rFonts w:cstheme="minorHAnsi"/>
          <w:b/>
          <w:bCs/>
          <w:sz w:val="24"/>
          <w:szCs w:val="24"/>
        </w:rPr>
        <w:t>Q: If you have someone who regularly does at least three hours of contract work each month, you must officially name them as a designated fee earner (DFE). Where is this rule written in the contract?</w:t>
      </w:r>
    </w:p>
    <w:p w14:paraId="0FF807FB" w14:textId="77777777" w:rsidR="0017663B" w:rsidRPr="0017663B" w:rsidRDefault="0017663B" w:rsidP="0017663B">
      <w:pPr>
        <w:rPr>
          <w:rFonts w:cstheme="minorHAnsi"/>
          <w:sz w:val="24"/>
          <w:szCs w:val="24"/>
        </w:rPr>
      </w:pPr>
      <w:r w:rsidRPr="0017663B">
        <w:rPr>
          <w:rFonts w:cstheme="minorHAnsi"/>
          <w:b/>
          <w:bCs/>
          <w:sz w:val="24"/>
          <w:szCs w:val="24"/>
        </w:rPr>
        <w:t xml:space="preserve">A: </w:t>
      </w:r>
      <w:r w:rsidRPr="0017663B">
        <w:rPr>
          <w:rFonts w:cstheme="minorHAnsi"/>
          <w:sz w:val="24"/>
          <w:szCs w:val="24"/>
        </w:rPr>
        <w:t xml:space="preserve">Please see 2.30 – 2.33 </w:t>
      </w:r>
      <w:hyperlink r:id="rId23">
        <w:r w:rsidRPr="0017663B">
          <w:rPr>
            <w:rStyle w:val="Hyperlink"/>
            <w:rFonts w:cstheme="minorHAnsi"/>
            <w:sz w:val="24"/>
            <w:szCs w:val="24"/>
          </w:rPr>
          <w:t>2025_Crime_Specification.</w:t>
        </w:r>
      </w:hyperlink>
    </w:p>
    <w:p w14:paraId="23CF8790" w14:textId="77777777" w:rsidR="00607133" w:rsidRDefault="00607133" w:rsidP="00511EE9">
      <w:pPr>
        <w:pStyle w:val="BodyText"/>
      </w:pPr>
    </w:p>
    <w:p w14:paraId="071BAA06" w14:textId="77777777" w:rsidR="00511EE9" w:rsidRDefault="00511EE9" w:rsidP="00511EE9">
      <w:pPr>
        <w:pStyle w:val="BodyText"/>
      </w:pPr>
    </w:p>
    <w:p w14:paraId="4B56646C" w14:textId="77777777" w:rsidR="00511EE9" w:rsidRDefault="00511EE9" w:rsidP="00511EE9">
      <w:pPr>
        <w:pStyle w:val="BodyText"/>
      </w:pPr>
    </w:p>
    <w:p w14:paraId="4C575E92" w14:textId="77777777" w:rsidR="00511EE9" w:rsidRDefault="00511EE9" w:rsidP="00511EE9">
      <w:pPr>
        <w:pStyle w:val="BodyText"/>
      </w:pPr>
    </w:p>
    <w:p w14:paraId="4ED3F0FD" w14:textId="77777777" w:rsidR="00511EE9" w:rsidRDefault="00511EE9" w:rsidP="00511EE9">
      <w:pPr>
        <w:pStyle w:val="BodyText"/>
      </w:pPr>
    </w:p>
    <w:p w14:paraId="7310EE01" w14:textId="77777777" w:rsidR="00E42D25" w:rsidRDefault="00E42D25" w:rsidP="00511EE9">
      <w:pPr>
        <w:pStyle w:val="BodyText"/>
      </w:pPr>
    </w:p>
    <w:p w14:paraId="49639CE4" w14:textId="77777777" w:rsidR="00E42D25" w:rsidRDefault="00E42D25" w:rsidP="00511EE9">
      <w:pPr>
        <w:pStyle w:val="BodyText"/>
      </w:pPr>
    </w:p>
    <w:p w14:paraId="05E08304" w14:textId="77777777" w:rsidR="00E42D25" w:rsidRDefault="00E42D25" w:rsidP="00511EE9">
      <w:pPr>
        <w:pStyle w:val="BodyText"/>
      </w:pPr>
    </w:p>
    <w:p w14:paraId="05B7D734" w14:textId="77777777" w:rsidR="00E42D25" w:rsidRDefault="00E42D25" w:rsidP="00511EE9">
      <w:pPr>
        <w:pStyle w:val="BodyText"/>
      </w:pPr>
    </w:p>
    <w:p w14:paraId="1B174B0C" w14:textId="77777777" w:rsidR="00E42D25" w:rsidRDefault="00E42D25" w:rsidP="00511EE9">
      <w:pPr>
        <w:pStyle w:val="BodyText"/>
      </w:pPr>
    </w:p>
    <w:p w14:paraId="07943423" w14:textId="77777777" w:rsidR="00E42D25" w:rsidRDefault="00E42D25" w:rsidP="00511EE9">
      <w:pPr>
        <w:pStyle w:val="BodyText"/>
      </w:pPr>
    </w:p>
    <w:p w14:paraId="42B93952" w14:textId="77777777" w:rsidR="00E42D25" w:rsidRDefault="00E42D25" w:rsidP="00511EE9">
      <w:pPr>
        <w:pStyle w:val="BodyText"/>
      </w:pPr>
    </w:p>
    <w:p w14:paraId="56E77693" w14:textId="77777777" w:rsidR="00E42D25" w:rsidRDefault="00E42D25" w:rsidP="00511EE9">
      <w:pPr>
        <w:pStyle w:val="BodyText"/>
      </w:pPr>
    </w:p>
    <w:p w14:paraId="46D52DB7" w14:textId="44F2A3D5" w:rsidR="00E42D25" w:rsidRDefault="00AC178A" w:rsidP="00E42D25">
      <w:pPr>
        <w:pStyle w:val="Heading1"/>
      </w:pPr>
      <w:r>
        <w:lastRenderedPageBreak/>
        <w:t>Conducting police station advice</w:t>
      </w:r>
    </w:p>
    <w:p w14:paraId="6F9CAEAA" w14:textId="77777777" w:rsidR="00635803" w:rsidRPr="005C2D75" w:rsidRDefault="00635803" w:rsidP="00635803">
      <w:pPr>
        <w:rPr>
          <w:rFonts w:cstheme="minorHAnsi"/>
          <w:b/>
          <w:sz w:val="24"/>
          <w:szCs w:val="24"/>
        </w:rPr>
      </w:pPr>
      <w:r w:rsidRPr="005C2D75">
        <w:rPr>
          <w:rFonts w:cstheme="minorHAnsi"/>
          <w:b/>
          <w:sz w:val="24"/>
          <w:szCs w:val="24"/>
        </w:rPr>
        <w:t xml:space="preserve">Q: </w:t>
      </w:r>
      <w:r w:rsidRPr="005C2D75">
        <w:rPr>
          <w:rFonts w:cstheme="minorHAnsi"/>
          <w:b/>
          <w:bCs/>
          <w:sz w:val="24"/>
          <w:szCs w:val="24"/>
        </w:rPr>
        <w:t>At</w:t>
      </w:r>
      <w:r w:rsidRPr="005C2D75">
        <w:rPr>
          <w:rFonts w:cstheme="minorHAnsi"/>
          <w:b/>
          <w:sz w:val="24"/>
          <w:szCs w:val="24"/>
        </w:rPr>
        <w:t xml:space="preserve"> the police station we are required to complete attendance notes</w:t>
      </w:r>
      <w:r w:rsidRPr="005C2D75">
        <w:rPr>
          <w:rFonts w:cstheme="minorHAnsi"/>
          <w:b/>
          <w:bCs/>
          <w:sz w:val="24"/>
          <w:szCs w:val="24"/>
        </w:rPr>
        <w:t>. We</w:t>
      </w:r>
      <w:r w:rsidRPr="005C2D75">
        <w:rPr>
          <w:rFonts w:cstheme="minorHAnsi"/>
          <w:b/>
          <w:sz w:val="24"/>
          <w:szCs w:val="24"/>
        </w:rPr>
        <w:t xml:space="preserve"> are always </w:t>
      </w:r>
      <w:r w:rsidRPr="005C2D75">
        <w:rPr>
          <w:rFonts w:cstheme="minorHAnsi"/>
          <w:b/>
          <w:bCs/>
          <w:sz w:val="24"/>
          <w:szCs w:val="24"/>
        </w:rPr>
        <w:t>given</w:t>
      </w:r>
      <w:r w:rsidRPr="005C2D75">
        <w:rPr>
          <w:rFonts w:cstheme="minorHAnsi"/>
          <w:b/>
          <w:sz w:val="24"/>
          <w:szCs w:val="24"/>
        </w:rPr>
        <w:t xml:space="preserve"> a custody record sheet</w:t>
      </w:r>
      <w:r w:rsidRPr="005C2D75">
        <w:rPr>
          <w:rFonts w:cstheme="minorHAnsi"/>
          <w:b/>
          <w:bCs/>
          <w:sz w:val="24"/>
          <w:szCs w:val="24"/>
        </w:rPr>
        <w:t>. Is it necessary</w:t>
      </w:r>
      <w:r w:rsidRPr="005C2D75">
        <w:rPr>
          <w:rFonts w:cstheme="minorHAnsi"/>
          <w:b/>
          <w:sz w:val="24"/>
          <w:szCs w:val="24"/>
        </w:rPr>
        <w:t xml:space="preserve"> to </w:t>
      </w:r>
      <w:r w:rsidRPr="005C2D75">
        <w:rPr>
          <w:rFonts w:cstheme="minorHAnsi"/>
          <w:b/>
          <w:bCs/>
          <w:sz w:val="24"/>
          <w:szCs w:val="24"/>
        </w:rPr>
        <w:t>record</w:t>
      </w:r>
      <w:r w:rsidRPr="005C2D75">
        <w:rPr>
          <w:rFonts w:cstheme="minorHAnsi"/>
          <w:b/>
          <w:sz w:val="24"/>
          <w:szCs w:val="24"/>
        </w:rPr>
        <w:t xml:space="preserve"> the same information </w:t>
      </w:r>
      <w:r w:rsidRPr="005C2D75">
        <w:rPr>
          <w:rFonts w:cstheme="minorHAnsi"/>
          <w:b/>
          <w:bCs/>
          <w:sz w:val="24"/>
          <w:szCs w:val="24"/>
        </w:rPr>
        <w:t>from</w:t>
      </w:r>
      <w:r w:rsidRPr="005C2D75">
        <w:rPr>
          <w:rFonts w:cstheme="minorHAnsi"/>
          <w:b/>
          <w:sz w:val="24"/>
          <w:szCs w:val="24"/>
        </w:rPr>
        <w:t xml:space="preserve"> the custody record sheet </w:t>
      </w:r>
      <w:r w:rsidRPr="005C2D75">
        <w:rPr>
          <w:rFonts w:cstheme="minorHAnsi"/>
          <w:b/>
          <w:bCs/>
          <w:sz w:val="24"/>
          <w:szCs w:val="24"/>
        </w:rPr>
        <w:t xml:space="preserve">onto the attendance notes, </w:t>
      </w:r>
      <w:r w:rsidRPr="005C2D75">
        <w:rPr>
          <w:rFonts w:cstheme="minorHAnsi"/>
          <w:b/>
          <w:sz w:val="24"/>
          <w:szCs w:val="24"/>
        </w:rPr>
        <w:t xml:space="preserve">or </w:t>
      </w:r>
      <w:r w:rsidRPr="005C2D75">
        <w:rPr>
          <w:rFonts w:cstheme="minorHAnsi"/>
          <w:b/>
          <w:bCs/>
          <w:sz w:val="24"/>
          <w:szCs w:val="24"/>
        </w:rPr>
        <w:t>is it sufficient to</w:t>
      </w:r>
      <w:r w:rsidRPr="005C2D75">
        <w:rPr>
          <w:rFonts w:cstheme="minorHAnsi"/>
          <w:b/>
          <w:sz w:val="24"/>
          <w:szCs w:val="24"/>
        </w:rPr>
        <w:t xml:space="preserve"> leave </w:t>
      </w:r>
      <w:r w:rsidRPr="005C2D75">
        <w:rPr>
          <w:rFonts w:cstheme="minorHAnsi"/>
          <w:b/>
          <w:bCs/>
          <w:sz w:val="24"/>
          <w:szCs w:val="24"/>
        </w:rPr>
        <w:t>this out</w:t>
      </w:r>
      <w:r w:rsidRPr="005C2D75">
        <w:rPr>
          <w:rFonts w:cstheme="minorHAnsi"/>
          <w:b/>
          <w:sz w:val="24"/>
          <w:szCs w:val="24"/>
        </w:rPr>
        <w:t xml:space="preserve"> as long </w:t>
      </w:r>
      <w:r w:rsidRPr="005C2D75">
        <w:rPr>
          <w:rFonts w:cstheme="minorHAnsi"/>
          <w:b/>
          <w:bCs/>
          <w:sz w:val="24"/>
          <w:szCs w:val="24"/>
        </w:rPr>
        <w:t>as the</w:t>
      </w:r>
      <w:r w:rsidRPr="005C2D75">
        <w:rPr>
          <w:rFonts w:cstheme="minorHAnsi"/>
          <w:b/>
          <w:sz w:val="24"/>
          <w:szCs w:val="24"/>
        </w:rPr>
        <w:t xml:space="preserve"> custody record sheet is retained and scanned</w:t>
      </w:r>
      <w:r w:rsidRPr="005C2D75">
        <w:rPr>
          <w:rFonts w:cstheme="minorHAnsi"/>
          <w:b/>
          <w:bCs/>
          <w:sz w:val="24"/>
          <w:szCs w:val="24"/>
        </w:rPr>
        <w:t>? I ask because duplicating this information can be time-consuming.</w:t>
      </w:r>
    </w:p>
    <w:p w14:paraId="68E5A325" w14:textId="77777777" w:rsidR="00635803" w:rsidRPr="005C2D75" w:rsidRDefault="00635803" w:rsidP="00635803">
      <w:pPr>
        <w:spacing w:after="0"/>
        <w:rPr>
          <w:rFonts w:cstheme="minorHAnsi"/>
          <w:sz w:val="24"/>
          <w:szCs w:val="24"/>
        </w:rPr>
      </w:pPr>
      <w:r w:rsidRPr="005C2D75">
        <w:rPr>
          <w:rFonts w:cstheme="minorHAnsi"/>
          <w:b/>
          <w:bCs/>
          <w:sz w:val="24"/>
          <w:szCs w:val="24"/>
        </w:rPr>
        <w:t xml:space="preserve">A: </w:t>
      </w:r>
      <w:r w:rsidRPr="005C2D75">
        <w:rPr>
          <w:rFonts w:cstheme="minorHAnsi"/>
          <w:sz w:val="24"/>
          <w:szCs w:val="24"/>
        </w:rPr>
        <w:t>It is acceptable to retain a copy of the custody record containing the relevant information on file. There is no requirement to duplicate this information in the attendance note.</w:t>
      </w:r>
    </w:p>
    <w:p w14:paraId="659A6EAE" w14:textId="77777777" w:rsidR="005C2D75" w:rsidRDefault="005C2D75" w:rsidP="00635803">
      <w:pPr>
        <w:rPr>
          <w:rFonts w:eastAsia="Times New Roman" w:cstheme="minorHAnsi"/>
          <w:b/>
          <w:bCs/>
          <w:sz w:val="24"/>
          <w:szCs w:val="24"/>
        </w:rPr>
      </w:pPr>
    </w:p>
    <w:p w14:paraId="329597B8" w14:textId="036F72F9" w:rsidR="00635803" w:rsidRPr="005C2D75" w:rsidRDefault="00635803" w:rsidP="00635803">
      <w:pPr>
        <w:rPr>
          <w:rFonts w:eastAsia="Arial" w:cstheme="minorHAnsi"/>
          <w:b/>
          <w:bCs/>
          <w:sz w:val="24"/>
          <w:szCs w:val="24"/>
        </w:rPr>
      </w:pPr>
      <w:r w:rsidRPr="005C2D75">
        <w:rPr>
          <w:rFonts w:eastAsia="Times New Roman" w:cstheme="minorHAnsi"/>
          <w:b/>
          <w:bCs/>
          <w:sz w:val="24"/>
          <w:szCs w:val="24"/>
        </w:rPr>
        <w:t>Q:</w:t>
      </w:r>
      <w:r w:rsidRPr="005C2D75">
        <w:rPr>
          <w:rFonts w:eastAsia="Arial" w:cstheme="minorHAnsi"/>
          <w:sz w:val="24"/>
          <w:szCs w:val="24"/>
        </w:rPr>
        <w:t xml:space="preserve"> </w:t>
      </w:r>
      <w:r w:rsidRPr="005C2D75">
        <w:rPr>
          <w:rFonts w:cstheme="minorHAnsi"/>
          <w:b/>
          <w:bCs/>
          <w:sz w:val="24"/>
          <w:szCs w:val="24"/>
        </w:rPr>
        <w:t xml:space="preserve">If I do not accept backup cases from the DSCC, does this count towards the 10% threshold in KPI2? </w:t>
      </w:r>
    </w:p>
    <w:p w14:paraId="2FEA48BC" w14:textId="77777777" w:rsidR="00635803" w:rsidRPr="005C2D75" w:rsidRDefault="00635803" w:rsidP="00635803">
      <w:pPr>
        <w:rPr>
          <w:rFonts w:eastAsia="Times New Roman" w:cstheme="minorHAnsi"/>
          <w:sz w:val="24"/>
          <w:szCs w:val="24"/>
        </w:rPr>
      </w:pPr>
      <w:r w:rsidRPr="005C2D75">
        <w:rPr>
          <w:rFonts w:eastAsia="Times New Roman" w:cstheme="minorHAnsi"/>
          <w:b/>
          <w:bCs/>
          <w:sz w:val="24"/>
          <w:szCs w:val="24"/>
        </w:rPr>
        <w:t xml:space="preserve">A: </w:t>
      </w:r>
      <w:r w:rsidRPr="005C2D75">
        <w:rPr>
          <w:rFonts w:eastAsia="Times New Roman" w:cstheme="minorHAnsi"/>
          <w:sz w:val="24"/>
          <w:szCs w:val="24"/>
        </w:rPr>
        <w:t>KPI2 relates the provider’s obligations when they are on duty, and the slot is in their name.  Back up calls invariably occur when then the Duty Solicitor on rota is unavailable; other members of the scheme are not obliged to accept these calls (although it is appreciated if they are able to do so) and if they are not on rota duty, any failure to respond or accept a back-up call would not be relevant in relation to KPI2.</w:t>
      </w:r>
    </w:p>
    <w:p w14:paraId="49F5146F" w14:textId="77777777" w:rsidR="00635803" w:rsidRPr="005C2D75" w:rsidRDefault="00635803" w:rsidP="00635803">
      <w:pPr>
        <w:rPr>
          <w:rFonts w:cstheme="minorHAnsi"/>
          <w:b/>
          <w:sz w:val="24"/>
          <w:szCs w:val="24"/>
        </w:rPr>
      </w:pPr>
      <w:r w:rsidRPr="005C2D75">
        <w:rPr>
          <w:rFonts w:cstheme="minorHAnsi"/>
          <w:b/>
          <w:sz w:val="24"/>
          <w:szCs w:val="24"/>
        </w:rPr>
        <w:t xml:space="preserve">Q: </w:t>
      </w:r>
      <w:r w:rsidRPr="005C2D75">
        <w:rPr>
          <w:rFonts w:cstheme="minorHAnsi"/>
          <w:b/>
          <w:bCs/>
          <w:sz w:val="24"/>
          <w:szCs w:val="24"/>
        </w:rPr>
        <w:t>Regarding</w:t>
      </w:r>
      <w:r w:rsidRPr="005C2D75">
        <w:rPr>
          <w:rFonts w:cstheme="minorHAnsi"/>
          <w:b/>
          <w:sz w:val="24"/>
          <w:szCs w:val="24"/>
        </w:rPr>
        <w:t xml:space="preserve"> telephone attendance</w:t>
      </w:r>
      <w:r w:rsidRPr="005C2D75">
        <w:rPr>
          <w:rFonts w:cstheme="minorHAnsi"/>
          <w:b/>
          <w:bCs/>
          <w:sz w:val="24"/>
          <w:szCs w:val="24"/>
        </w:rPr>
        <w:t>, does</w:t>
      </w:r>
      <w:r w:rsidRPr="005C2D75">
        <w:rPr>
          <w:rFonts w:cstheme="minorHAnsi"/>
          <w:b/>
          <w:sz w:val="24"/>
          <w:szCs w:val="24"/>
        </w:rPr>
        <w:t xml:space="preserve"> this </w:t>
      </w:r>
      <w:r w:rsidRPr="005C2D75">
        <w:rPr>
          <w:rFonts w:cstheme="minorHAnsi"/>
          <w:b/>
          <w:bCs/>
          <w:sz w:val="24"/>
          <w:szCs w:val="24"/>
        </w:rPr>
        <w:t>include</w:t>
      </w:r>
      <w:r w:rsidRPr="005C2D75">
        <w:rPr>
          <w:rFonts w:cstheme="minorHAnsi"/>
          <w:b/>
          <w:sz w:val="24"/>
          <w:szCs w:val="24"/>
        </w:rPr>
        <w:t xml:space="preserve"> the initial call </w:t>
      </w:r>
      <w:r w:rsidRPr="005C2D75">
        <w:rPr>
          <w:rFonts w:cstheme="minorHAnsi"/>
          <w:b/>
          <w:bCs/>
          <w:sz w:val="24"/>
          <w:szCs w:val="24"/>
        </w:rPr>
        <w:t>made after</w:t>
      </w:r>
      <w:r w:rsidRPr="005C2D75">
        <w:rPr>
          <w:rFonts w:cstheme="minorHAnsi"/>
          <w:b/>
          <w:sz w:val="24"/>
          <w:szCs w:val="24"/>
        </w:rPr>
        <w:t xml:space="preserve"> arrest when </w:t>
      </w:r>
      <w:r w:rsidRPr="005C2D75">
        <w:rPr>
          <w:rFonts w:cstheme="minorHAnsi"/>
          <w:b/>
          <w:bCs/>
          <w:sz w:val="24"/>
          <w:szCs w:val="24"/>
        </w:rPr>
        <w:t>first</w:t>
      </w:r>
      <w:r w:rsidRPr="005C2D75">
        <w:rPr>
          <w:rFonts w:cstheme="minorHAnsi"/>
          <w:b/>
          <w:sz w:val="24"/>
          <w:szCs w:val="24"/>
        </w:rPr>
        <w:t xml:space="preserve"> advice is </w:t>
      </w:r>
      <w:r w:rsidRPr="005C2D75">
        <w:rPr>
          <w:rFonts w:cstheme="minorHAnsi"/>
          <w:b/>
          <w:bCs/>
          <w:sz w:val="24"/>
          <w:szCs w:val="24"/>
        </w:rPr>
        <w:t xml:space="preserve">given, </w:t>
      </w:r>
      <w:r w:rsidRPr="005C2D75">
        <w:rPr>
          <w:rFonts w:cstheme="minorHAnsi"/>
          <w:b/>
          <w:sz w:val="24"/>
          <w:szCs w:val="24"/>
        </w:rPr>
        <w:t xml:space="preserve">or advice </w:t>
      </w:r>
      <w:r w:rsidRPr="005C2D75">
        <w:rPr>
          <w:rFonts w:cstheme="minorHAnsi"/>
          <w:b/>
          <w:bCs/>
          <w:sz w:val="24"/>
          <w:szCs w:val="24"/>
        </w:rPr>
        <w:t>provided after receiving</w:t>
      </w:r>
      <w:r w:rsidRPr="005C2D75">
        <w:rPr>
          <w:rFonts w:cstheme="minorHAnsi"/>
          <w:b/>
          <w:sz w:val="24"/>
          <w:szCs w:val="24"/>
        </w:rPr>
        <w:t xml:space="preserve"> disclosure </w:t>
      </w:r>
      <w:r w:rsidRPr="005C2D75">
        <w:rPr>
          <w:rFonts w:cstheme="minorHAnsi"/>
          <w:b/>
          <w:bCs/>
          <w:sz w:val="24"/>
          <w:szCs w:val="24"/>
        </w:rPr>
        <w:t>ahead of an</w:t>
      </w:r>
      <w:r w:rsidRPr="005C2D75">
        <w:rPr>
          <w:rFonts w:cstheme="minorHAnsi"/>
          <w:b/>
          <w:sz w:val="24"/>
          <w:szCs w:val="24"/>
        </w:rPr>
        <w:t xml:space="preserve"> interview</w:t>
      </w:r>
      <w:r w:rsidRPr="005C2D75">
        <w:rPr>
          <w:rFonts w:cstheme="minorHAnsi"/>
          <w:b/>
          <w:bCs/>
          <w:sz w:val="24"/>
          <w:szCs w:val="24"/>
        </w:rPr>
        <w:t>?</w:t>
      </w:r>
    </w:p>
    <w:p w14:paraId="5A1DD2BF" w14:textId="77777777" w:rsidR="00635803" w:rsidRPr="005C2D75" w:rsidRDefault="00635803" w:rsidP="00635803">
      <w:pPr>
        <w:rPr>
          <w:rFonts w:cstheme="minorHAnsi"/>
          <w:sz w:val="24"/>
          <w:szCs w:val="24"/>
        </w:rPr>
      </w:pPr>
      <w:r w:rsidRPr="005C2D75">
        <w:rPr>
          <w:rFonts w:cstheme="minorHAnsi"/>
          <w:b/>
          <w:bCs/>
          <w:sz w:val="24"/>
          <w:szCs w:val="24"/>
        </w:rPr>
        <w:t xml:space="preserve">A: </w:t>
      </w:r>
      <w:r w:rsidRPr="005C2D75">
        <w:rPr>
          <w:rFonts w:cstheme="minorHAnsi"/>
          <w:sz w:val="24"/>
          <w:szCs w:val="24"/>
        </w:rPr>
        <w:t xml:space="preserve">A telephone attendance is defined as “all telephone calls for a Matter advising the Client in custody for which the Matter does not also include attendance at the Police Station.” </w:t>
      </w:r>
    </w:p>
    <w:p w14:paraId="452ABCDB" w14:textId="77777777" w:rsidR="00635803" w:rsidRPr="005C2D75" w:rsidRDefault="00635803" w:rsidP="00635803">
      <w:pPr>
        <w:rPr>
          <w:rFonts w:cstheme="minorHAnsi"/>
          <w:sz w:val="24"/>
          <w:szCs w:val="24"/>
        </w:rPr>
      </w:pPr>
      <w:r w:rsidRPr="005C2D75">
        <w:rPr>
          <w:rFonts w:cstheme="minorHAnsi"/>
          <w:sz w:val="24"/>
          <w:szCs w:val="24"/>
        </w:rPr>
        <w:t>If you have given the client initial advice over the phone and then attended the police station in person, this is considered a police station attendance, not telephone advice.</w:t>
      </w:r>
    </w:p>
    <w:p w14:paraId="4DBC2B47" w14:textId="77777777" w:rsidR="00E42D25" w:rsidRDefault="00E42D25" w:rsidP="00511EE9">
      <w:pPr>
        <w:pStyle w:val="BodyText"/>
      </w:pPr>
    </w:p>
    <w:p w14:paraId="33D0ED9B" w14:textId="77777777" w:rsidR="00511EE9" w:rsidRDefault="00511EE9" w:rsidP="00511EE9">
      <w:pPr>
        <w:pStyle w:val="BodyText"/>
      </w:pPr>
    </w:p>
    <w:p w14:paraId="1E4F736F" w14:textId="77777777" w:rsidR="005C2D75" w:rsidRDefault="005C2D75" w:rsidP="00511EE9">
      <w:pPr>
        <w:pStyle w:val="BodyText"/>
      </w:pPr>
    </w:p>
    <w:p w14:paraId="154E8162" w14:textId="77777777" w:rsidR="005C2D75" w:rsidRDefault="005C2D75" w:rsidP="00511EE9">
      <w:pPr>
        <w:pStyle w:val="BodyText"/>
      </w:pPr>
    </w:p>
    <w:p w14:paraId="7480C654" w14:textId="77777777" w:rsidR="005C2D75" w:rsidRDefault="005C2D75" w:rsidP="00511EE9">
      <w:pPr>
        <w:pStyle w:val="BodyText"/>
      </w:pPr>
    </w:p>
    <w:p w14:paraId="0609CCB2" w14:textId="77777777" w:rsidR="005C2D75" w:rsidRDefault="005C2D75" w:rsidP="00511EE9">
      <w:pPr>
        <w:pStyle w:val="BodyText"/>
      </w:pPr>
    </w:p>
    <w:p w14:paraId="7F93CFBC" w14:textId="77777777" w:rsidR="005C2D75" w:rsidRDefault="005C2D75" w:rsidP="00511EE9">
      <w:pPr>
        <w:pStyle w:val="BodyText"/>
      </w:pPr>
    </w:p>
    <w:p w14:paraId="529FD61C" w14:textId="77777777" w:rsidR="005C2D75" w:rsidRDefault="005C2D75" w:rsidP="00511EE9">
      <w:pPr>
        <w:pStyle w:val="BodyText"/>
      </w:pPr>
    </w:p>
    <w:p w14:paraId="034FBD95" w14:textId="77777777" w:rsidR="005C2D75" w:rsidRDefault="005C2D75" w:rsidP="00511EE9">
      <w:pPr>
        <w:pStyle w:val="BodyText"/>
      </w:pPr>
    </w:p>
    <w:p w14:paraId="271FC40F" w14:textId="77777777" w:rsidR="005C2D75" w:rsidRDefault="005C2D75" w:rsidP="00511EE9">
      <w:pPr>
        <w:pStyle w:val="BodyText"/>
      </w:pPr>
    </w:p>
    <w:p w14:paraId="7F30DBE1" w14:textId="04185196" w:rsidR="00AC178A" w:rsidRDefault="00AC178A" w:rsidP="00AC178A">
      <w:pPr>
        <w:pStyle w:val="Heading1"/>
      </w:pPr>
      <w:r>
        <w:lastRenderedPageBreak/>
        <w:t>Claiming</w:t>
      </w:r>
    </w:p>
    <w:p w14:paraId="645E51DB" w14:textId="77777777" w:rsidR="0006734A" w:rsidRPr="00AC178A" w:rsidRDefault="0006734A" w:rsidP="0006734A">
      <w:pPr>
        <w:rPr>
          <w:rFonts w:cstheme="minorHAnsi"/>
          <w:sz w:val="24"/>
          <w:szCs w:val="24"/>
        </w:rPr>
      </w:pPr>
      <w:r w:rsidRPr="00AC178A">
        <w:rPr>
          <w:rFonts w:cstheme="minorHAnsi"/>
          <w:b/>
          <w:bCs/>
          <w:sz w:val="24"/>
          <w:szCs w:val="24"/>
        </w:rPr>
        <w:t>Q: When can we submit the CRM6 form online again?</w:t>
      </w:r>
    </w:p>
    <w:p w14:paraId="11773420" w14:textId="77777777" w:rsidR="0006734A" w:rsidRPr="00AC178A" w:rsidRDefault="0006734A" w:rsidP="0006734A">
      <w:pPr>
        <w:rPr>
          <w:rFonts w:cstheme="minorHAnsi"/>
          <w:sz w:val="24"/>
          <w:szCs w:val="24"/>
        </w:rPr>
      </w:pPr>
      <w:r w:rsidRPr="00AC178A">
        <w:rPr>
          <w:rFonts w:cstheme="minorHAnsi"/>
          <w:b/>
          <w:sz w:val="24"/>
          <w:szCs w:val="24"/>
        </w:rPr>
        <w:t xml:space="preserve">A: </w:t>
      </w:r>
      <w:r w:rsidRPr="00AC178A">
        <w:rPr>
          <w:rFonts w:cstheme="minorHAnsi"/>
          <w:sz w:val="24"/>
          <w:szCs w:val="24"/>
        </w:rPr>
        <w:t xml:space="preserve">The CRM6 and CWA portal will be replaced by the ‘Submit a Bulk Claim’ service. More information can be found here: </w:t>
      </w:r>
      <w:hyperlink r:id="rId24">
        <w:r w:rsidRPr="00AC178A">
          <w:rPr>
            <w:rStyle w:val="Hyperlink"/>
            <w:rFonts w:cstheme="minorHAnsi"/>
            <w:sz w:val="24"/>
            <w:szCs w:val="24"/>
          </w:rPr>
          <w:t>Submit a Bulk Claim (SaBC) - GOV.UK</w:t>
        </w:r>
      </w:hyperlink>
    </w:p>
    <w:p w14:paraId="251762E1" w14:textId="77777777" w:rsidR="0006734A" w:rsidRPr="00AC178A" w:rsidRDefault="0006734A" w:rsidP="0006734A">
      <w:pPr>
        <w:rPr>
          <w:rFonts w:cstheme="minorHAnsi"/>
          <w:b/>
          <w:sz w:val="24"/>
          <w:szCs w:val="24"/>
        </w:rPr>
      </w:pPr>
      <w:r w:rsidRPr="00AC178A">
        <w:rPr>
          <w:rFonts w:eastAsia="Times New Roman" w:cstheme="minorHAnsi"/>
          <w:b/>
          <w:bCs/>
          <w:sz w:val="24"/>
          <w:szCs w:val="24"/>
        </w:rPr>
        <w:t>Q:</w:t>
      </w:r>
      <w:r w:rsidRPr="00AC178A">
        <w:rPr>
          <w:rFonts w:eastAsia="Segoe UI" w:cstheme="minorHAnsi"/>
          <w:sz w:val="24"/>
          <w:szCs w:val="24"/>
        </w:rPr>
        <w:t xml:space="preserve"> </w:t>
      </w:r>
      <w:r w:rsidRPr="00AC178A">
        <w:rPr>
          <w:rFonts w:cstheme="minorHAnsi"/>
          <w:b/>
          <w:bCs/>
          <w:sz w:val="24"/>
          <w:szCs w:val="24"/>
        </w:rPr>
        <w:t>If a claim for a CRM7 uplift is refused, does that mean the amount you can claim is reduced?</w:t>
      </w:r>
    </w:p>
    <w:p w14:paraId="0D390E82" w14:textId="77777777" w:rsidR="0006734A" w:rsidRPr="00AC178A" w:rsidRDefault="0006734A" w:rsidP="0006734A">
      <w:pPr>
        <w:rPr>
          <w:rFonts w:eastAsia="Times New Roman" w:cstheme="minorHAnsi"/>
          <w:sz w:val="24"/>
          <w:szCs w:val="24"/>
        </w:rPr>
      </w:pPr>
      <w:r w:rsidRPr="00AC178A">
        <w:rPr>
          <w:rFonts w:eastAsia="Times New Roman" w:cstheme="minorHAnsi"/>
          <w:b/>
          <w:sz w:val="24"/>
          <w:szCs w:val="24"/>
        </w:rPr>
        <w:t xml:space="preserve">A: </w:t>
      </w:r>
      <w:r w:rsidRPr="00AC178A">
        <w:rPr>
          <w:rFonts w:eastAsia="Times New Roman" w:cstheme="minorHAnsi"/>
          <w:sz w:val="24"/>
          <w:szCs w:val="24"/>
        </w:rPr>
        <w:t>Yes, this would count as a reduction as it is less than the amount that you have claimed.</w:t>
      </w:r>
    </w:p>
    <w:p w14:paraId="7533C539" w14:textId="77777777" w:rsidR="00AC178A" w:rsidRDefault="00AC178A" w:rsidP="0006734A">
      <w:pPr>
        <w:rPr>
          <w:rFonts w:ascii="Arial" w:eastAsia="Times New Roman" w:hAnsi="Arial" w:cs="Arial"/>
          <w:highlight w:val="cyan"/>
        </w:rPr>
      </w:pPr>
    </w:p>
    <w:p w14:paraId="5DE607C5" w14:textId="77777777" w:rsidR="00AC178A" w:rsidRDefault="00AC178A" w:rsidP="0006734A">
      <w:pPr>
        <w:rPr>
          <w:rFonts w:ascii="Arial" w:eastAsia="Times New Roman" w:hAnsi="Arial" w:cs="Arial"/>
          <w:highlight w:val="cyan"/>
        </w:rPr>
      </w:pPr>
    </w:p>
    <w:p w14:paraId="0A4FFEB9" w14:textId="77777777" w:rsidR="00AC178A" w:rsidRDefault="00AC178A" w:rsidP="0006734A">
      <w:pPr>
        <w:rPr>
          <w:rFonts w:ascii="Arial" w:eastAsia="Times New Roman" w:hAnsi="Arial" w:cs="Arial"/>
          <w:highlight w:val="cyan"/>
        </w:rPr>
      </w:pPr>
    </w:p>
    <w:p w14:paraId="229D1077" w14:textId="77777777" w:rsidR="00AC178A" w:rsidRDefault="00AC178A" w:rsidP="0006734A">
      <w:pPr>
        <w:rPr>
          <w:rFonts w:ascii="Arial" w:eastAsia="Times New Roman" w:hAnsi="Arial" w:cs="Arial"/>
          <w:highlight w:val="cyan"/>
        </w:rPr>
      </w:pPr>
    </w:p>
    <w:p w14:paraId="0FA50886" w14:textId="77777777" w:rsidR="00AC178A" w:rsidRDefault="00AC178A" w:rsidP="0006734A">
      <w:pPr>
        <w:rPr>
          <w:rFonts w:ascii="Arial" w:eastAsia="Times New Roman" w:hAnsi="Arial" w:cs="Arial"/>
          <w:highlight w:val="cyan"/>
        </w:rPr>
      </w:pPr>
    </w:p>
    <w:p w14:paraId="6C85706C" w14:textId="77777777" w:rsidR="00AC178A" w:rsidRDefault="00AC178A" w:rsidP="0006734A">
      <w:pPr>
        <w:rPr>
          <w:rFonts w:ascii="Arial" w:eastAsia="Times New Roman" w:hAnsi="Arial" w:cs="Arial"/>
          <w:highlight w:val="cyan"/>
        </w:rPr>
      </w:pPr>
    </w:p>
    <w:p w14:paraId="117A2532" w14:textId="77777777" w:rsidR="00AC178A" w:rsidRDefault="00AC178A" w:rsidP="0006734A">
      <w:pPr>
        <w:rPr>
          <w:rFonts w:ascii="Arial" w:eastAsia="Times New Roman" w:hAnsi="Arial" w:cs="Arial"/>
          <w:highlight w:val="cyan"/>
        </w:rPr>
      </w:pPr>
    </w:p>
    <w:p w14:paraId="7582B682" w14:textId="77777777" w:rsidR="00AC178A" w:rsidRDefault="00AC178A" w:rsidP="0006734A">
      <w:pPr>
        <w:rPr>
          <w:rFonts w:ascii="Arial" w:eastAsia="Times New Roman" w:hAnsi="Arial" w:cs="Arial"/>
          <w:highlight w:val="cyan"/>
        </w:rPr>
      </w:pPr>
    </w:p>
    <w:p w14:paraId="570838AC" w14:textId="77777777" w:rsidR="00AC178A" w:rsidRDefault="00AC178A" w:rsidP="0006734A">
      <w:pPr>
        <w:rPr>
          <w:rFonts w:ascii="Arial" w:eastAsia="Times New Roman" w:hAnsi="Arial" w:cs="Arial"/>
          <w:highlight w:val="cyan"/>
        </w:rPr>
      </w:pPr>
    </w:p>
    <w:p w14:paraId="66CC4A5C" w14:textId="77777777" w:rsidR="00AC178A" w:rsidRDefault="00AC178A" w:rsidP="0006734A">
      <w:pPr>
        <w:rPr>
          <w:rFonts w:ascii="Arial" w:eastAsia="Times New Roman" w:hAnsi="Arial" w:cs="Arial"/>
          <w:highlight w:val="cyan"/>
        </w:rPr>
      </w:pPr>
    </w:p>
    <w:p w14:paraId="2A3FC782" w14:textId="77777777" w:rsidR="00AC178A" w:rsidRDefault="00AC178A" w:rsidP="0006734A">
      <w:pPr>
        <w:rPr>
          <w:rFonts w:ascii="Arial" w:eastAsia="Times New Roman" w:hAnsi="Arial" w:cs="Arial"/>
          <w:highlight w:val="cyan"/>
        </w:rPr>
      </w:pPr>
    </w:p>
    <w:p w14:paraId="7C7908B5" w14:textId="77777777" w:rsidR="00AC178A" w:rsidRDefault="00AC178A" w:rsidP="0006734A">
      <w:pPr>
        <w:rPr>
          <w:rFonts w:ascii="Arial" w:eastAsia="Times New Roman" w:hAnsi="Arial" w:cs="Arial"/>
          <w:highlight w:val="cyan"/>
        </w:rPr>
      </w:pPr>
    </w:p>
    <w:p w14:paraId="7B6512B6" w14:textId="77777777" w:rsidR="00AC178A" w:rsidRDefault="00AC178A" w:rsidP="0006734A">
      <w:pPr>
        <w:rPr>
          <w:rFonts w:ascii="Arial" w:eastAsia="Times New Roman" w:hAnsi="Arial" w:cs="Arial"/>
          <w:highlight w:val="cyan"/>
        </w:rPr>
      </w:pPr>
    </w:p>
    <w:p w14:paraId="638CB70C" w14:textId="77777777" w:rsidR="00AC178A" w:rsidRDefault="00AC178A" w:rsidP="0006734A">
      <w:pPr>
        <w:rPr>
          <w:rFonts w:ascii="Arial" w:eastAsia="Times New Roman" w:hAnsi="Arial" w:cs="Arial"/>
          <w:highlight w:val="cyan"/>
        </w:rPr>
      </w:pPr>
    </w:p>
    <w:p w14:paraId="3333E118" w14:textId="77777777" w:rsidR="00AC178A" w:rsidRDefault="00AC178A" w:rsidP="0006734A">
      <w:pPr>
        <w:rPr>
          <w:rFonts w:ascii="Arial" w:eastAsia="Times New Roman" w:hAnsi="Arial" w:cs="Arial"/>
          <w:highlight w:val="cyan"/>
        </w:rPr>
      </w:pPr>
    </w:p>
    <w:p w14:paraId="409595FC" w14:textId="77777777" w:rsidR="00AC178A" w:rsidRDefault="00AC178A" w:rsidP="0006734A">
      <w:pPr>
        <w:rPr>
          <w:rFonts w:ascii="Arial" w:eastAsia="Times New Roman" w:hAnsi="Arial" w:cs="Arial"/>
          <w:highlight w:val="cyan"/>
        </w:rPr>
      </w:pPr>
    </w:p>
    <w:p w14:paraId="4DFDBC1F" w14:textId="77777777" w:rsidR="00AC178A" w:rsidRDefault="00AC178A" w:rsidP="0006734A">
      <w:pPr>
        <w:rPr>
          <w:rFonts w:ascii="Arial" w:eastAsia="Times New Roman" w:hAnsi="Arial" w:cs="Arial"/>
          <w:highlight w:val="cyan"/>
        </w:rPr>
      </w:pPr>
    </w:p>
    <w:p w14:paraId="5D6734D3" w14:textId="77777777" w:rsidR="00AC178A" w:rsidRDefault="00AC178A" w:rsidP="0006734A">
      <w:pPr>
        <w:rPr>
          <w:rFonts w:ascii="Arial" w:eastAsia="Times New Roman" w:hAnsi="Arial" w:cs="Arial"/>
          <w:highlight w:val="cyan"/>
        </w:rPr>
      </w:pPr>
    </w:p>
    <w:p w14:paraId="6704A522" w14:textId="77777777" w:rsidR="00AC178A" w:rsidRDefault="00AC178A" w:rsidP="0006734A">
      <w:pPr>
        <w:rPr>
          <w:rFonts w:ascii="Arial" w:eastAsia="Times New Roman" w:hAnsi="Arial" w:cs="Arial"/>
          <w:highlight w:val="cyan"/>
        </w:rPr>
      </w:pPr>
    </w:p>
    <w:p w14:paraId="0A17B125" w14:textId="77777777" w:rsidR="00AC178A" w:rsidRDefault="00AC178A" w:rsidP="0006734A">
      <w:pPr>
        <w:rPr>
          <w:rFonts w:ascii="Arial" w:eastAsia="Times New Roman" w:hAnsi="Arial" w:cs="Arial"/>
          <w:highlight w:val="cyan"/>
        </w:rPr>
      </w:pPr>
    </w:p>
    <w:p w14:paraId="1D689DC6" w14:textId="77777777" w:rsidR="00AC178A" w:rsidRDefault="00AC178A" w:rsidP="0006734A">
      <w:pPr>
        <w:rPr>
          <w:rFonts w:ascii="Arial" w:eastAsia="Times New Roman" w:hAnsi="Arial" w:cs="Arial"/>
          <w:highlight w:val="cyan"/>
        </w:rPr>
      </w:pPr>
    </w:p>
    <w:p w14:paraId="39DAED20" w14:textId="77777777" w:rsidR="00AC178A" w:rsidRDefault="00AC178A" w:rsidP="0006734A">
      <w:pPr>
        <w:rPr>
          <w:rFonts w:ascii="Arial" w:eastAsia="Times New Roman" w:hAnsi="Arial" w:cs="Arial"/>
          <w:highlight w:val="cyan"/>
        </w:rPr>
      </w:pPr>
    </w:p>
    <w:p w14:paraId="70332947" w14:textId="77777777" w:rsidR="00AC178A" w:rsidRDefault="00AC178A" w:rsidP="0006734A">
      <w:pPr>
        <w:rPr>
          <w:rFonts w:ascii="Arial" w:eastAsia="Times New Roman" w:hAnsi="Arial" w:cs="Arial"/>
          <w:highlight w:val="cyan"/>
        </w:rPr>
      </w:pPr>
    </w:p>
    <w:p w14:paraId="694EB1AD" w14:textId="77777777" w:rsidR="00AC178A" w:rsidRDefault="00AC178A" w:rsidP="0006734A">
      <w:pPr>
        <w:rPr>
          <w:rFonts w:ascii="Arial" w:eastAsia="Times New Roman" w:hAnsi="Arial" w:cs="Arial"/>
          <w:highlight w:val="cyan"/>
        </w:rPr>
      </w:pPr>
    </w:p>
    <w:p w14:paraId="5D3160C3" w14:textId="306EBCC4" w:rsidR="00AC178A" w:rsidRDefault="00DF4140" w:rsidP="00AC178A">
      <w:pPr>
        <w:pStyle w:val="Heading1"/>
      </w:pPr>
      <w:r>
        <w:lastRenderedPageBreak/>
        <w:t>Remuneration</w:t>
      </w:r>
    </w:p>
    <w:p w14:paraId="421BA647" w14:textId="77777777" w:rsidR="00DF4140" w:rsidRPr="00DF4140" w:rsidRDefault="00DF4140" w:rsidP="00DF4140">
      <w:pPr>
        <w:rPr>
          <w:rFonts w:cstheme="minorHAnsi"/>
          <w:b/>
          <w:sz w:val="24"/>
          <w:szCs w:val="24"/>
        </w:rPr>
      </w:pPr>
      <w:r w:rsidRPr="00DF4140">
        <w:rPr>
          <w:rFonts w:cstheme="minorHAnsi"/>
          <w:b/>
          <w:sz w:val="24"/>
          <w:szCs w:val="24"/>
        </w:rPr>
        <w:t>Q: There was a recent consultation regarding increasing police station fees. Will the fixed fee for police station work be increased?</w:t>
      </w:r>
    </w:p>
    <w:p w14:paraId="39C6C3B1" w14:textId="77777777" w:rsidR="00DF4140" w:rsidRPr="00DF4140" w:rsidRDefault="00DF4140" w:rsidP="00DF4140">
      <w:pPr>
        <w:rPr>
          <w:rFonts w:cstheme="minorHAnsi"/>
          <w:sz w:val="24"/>
          <w:szCs w:val="24"/>
        </w:rPr>
      </w:pPr>
      <w:r w:rsidRPr="00DF4140">
        <w:rPr>
          <w:rFonts w:cstheme="minorHAnsi"/>
          <w:b/>
          <w:bCs/>
          <w:sz w:val="24"/>
          <w:szCs w:val="24"/>
        </w:rPr>
        <w:t xml:space="preserve">A: </w:t>
      </w:r>
      <w:r w:rsidRPr="00DF4140">
        <w:rPr>
          <w:rFonts w:cstheme="minorHAnsi"/>
          <w:sz w:val="24"/>
          <w:szCs w:val="24"/>
        </w:rPr>
        <w:t>The consultation closed on 4 July 2025. The response to the consultation will be made available soon.</w:t>
      </w:r>
    </w:p>
    <w:p w14:paraId="194E253C" w14:textId="77777777" w:rsidR="00DF4140" w:rsidRPr="00DF4140" w:rsidRDefault="00DF4140" w:rsidP="00DF4140">
      <w:pPr>
        <w:rPr>
          <w:rFonts w:cstheme="minorHAnsi"/>
          <w:b/>
          <w:sz w:val="24"/>
          <w:szCs w:val="24"/>
        </w:rPr>
      </w:pPr>
      <w:r w:rsidRPr="00DF4140">
        <w:rPr>
          <w:rFonts w:cstheme="minorHAnsi"/>
          <w:b/>
          <w:sz w:val="24"/>
          <w:szCs w:val="24"/>
        </w:rPr>
        <w:t>Q: Are there any other increases to the fees in general?</w:t>
      </w:r>
    </w:p>
    <w:p w14:paraId="65F730A8" w14:textId="77777777" w:rsidR="00DF4140" w:rsidRPr="00DF4140" w:rsidRDefault="00DF4140" w:rsidP="00DF4140">
      <w:pPr>
        <w:rPr>
          <w:rFonts w:cstheme="minorHAnsi"/>
          <w:sz w:val="24"/>
          <w:szCs w:val="24"/>
        </w:rPr>
      </w:pPr>
      <w:r w:rsidRPr="00DF4140">
        <w:rPr>
          <w:rFonts w:cstheme="minorHAnsi"/>
          <w:b/>
          <w:bCs/>
          <w:sz w:val="24"/>
          <w:szCs w:val="24"/>
        </w:rPr>
        <w:t xml:space="preserve">A: </w:t>
      </w:r>
      <w:r w:rsidRPr="00DF4140">
        <w:rPr>
          <w:rFonts w:cstheme="minorHAnsi"/>
          <w:sz w:val="24"/>
          <w:szCs w:val="24"/>
        </w:rPr>
        <w:t>Fees are not determined by the Crime Contract 2025. The consultation regarding fee increases closed on 4 July 2025. The response to the consultation will be made available soon.</w:t>
      </w:r>
    </w:p>
    <w:p w14:paraId="57129045" w14:textId="77777777" w:rsidR="00DF4140" w:rsidRPr="00DF4140" w:rsidRDefault="00DF4140" w:rsidP="00DF4140">
      <w:pPr>
        <w:rPr>
          <w:rFonts w:cstheme="minorHAnsi"/>
          <w:b/>
          <w:sz w:val="24"/>
          <w:szCs w:val="24"/>
        </w:rPr>
      </w:pPr>
      <w:r w:rsidRPr="00DF4140">
        <w:rPr>
          <w:rFonts w:cstheme="minorHAnsi"/>
          <w:b/>
          <w:sz w:val="24"/>
          <w:szCs w:val="24"/>
        </w:rPr>
        <w:t>Q: Have the Criminal Legal Aid (Remuneration) (Amendment) Regulations 2024 been updated for the 2025 crime contract?</w:t>
      </w:r>
    </w:p>
    <w:p w14:paraId="7E358ED7" w14:textId="77777777" w:rsidR="00DF4140" w:rsidRPr="00DF4140" w:rsidRDefault="00DF4140" w:rsidP="00DF4140">
      <w:pPr>
        <w:rPr>
          <w:rFonts w:cstheme="minorHAnsi"/>
          <w:sz w:val="24"/>
          <w:szCs w:val="24"/>
        </w:rPr>
      </w:pPr>
      <w:r w:rsidRPr="00DF4140">
        <w:rPr>
          <w:rFonts w:cstheme="minorHAnsi"/>
          <w:b/>
          <w:bCs/>
          <w:sz w:val="24"/>
          <w:szCs w:val="24"/>
        </w:rPr>
        <w:t xml:space="preserve">A: </w:t>
      </w:r>
      <w:r w:rsidRPr="00DF4140">
        <w:rPr>
          <w:rFonts w:cstheme="minorHAnsi"/>
          <w:sz w:val="24"/>
          <w:szCs w:val="24"/>
        </w:rPr>
        <w:t>No, fees are not determined by the Crime Contract 2025. The consultation regarding fee increases closed on 4 July 2025. The response to the consultation will be made available soon.</w:t>
      </w:r>
    </w:p>
    <w:p w14:paraId="11814851" w14:textId="77777777" w:rsidR="00AC178A" w:rsidRPr="00DF4140" w:rsidRDefault="00AC178A" w:rsidP="0006734A">
      <w:pPr>
        <w:rPr>
          <w:rFonts w:eastAsia="Times New Roman" w:cstheme="minorHAnsi"/>
          <w:sz w:val="24"/>
          <w:szCs w:val="24"/>
        </w:rPr>
      </w:pPr>
    </w:p>
    <w:p w14:paraId="4DC587E5" w14:textId="3C303795" w:rsidR="00AC178A" w:rsidRDefault="00356299" w:rsidP="00AC178A">
      <w:pPr>
        <w:pStyle w:val="Heading1"/>
      </w:pPr>
      <w:r>
        <w:lastRenderedPageBreak/>
        <w:t>Quality standards</w:t>
      </w:r>
    </w:p>
    <w:p w14:paraId="22A717DB" w14:textId="77777777" w:rsidR="00356299" w:rsidRPr="004450AB" w:rsidRDefault="00356299" w:rsidP="00356299">
      <w:pPr>
        <w:rPr>
          <w:rFonts w:eastAsia="Arial" w:cstheme="minorHAnsi"/>
          <w:sz w:val="24"/>
          <w:szCs w:val="24"/>
        </w:rPr>
      </w:pPr>
      <w:r w:rsidRPr="004450AB">
        <w:rPr>
          <w:rFonts w:eastAsia="Times New Roman" w:cstheme="minorHAnsi"/>
          <w:b/>
          <w:sz w:val="24"/>
          <w:szCs w:val="24"/>
        </w:rPr>
        <w:t>Q:</w:t>
      </w:r>
      <w:r w:rsidRPr="004450AB">
        <w:rPr>
          <w:rFonts w:eastAsia="Arial" w:cstheme="minorHAnsi"/>
          <w:sz w:val="24"/>
          <w:szCs w:val="24"/>
        </w:rPr>
        <w:t xml:space="preserve"> </w:t>
      </w:r>
      <w:r w:rsidRPr="004450AB">
        <w:rPr>
          <w:rFonts w:eastAsia="Arial" w:cstheme="minorHAnsi"/>
          <w:b/>
          <w:sz w:val="24"/>
          <w:szCs w:val="24"/>
        </w:rPr>
        <w:t xml:space="preserve">Has </w:t>
      </w:r>
      <w:r w:rsidRPr="004450AB">
        <w:rPr>
          <w:rFonts w:eastAsia="Arial" w:cstheme="minorHAnsi"/>
          <w:b/>
          <w:bCs/>
          <w:sz w:val="24"/>
          <w:szCs w:val="24"/>
        </w:rPr>
        <w:t xml:space="preserve">the </w:t>
      </w:r>
      <w:r w:rsidRPr="004450AB">
        <w:rPr>
          <w:rFonts w:eastAsia="Arial" w:cstheme="minorHAnsi"/>
          <w:b/>
          <w:sz w:val="24"/>
          <w:szCs w:val="24"/>
        </w:rPr>
        <w:t>Lexcel cycle also been changed from 3 to 5 years?</w:t>
      </w:r>
    </w:p>
    <w:p w14:paraId="7F4AED25" w14:textId="77777777" w:rsidR="00356299" w:rsidRPr="004450AB" w:rsidRDefault="00356299" w:rsidP="00356299">
      <w:pPr>
        <w:rPr>
          <w:rFonts w:eastAsia="Times New Roman" w:cstheme="minorHAnsi"/>
          <w:sz w:val="24"/>
          <w:szCs w:val="24"/>
        </w:rPr>
      </w:pPr>
      <w:r w:rsidRPr="004450AB">
        <w:rPr>
          <w:rFonts w:eastAsia="Times New Roman" w:cstheme="minorHAnsi"/>
          <w:b/>
          <w:sz w:val="24"/>
          <w:szCs w:val="24"/>
        </w:rPr>
        <w:t xml:space="preserve">A: </w:t>
      </w:r>
      <w:r w:rsidRPr="004450AB">
        <w:rPr>
          <w:rFonts w:eastAsia="Times New Roman" w:cstheme="minorHAnsi"/>
          <w:sz w:val="24"/>
          <w:szCs w:val="24"/>
        </w:rPr>
        <w:t>No, the Lexcel cycle remains at a 3-year audit cycle.</w:t>
      </w:r>
    </w:p>
    <w:p w14:paraId="7878944E" w14:textId="77777777" w:rsidR="00356299" w:rsidRPr="004450AB" w:rsidRDefault="00356299" w:rsidP="00356299">
      <w:pPr>
        <w:rPr>
          <w:rFonts w:cstheme="minorHAnsi"/>
          <w:b/>
          <w:sz w:val="24"/>
          <w:szCs w:val="24"/>
        </w:rPr>
      </w:pPr>
      <w:r w:rsidRPr="004450AB">
        <w:rPr>
          <w:rFonts w:eastAsia="Times New Roman" w:cstheme="minorHAnsi"/>
          <w:b/>
          <w:sz w:val="24"/>
          <w:szCs w:val="24"/>
        </w:rPr>
        <w:t>Q:</w:t>
      </w:r>
      <w:r w:rsidRPr="004450AB">
        <w:rPr>
          <w:rFonts w:eastAsia="Arial" w:cstheme="minorHAnsi"/>
          <w:sz w:val="24"/>
          <w:szCs w:val="24"/>
        </w:rPr>
        <w:t xml:space="preserve"> </w:t>
      </w:r>
      <w:r w:rsidRPr="004450AB">
        <w:rPr>
          <w:rFonts w:cstheme="minorHAnsi"/>
          <w:b/>
          <w:bCs/>
          <w:sz w:val="24"/>
          <w:szCs w:val="24"/>
        </w:rPr>
        <w:t>Did</w:t>
      </w:r>
      <w:r w:rsidRPr="004450AB">
        <w:rPr>
          <w:rFonts w:cstheme="minorHAnsi"/>
          <w:b/>
          <w:sz w:val="24"/>
          <w:szCs w:val="24"/>
        </w:rPr>
        <w:t xml:space="preserve"> the SQM auditors </w:t>
      </w:r>
      <w:r w:rsidRPr="004450AB">
        <w:rPr>
          <w:rFonts w:cstheme="minorHAnsi"/>
          <w:b/>
          <w:bCs/>
          <w:sz w:val="24"/>
          <w:szCs w:val="24"/>
        </w:rPr>
        <w:t>say</w:t>
      </w:r>
      <w:r w:rsidRPr="004450AB">
        <w:rPr>
          <w:rFonts w:cstheme="minorHAnsi"/>
          <w:b/>
          <w:sz w:val="24"/>
          <w:szCs w:val="24"/>
        </w:rPr>
        <w:t xml:space="preserve"> that the extension </w:t>
      </w:r>
      <w:r w:rsidRPr="004450AB">
        <w:rPr>
          <w:rFonts w:cstheme="minorHAnsi"/>
          <w:b/>
          <w:bCs/>
          <w:sz w:val="24"/>
          <w:szCs w:val="24"/>
        </w:rPr>
        <w:t>does not</w:t>
      </w:r>
      <w:r w:rsidRPr="004450AB">
        <w:rPr>
          <w:rFonts w:cstheme="minorHAnsi"/>
          <w:b/>
          <w:sz w:val="24"/>
          <w:szCs w:val="24"/>
        </w:rPr>
        <w:t xml:space="preserve"> apply to firms </w:t>
      </w:r>
      <w:r w:rsidRPr="004450AB">
        <w:rPr>
          <w:rFonts w:cstheme="minorHAnsi"/>
          <w:b/>
          <w:bCs/>
          <w:sz w:val="24"/>
          <w:szCs w:val="24"/>
        </w:rPr>
        <w:t>audited</w:t>
      </w:r>
      <w:r w:rsidRPr="004450AB">
        <w:rPr>
          <w:rFonts w:cstheme="minorHAnsi"/>
          <w:b/>
          <w:sz w:val="24"/>
          <w:szCs w:val="24"/>
        </w:rPr>
        <w:t xml:space="preserve"> before October </w:t>
      </w:r>
      <w:r w:rsidRPr="004450AB">
        <w:rPr>
          <w:rFonts w:cstheme="minorHAnsi"/>
          <w:b/>
          <w:bCs/>
          <w:sz w:val="24"/>
          <w:szCs w:val="24"/>
        </w:rPr>
        <w:t>2025</w:t>
      </w:r>
      <w:r w:rsidRPr="004450AB">
        <w:rPr>
          <w:rFonts w:cstheme="minorHAnsi"/>
          <w:b/>
          <w:sz w:val="24"/>
          <w:szCs w:val="24"/>
        </w:rPr>
        <w:t>?</w:t>
      </w:r>
    </w:p>
    <w:p w14:paraId="44DE7BE2" w14:textId="77777777" w:rsidR="00356299" w:rsidRPr="004450AB" w:rsidRDefault="00356299" w:rsidP="00356299">
      <w:pPr>
        <w:rPr>
          <w:rFonts w:eastAsia="Times New Roman" w:cstheme="minorHAnsi"/>
          <w:sz w:val="24"/>
          <w:szCs w:val="24"/>
        </w:rPr>
      </w:pPr>
      <w:r w:rsidRPr="004450AB">
        <w:rPr>
          <w:rFonts w:eastAsia="Times New Roman" w:cstheme="minorHAnsi"/>
          <w:b/>
          <w:sz w:val="24"/>
          <w:szCs w:val="24"/>
        </w:rPr>
        <w:t xml:space="preserve">A: </w:t>
      </w:r>
      <w:r w:rsidRPr="004450AB">
        <w:rPr>
          <w:rFonts w:cstheme="minorHAnsi"/>
          <w:sz w:val="24"/>
          <w:szCs w:val="24"/>
        </w:rPr>
        <w:t>The five-year cycle for legal services providers begins from the date their Pre-Quality Mark Audit or Post-Quality Mark Audit is carried out. If the audit happens on or after 1 October 2025 and the provider is accredited, that accreditation will last for five years.</w:t>
      </w:r>
    </w:p>
    <w:p w14:paraId="26435735" w14:textId="77777777" w:rsidR="00356299" w:rsidRPr="004450AB" w:rsidRDefault="00356299" w:rsidP="00356299">
      <w:pPr>
        <w:rPr>
          <w:rFonts w:cstheme="minorHAnsi"/>
          <w:sz w:val="24"/>
          <w:szCs w:val="24"/>
        </w:rPr>
      </w:pPr>
      <w:r w:rsidRPr="004450AB">
        <w:rPr>
          <w:rFonts w:eastAsia="Times New Roman" w:cstheme="minorHAnsi"/>
          <w:sz w:val="24"/>
          <w:szCs w:val="24"/>
        </w:rPr>
        <w:t xml:space="preserve">Further information on the transitional arrangements for audit cycles under the SQM:  </w:t>
      </w:r>
      <w:hyperlink r:id="rId25" w:history="1">
        <w:r w:rsidRPr="004450AB">
          <w:rPr>
            <w:rStyle w:val="Hyperlink"/>
            <w:rFonts w:eastAsia="Times New Roman" w:cstheme="minorHAnsi"/>
            <w:sz w:val="24"/>
            <w:szCs w:val="24"/>
          </w:rPr>
          <w:t>SQM_5_Year_Accreditation_Transitional_Rules_-_Examples.</w:t>
        </w:r>
      </w:hyperlink>
    </w:p>
    <w:p w14:paraId="1E0B1FF2" w14:textId="77777777" w:rsidR="00356299" w:rsidRDefault="00356299" w:rsidP="00356299"/>
    <w:p w14:paraId="3027C93D" w14:textId="77777777" w:rsidR="00356299" w:rsidRDefault="00356299" w:rsidP="00356299"/>
    <w:p w14:paraId="5BD8A33D" w14:textId="77777777" w:rsidR="00356299" w:rsidRDefault="00356299" w:rsidP="00356299"/>
    <w:p w14:paraId="62EA7E94" w14:textId="77777777" w:rsidR="00356299" w:rsidRDefault="00356299" w:rsidP="00356299"/>
    <w:p w14:paraId="784EFF58" w14:textId="77777777" w:rsidR="00356299" w:rsidRDefault="00356299" w:rsidP="00356299"/>
    <w:p w14:paraId="5E7082A2" w14:textId="77777777" w:rsidR="00356299" w:rsidRDefault="00356299" w:rsidP="00356299"/>
    <w:p w14:paraId="2E3E2F47" w14:textId="77777777" w:rsidR="00356299" w:rsidRDefault="00356299" w:rsidP="00356299"/>
    <w:p w14:paraId="344370BF" w14:textId="77777777" w:rsidR="00356299" w:rsidRDefault="00356299" w:rsidP="00356299"/>
    <w:p w14:paraId="00472FB5" w14:textId="77777777" w:rsidR="00356299" w:rsidRDefault="00356299" w:rsidP="00356299"/>
    <w:p w14:paraId="39818B15" w14:textId="77777777" w:rsidR="00356299" w:rsidRDefault="00356299" w:rsidP="00356299"/>
    <w:p w14:paraId="4B82DCC7" w14:textId="77777777" w:rsidR="00356299" w:rsidRDefault="00356299" w:rsidP="00356299"/>
    <w:p w14:paraId="5BF9E2DB" w14:textId="77777777" w:rsidR="00356299" w:rsidRDefault="00356299" w:rsidP="00356299"/>
    <w:p w14:paraId="13B72501" w14:textId="77777777" w:rsidR="00356299" w:rsidRDefault="00356299" w:rsidP="00356299"/>
    <w:p w14:paraId="257B1123" w14:textId="77777777" w:rsidR="00356299" w:rsidRDefault="00356299" w:rsidP="00356299"/>
    <w:p w14:paraId="17A33392" w14:textId="77777777" w:rsidR="00356299" w:rsidRDefault="00356299" w:rsidP="00356299"/>
    <w:p w14:paraId="359FB884" w14:textId="77777777" w:rsidR="00356299" w:rsidRDefault="00356299" w:rsidP="00356299"/>
    <w:p w14:paraId="1B59305A" w14:textId="77777777" w:rsidR="00356299" w:rsidRDefault="00356299" w:rsidP="00356299"/>
    <w:p w14:paraId="79BA37CE" w14:textId="77777777" w:rsidR="00356299" w:rsidRDefault="00356299" w:rsidP="00356299"/>
    <w:p w14:paraId="14D9F885" w14:textId="77777777" w:rsidR="00356299" w:rsidRDefault="00356299" w:rsidP="00356299"/>
    <w:p w14:paraId="2201E897" w14:textId="77777777" w:rsidR="00356299" w:rsidRDefault="00356299" w:rsidP="00356299"/>
    <w:p w14:paraId="6DEB43F9" w14:textId="77777777" w:rsidR="00356299" w:rsidRDefault="00356299" w:rsidP="00356299"/>
    <w:p w14:paraId="6D81E6E6" w14:textId="77777777" w:rsidR="00356299" w:rsidRDefault="00356299" w:rsidP="00356299"/>
    <w:p w14:paraId="497EB7B1" w14:textId="7B4602F2" w:rsidR="00356299" w:rsidRDefault="00356299" w:rsidP="00356299">
      <w:pPr>
        <w:pStyle w:val="Heading1"/>
      </w:pPr>
      <w:r>
        <w:lastRenderedPageBreak/>
        <w:t>Peer review</w:t>
      </w:r>
    </w:p>
    <w:p w14:paraId="1CBBF5AC" w14:textId="77777777" w:rsidR="004450AB" w:rsidRPr="004450AB" w:rsidRDefault="004450AB" w:rsidP="004450AB">
      <w:pPr>
        <w:rPr>
          <w:rFonts w:cstheme="minorHAnsi"/>
          <w:b/>
          <w:sz w:val="24"/>
          <w:szCs w:val="24"/>
        </w:rPr>
      </w:pPr>
      <w:r w:rsidRPr="004450AB">
        <w:rPr>
          <w:rFonts w:cstheme="minorHAnsi"/>
          <w:b/>
          <w:sz w:val="24"/>
          <w:szCs w:val="24"/>
        </w:rPr>
        <w:t xml:space="preserve">Q:  </w:t>
      </w:r>
      <w:r w:rsidRPr="004450AB">
        <w:rPr>
          <w:rFonts w:cstheme="minorHAnsi"/>
          <w:b/>
          <w:bCs/>
          <w:sz w:val="24"/>
          <w:szCs w:val="24"/>
        </w:rPr>
        <w:t>Could</w:t>
      </w:r>
      <w:r w:rsidRPr="004450AB">
        <w:rPr>
          <w:rFonts w:cstheme="minorHAnsi"/>
          <w:b/>
          <w:sz w:val="24"/>
          <w:szCs w:val="24"/>
        </w:rPr>
        <w:t xml:space="preserve"> you </w:t>
      </w:r>
      <w:r w:rsidRPr="004450AB">
        <w:rPr>
          <w:rFonts w:cstheme="minorHAnsi"/>
          <w:b/>
          <w:bCs/>
          <w:sz w:val="24"/>
          <w:szCs w:val="24"/>
        </w:rPr>
        <w:t>please explain the recent changes</w:t>
      </w:r>
      <w:r w:rsidRPr="004450AB">
        <w:rPr>
          <w:rFonts w:cstheme="minorHAnsi"/>
          <w:b/>
          <w:sz w:val="24"/>
          <w:szCs w:val="24"/>
        </w:rPr>
        <w:t xml:space="preserve"> to peer review sanctions?</w:t>
      </w:r>
    </w:p>
    <w:p w14:paraId="71CC7FD4" w14:textId="77777777" w:rsidR="004450AB" w:rsidRPr="004450AB" w:rsidRDefault="004450AB" w:rsidP="004450AB">
      <w:pPr>
        <w:rPr>
          <w:rFonts w:cstheme="minorHAnsi"/>
          <w:sz w:val="24"/>
          <w:szCs w:val="24"/>
        </w:rPr>
      </w:pPr>
      <w:r w:rsidRPr="004450AB">
        <w:rPr>
          <w:rFonts w:cstheme="minorHAnsi"/>
          <w:b/>
          <w:bCs/>
          <w:sz w:val="24"/>
          <w:szCs w:val="24"/>
        </w:rPr>
        <w:t xml:space="preserve">A: </w:t>
      </w:r>
      <w:r w:rsidRPr="004450AB">
        <w:rPr>
          <w:rFonts w:cstheme="minorHAnsi"/>
          <w:sz w:val="24"/>
          <w:szCs w:val="24"/>
        </w:rPr>
        <w:t xml:space="preserve">The recent change to peer review is explained on slide 17 of the slide pack. Clause 10.10 of the Standard Terms has been introduced, which means if your contract work is given a rating of 5 during the first peer review, you will have the chance to make representations. </w:t>
      </w:r>
    </w:p>
    <w:p w14:paraId="4D50D8A2" w14:textId="77777777" w:rsidR="004450AB" w:rsidRPr="004450AB" w:rsidRDefault="004450AB" w:rsidP="004450AB">
      <w:pPr>
        <w:rPr>
          <w:rFonts w:cstheme="minorHAnsi"/>
          <w:sz w:val="24"/>
          <w:szCs w:val="24"/>
        </w:rPr>
      </w:pPr>
      <w:r w:rsidRPr="004450AB">
        <w:rPr>
          <w:rFonts w:cstheme="minorHAnsi"/>
          <w:sz w:val="24"/>
          <w:szCs w:val="24"/>
        </w:rPr>
        <w:t>However, if the rating of 5 is upheld, it will be treated as a fundamental breach of contract. This could result in your contract for that specific category of law being terminated immediately.</w:t>
      </w:r>
    </w:p>
    <w:p w14:paraId="5F716852" w14:textId="77777777" w:rsidR="004450AB" w:rsidRPr="004450AB" w:rsidRDefault="004450AB" w:rsidP="004450AB">
      <w:pPr>
        <w:pStyle w:val="BodyText"/>
      </w:pPr>
    </w:p>
    <w:p w14:paraId="0350B00E" w14:textId="77777777" w:rsidR="00356299" w:rsidRDefault="00356299" w:rsidP="00356299">
      <w:pPr>
        <w:rPr>
          <w:rFonts w:ascii="Arial" w:hAnsi="Arial" w:cs="Arial"/>
          <w:b/>
          <w:highlight w:val="cyan"/>
        </w:rPr>
      </w:pPr>
    </w:p>
    <w:p w14:paraId="385EB465" w14:textId="77777777" w:rsidR="001D338D" w:rsidRDefault="001D338D" w:rsidP="00356299">
      <w:pPr>
        <w:rPr>
          <w:rFonts w:ascii="Arial" w:hAnsi="Arial" w:cs="Arial"/>
          <w:b/>
          <w:highlight w:val="cyan"/>
        </w:rPr>
      </w:pPr>
    </w:p>
    <w:p w14:paraId="14943759" w14:textId="77777777" w:rsidR="001D338D" w:rsidRDefault="001D338D" w:rsidP="00356299">
      <w:pPr>
        <w:rPr>
          <w:rFonts w:ascii="Arial" w:hAnsi="Arial" w:cs="Arial"/>
          <w:b/>
          <w:highlight w:val="cyan"/>
        </w:rPr>
      </w:pPr>
    </w:p>
    <w:p w14:paraId="72020790" w14:textId="77777777" w:rsidR="001D338D" w:rsidRDefault="001D338D" w:rsidP="00356299">
      <w:pPr>
        <w:rPr>
          <w:rFonts w:ascii="Arial" w:hAnsi="Arial" w:cs="Arial"/>
          <w:b/>
          <w:highlight w:val="cyan"/>
        </w:rPr>
      </w:pPr>
    </w:p>
    <w:p w14:paraId="52799326" w14:textId="77777777" w:rsidR="001D338D" w:rsidRDefault="001D338D" w:rsidP="00356299">
      <w:pPr>
        <w:rPr>
          <w:rFonts w:ascii="Arial" w:hAnsi="Arial" w:cs="Arial"/>
          <w:b/>
          <w:highlight w:val="cyan"/>
        </w:rPr>
      </w:pPr>
    </w:p>
    <w:p w14:paraId="612099E1" w14:textId="77777777" w:rsidR="001D338D" w:rsidRDefault="001D338D" w:rsidP="00356299">
      <w:pPr>
        <w:rPr>
          <w:rFonts w:ascii="Arial" w:hAnsi="Arial" w:cs="Arial"/>
          <w:b/>
          <w:highlight w:val="cyan"/>
        </w:rPr>
      </w:pPr>
    </w:p>
    <w:p w14:paraId="62318A21" w14:textId="77777777" w:rsidR="001D338D" w:rsidRDefault="001D338D" w:rsidP="00356299">
      <w:pPr>
        <w:rPr>
          <w:rFonts w:ascii="Arial" w:hAnsi="Arial" w:cs="Arial"/>
          <w:b/>
          <w:highlight w:val="cyan"/>
        </w:rPr>
      </w:pPr>
    </w:p>
    <w:p w14:paraId="3A5B23D9" w14:textId="77777777" w:rsidR="001D338D" w:rsidRDefault="001D338D" w:rsidP="00356299">
      <w:pPr>
        <w:rPr>
          <w:rFonts w:ascii="Arial" w:hAnsi="Arial" w:cs="Arial"/>
          <w:b/>
          <w:highlight w:val="cyan"/>
        </w:rPr>
      </w:pPr>
    </w:p>
    <w:p w14:paraId="6B85B57A" w14:textId="77777777" w:rsidR="001D338D" w:rsidRDefault="001D338D" w:rsidP="00356299">
      <w:pPr>
        <w:rPr>
          <w:rFonts w:ascii="Arial" w:hAnsi="Arial" w:cs="Arial"/>
          <w:b/>
          <w:highlight w:val="cyan"/>
        </w:rPr>
      </w:pPr>
    </w:p>
    <w:p w14:paraId="44FE6BB4" w14:textId="77777777" w:rsidR="001D338D" w:rsidRDefault="001D338D" w:rsidP="00356299">
      <w:pPr>
        <w:rPr>
          <w:rFonts w:ascii="Arial" w:hAnsi="Arial" w:cs="Arial"/>
          <w:b/>
          <w:highlight w:val="cyan"/>
        </w:rPr>
      </w:pPr>
    </w:p>
    <w:p w14:paraId="3832EC83" w14:textId="77777777" w:rsidR="001D338D" w:rsidRDefault="001D338D" w:rsidP="00356299">
      <w:pPr>
        <w:rPr>
          <w:rFonts w:ascii="Arial" w:hAnsi="Arial" w:cs="Arial"/>
          <w:b/>
          <w:highlight w:val="cyan"/>
        </w:rPr>
      </w:pPr>
    </w:p>
    <w:p w14:paraId="1194A8F8" w14:textId="77777777" w:rsidR="001D338D" w:rsidRDefault="001D338D" w:rsidP="00356299">
      <w:pPr>
        <w:rPr>
          <w:rFonts w:ascii="Arial" w:hAnsi="Arial" w:cs="Arial"/>
          <w:b/>
          <w:highlight w:val="cyan"/>
        </w:rPr>
      </w:pPr>
    </w:p>
    <w:p w14:paraId="47E7EE0F" w14:textId="77777777" w:rsidR="001D338D" w:rsidRDefault="001D338D" w:rsidP="00356299">
      <w:pPr>
        <w:rPr>
          <w:rFonts w:ascii="Arial" w:hAnsi="Arial" w:cs="Arial"/>
          <w:b/>
          <w:highlight w:val="cyan"/>
        </w:rPr>
      </w:pPr>
    </w:p>
    <w:p w14:paraId="6CB2B73A" w14:textId="77777777" w:rsidR="001D338D" w:rsidRDefault="001D338D" w:rsidP="00356299">
      <w:pPr>
        <w:rPr>
          <w:rFonts w:ascii="Arial" w:hAnsi="Arial" w:cs="Arial"/>
          <w:b/>
          <w:highlight w:val="cyan"/>
        </w:rPr>
      </w:pPr>
    </w:p>
    <w:p w14:paraId="7C88CCBA" w14:textId="77777777" w:rsidR="001D338D" w:rsidRDefault="001D338D" w:rsidP="00356299">
      <w:pPr>
        <w:rPr>
          <w:rFonts w:ascii="Arial" w:hAnsi="Arial" w:cs="Arial"/>
          <w:b/>
          <w:highlight w:val="cyan"/>
        </w:rPr>
      </w:pPr>
    </w:p>
    <w:p w14:paraId="01057094" w14:textId="77777777" w:rsidR="001D338D" w:rsidRDefault="001D338D" w:rsidP="00356299">
      <w:pPr>
        <w:rPr>
          <w:rFonts w:ascii="Arial" w:hAnsi="Arial" w:cs="Arial"/>
          <w:b/>
          <w:highlight w:val="cyan"/>
        </w:rPr>
      </w:pPr>
    </w:p>
    <w:p w14:paraId="05BAE216" w14:textId="77777777" w:rsidR="001D338D" w:rsidRDefault="001D338D" w:rsidP="00356299">
      <w:pPr>
        <w:rPr>
          <w:rFonts w:ascii="Arial" w:hAnsi="Arial" w:cs="Arial"/>
          <w:b/>
          <w:highlight w:val="cyan"/>
        </w:rPr>
      </w:pPr>
    </w:p>
    <w:p w14:paraId="688B892D" w14:textId="77777777" w:rsidR="001D338D" w:rsidRDefault="001D338D" w:rsidP="00356299">
      <w:pPr>
        <w:rPr>
          <w:rFonts w:ascii="Arial" w:hAnsi="Arial" w:cs="Arial"/>
          <w:b/>
          <w:highlight w:val="cyan"/>
        </w:rPr>
      </w:pPr>
    </w:p>
    <w:p w14:paraId="2B504248" w14:textId="77777777" w:rsidR="001D338D" w:rsidRDefault="001D338D" w:rsidP="00356299">
      <w:pPr>
        <w:rPr>
          <w:rFonts w:ascii="Arial" w:hAnsi="Arial" w:cs="Arial"/>
          <w:b/>
          <w:highlight w:val="cyan"/>
        </w:rPr>
      </w:pPr>
    </w:p>
    <w:p w14:paraId="74B65CF2" w14:textId="77777777" w:rsidR="001D338D" w:rsidRDefault="001D338D" w:rsidP="00356299">
      <w:pPr>
        <w:rPr>
          <w:rFonts w:ascii="Arial" w:hAnsi="Arial" w:cs="Arial"/>
          <w:b/>
          <w:highlight w:val="cyan"/>
        </w:rPr>
      </w:pPr>
    </w:p>
    <w:p w14:paraId="332F5768" w14:textId="77777777" w:rsidR="001D338D" w:rsidRDefault="001D338D" w:rsidP="00356299">
      <w:pPr>
        <w:rPr>
          <w:rFonts w:ascii="Arial" w:hAnsi="Arial" w:cs="Arial"/>
          <w:b/>
          <w:highlight w:val="cyan"/>
        </w:rPr>
      </w:pPr>
    </w:p>
    <w:p w14:paraId="39C96264" w14:textId="77777777" w:rsidR="001D338D" w:rsidRDefault="001D338D" w:rsidP="00356299">
      <w:pPr>
        <w:rPr>
          <w:rFonts w:ascii="Arial" w:hAnsi="Arial" w:cs="Arial"/>
          <w:b/>
          <w:highlight w:val="cyan"/>
        </w:rPr>
      </w:pPr>
    </w:p>
    <w:p w14:paraId="3F43E09D" w14:textId="5E22D0A9" w:rsidR="001D338D" w:rsidRDefault="00130D86" w:rsidP="00130D86">
      <w:pPr>
        <w:pStyle w:val="Heading1"/>
        <w:rPr>
          <w:rFonts w:ascii="Arial" w:hAnsi="Arial" w:cs="Arial"/>
          <w:b w:val="0"/>
          <w:highlight w:val="cyan"/>
        </w:rPr>
      </w:pPr>
      <w:r>
        <w:lastRenderedPageBreak/>
        <w:t>File retention</w:t>
      </w:r>
    </w:p>
    <w:p w14:paraId="1B10F1B1" w14:textId="77777777" w:rsidR="001D338D" w:rsidRPr="00C753B1" w:rsidRDefault="001D338D" w:rsidP="001D338D">
      <w:pPr>
        <w:rPr>
          <w:rFonts w:cstheme="minorHAnsi"/>
          <w:b/>
          <w:bCs/>
          <w:sz w:val="24"/>
          <w:szCs w:val="24"/>
        </w:rPr>
      </w:pPr>
      <w:r w:rsidRPr="00C753B1">
        <w:rPr>
          <w:rFonts w:eastAsia="Times New Roman" w:cstheme="minorHAnsi"/>
          <w:b/>
          <w:bCs/>
          <w:sz w:val="24"/>
          <w:szCs w:val="24"/>
        </w:rPr>
        <w:t xml:space="preserve">Q: </w:t>
      </w:r>
      <w:r w:rsidRPr="00C753B1">
        <w:rPr>
          <w:rFonts w:cstheme="minorHAnsi"/>
          <w:b/>
          <w:bCs/>
          <w:sz w:val="24"/>
          <w:szCs w:val="24"/>
        </w:rPr>
        <w:t>Does the 6-year retention period apply to digital files as well?</w:t>
      </w:r>
    </w:p>
    <w:p w14:paraId="7414C5A6" w14:textId="77777777" w:rsidR="001D338D" w:rsidRPr="00C753B1" w:rsidRDefault="001D338D" w:rsidP="001D338D">
      <w:pPr>
        <w:rPr>
          <w:rFonts w:eastAsia="Times New Roman" w:cstheme="minorHAnsi"/>
          <w:sz w:val="24"/>
          <w:szCs w:val="24"/>
        </w:rPr>
      </w:pPr>
      <w:r w:rsidRPr="00C753B1">
        <w:rPr>
          <w:rFonts w:eastAsia="Times New Roman" w:cstheme="minorHAnsi"/>
          <w:b/>
          <w:bCs/>
          <w:sz w:val="24"/>
          <w:szCs w:val="24"/>
        </w:rPr>
        <w:t xml:space="preserve">A: </w:t>
      </w:r>
      <w:r w:rsidRPr="00C753B1">
        <w:rPr>
          <w:rFonts w:eastAsia="Times New Roman" w:cstheme="minorHAnsi"/>
          <w:sz w:val="24"/>
          <w:szCs w:val="24"/>
        </w:rPr>
        <w:t>Yes, the 6-year documentation retention period is for both paper and digital files.</w:t>
      </w:r>
    </w:p>
    <w:p w14:paraId="72505865" w14:textId="77777777" w:rsidR="00130D86" w:rsidRDefault="00130D86" w:rsidP="001D338D">
      <w:pPr>
        <w:rPr>
          <w:rFonts w:ascii="Arial" w:eastAsia="Times New Roman" w:hAnsi="Arial" w:cs="Arial"/>
          <w:highlight w:val="cyan"/>
        </w:rPr>
      </w:pPr>
    </w:p>
    <w:p w14:paraId="57C63FE0" w14:textId="77777777" w:rsidR="00130D86" w:rsidRDefault="00130D86" w:rsidP="001D338D">
      <w:pPr>
        <w:rPr>
          <w:rFonts w:ascii="Arial" w:eastAsia="Times New Roman" w:hAnsi="Arial" w:cs="Arial"/>
          <w:highlight w:val="cyan"/>
        </w:rPr>
      </w:pPr>
    </w:p>
    <w:p w14:paraId="260A10A6" w14:textId="77777777" w:rsidR="00130D86" w:rsidRDefault="00130D86" w:rsidP="001D338D">
      <w:pPr>
        <w:rPr>
          <w:rFonts w:ascii="Arial" w:eastAsia="Times New Roman" w:hAnsi="Arial" w:cs="Arial"/>
          <w:highlight w:val="cyan"/>
        </w:rPr>
      </w:pPr>
    </w:p>
    <w:p w14:paraId="480BF94F" w14:textId="77777777" w:rsidR="00130D86" w:rsidRDefault="00130D86" w:rsidP="001D338D">
      <w:pPr>
        <w:rPr>
          <w:rFonts w:ascii="Arial" w:eastAsia="Times New Roman" w:hAnsi="Arial" w:cs="Arial"/>
          <w:highlight w:val="cyan"/>
        </w:rPr>
      </w:pPr>
    </w:p>
    <w:p w14:paraId="4E57DB14" w14:textId="77777777" w:rsidR="00130D86" w:rsidRDefault="00130D86" w:rsidP="001D338D">
      <w:pPr>
        <w:rPr>
          <w:rFonts w:ascii="Arial" w:eastAsia="Times New Roman" w:hAnsi="Arial" w:cs="Arial"/>
          <w:highlight w:val="cyan"/>
        </w:rPr>
      </w:pPr>
    </w:p>
    <w:p w14:paraId="0E5C695D" w14:textId="77777777" w:rsidR="00130D86" w:rsidRDefault="00130D86" w:rsidP="001D338D">
      <w:pPr>
        <w:rPr>
          <w:rFonts w:ascii="Arial" w:eastAsia="Times New Roman" w:hAnsi="Arial" w:cs="Arial"/>
          <w:highlight w:val="cyan"/>
        </w:rPr>
      </w:pPr>
    </w:p>
    <w:p w14:paraId="403FF60B" w14:textId="77777777" w:rsidR="00130D86" w:rsidRDefault="00130D86" w:rsidP="001D338D">
      <w:pPr>
        <w:rPr>
          <w:rFonts w:ascii="Arial" w:eastAsia="Times New Roman" w:hAnsi="Arial" w:cs="Arial"/>
          <w:highlight w:val="cyan"/>
        </w:rPr>
      </w:pPr>
    </w:p>
    <w:p w14:paraId="4D5A52CF" w14:textId="77777777" w:rsidR="00130D86" w:rsidRDefault="00130D86" w:rsidP="001D338D">
      <w:pPr>
        <w:rPr>
          <w:rFonts w:ascii="Arial" w:eastAsia="Times New Roman" w:hAnsi="Arial" w:cs="Arial"/>
          <w:highlight w:val="cyan"/>
        </w:rPr>
      </w:pPr>
    </w:p>
    <w:p w14:paraId="13EEC8EE" w14:textId="77777777" w:rsidR="00130D86" w:rsidRDefault="00130D86" w:rsidP="001D338D">
      <w:pPr>
        <w:rPr>
          <w:rFonts w:ascii="Arial" w:eastAsia="Times New Roman" w:hAnsi="Arial" w:cs="Arial"/>
          <w:highlight w:val="cyan"/>
        </w:rPr>
      </w:pPr>
    </w:p>
    <w:p w14:paraId="54543B99" w14:textId="77777777" w:rsidR="00130D86" w:rsidRDefault="00130D86" w:rsidP="001D338D">
      <w:pPr>
        <w:rPr>
          <w:rFonts w:ascii="Arial" w:eastAsia="Times New Roman" w:hAnsi="Arial" w:cs="Arial"/>
          <w:highlight w:val="cyan"/>
        </w:rPr>
      </w:pPr>
    </w:p>
    <w:p w14:paraId="307D28BC" w14:textId="77777777" w:rsidR="00130D86" w:rsidRDefault="00130D86" w:rsidP="001D338D">
      <w:pPr>
        <w:rPr>
          <w:rFonts w:ascii="Arial" w:eastAsia="Times New Roman" w:hAnsi="Arial" w:cs="Arial"/>
          <w:highlight w:val="cyan"/>
        </w:rPr>
      </w:pPr>
    </w:p>
    <w:p w14:paraId="6189DC4C" w14:textId="77777777" w:rsidR="00130D86" w:rsidRDefault="00130D86" w:rsidP="001D338D">
      <w:pPr>
        <w:rPr>
          <w:rFonts w:ascii="Arial" w:eastAsia="Times New Roman" w:hAnsi="Arial" w:cs="Arial"/>
          <w:highlight w:val="cyan"/>
        </w:rPr>
      </w:pPr>
    </w:p>
    <w:p w14:paraId="1024CA1A" w14:textId="77777777" w:rsidR="00130D86" w:rsidRDefault="00130D86" w:rsidP="001D338D">
      <w:pPr>
        <w:rPr>
          <w:rFonts w:ascii="Arial" w:eastAsia="Times New Roman" w:hAnsi="Arial" w:cs="Arial"/>
          <w:highlight w:val="cyan"/>
        </w:rPr>
      </w:pPr>
    </w:p>
    <w:p w14:paraId="7583AD9C" w14:textId="77777777" w:rsidR="00130D86" w:rsidRDefault="00130D86" w:rsidP="001D338D">
      <w:pPr>
        <w:rPr>
          <w:rFonts w:ascii="Arial" w:eastAsia="Times New Roman" w:hAnsi="Arial" w:cs="Arial"/>
          <w:highlight w:val="cyan"/>
        </w:rPr>
      </w:pPr>
    </w:p>
    <w:p w14:paraId="68294181" w14:textId="77777777" w:rsidR="00130D86" w:rsidRDefault="00130D86" w:rsidP="001D338D">
      <w:pPr>
        <w:rPr>
          <w:rFonts w:ascii="Arial" w:eastAsia="Times New Roman" w:hAnsi="Arial" w:cs="Arial"/>
          <w:highlight w:val="cyan"/>
        </w:rPr>
      </w:pPr>
    </w:p>
    <w:p w14:paraId="7C2F85FA" w14:textId="77777777" w:rsidR="00130D86" w:rsidRDefault="00130D86" w:rsidP="001D338D">
      <w:pPr>
        <w:rPr>
          <w:rFonts w:ascii="Arial" w:eastAsia="Times New Roman" w:hAnsi="Arial" w:cs="Arial"/>
          <w:highlight w:val="cyan"/>
        </w:rPr>
      </w:pPr>
    </w:p>
    <w:p w14:paraId="4BA73EB0" w14:textId="77777777" w:rsidR="00130D86" w:rsidRDefault="00130D86" w:rsidP="001D338D">
      <w:pPr>
        <w:rPr>
          <w:rFonts w:ascii="Arial" w:eastAsia="Times New Roman" w:hAnsi="Arial" w:cs="Arial"/>
          <w:highlight w:val="cyan"/>
        </w:rPr>
      </w:pPr>
    </w:p>
    <w:p w14:paraId="6C15A58A" w14:textId="77777777" w:rsidR="00130D86" w:rsidRDefault="00130D86" w:rsidP="001D338D">
      <w:pPr>
        <w:rPr>
          <w:rFonts w:ascii="Arial" w:eastAsia="Times New Roman" w:hAnsi="Arial" w:cs="Arial"/>
          <w:highlight w:val="cyan"/>
        </w:rPr>
      </w:pPr>
    </w:p>
    <w:p w14:paraId="67DCE4B7" w14:textId="77777777" w:rsidR="00130D86" w:rsidRDefault="00130D86" w:rsidP="001D338D">
      <w:pPr>
        <w:rPr>
          <w:rFonts w:ascii="Arial" w:eastAsia="Times New Roman" w:hAnsi="Arial" w:cs="Arial"/>
          <w:highlight w:val="cyan"/>
        </w:rPr>
      </w:pPr>
    </w:p>
    <w:p w14:paraId="33768435" w14:textId="77777777" w:rsidR="00130D86" w:rsidRDefault="00130D86" w:rsidP="001D338D">
      <w:pPr>
        <w:rPr>
          <w:rFonts w:ascii="Arial" w:eastAsia="Times New Roman" w:hAnsi="Arial" w:cs="Arial"/>
          <w:highlight w:val="cyan"/>
        </w:rPr>
      </w:pPr>
    </w:p>
    <w:p w14:paraId="69A6BFE2" w14:textId="77777777" w:rsidR="00130D86" w:rsidRDefault="00130D86" w:rsidP="001D338D">
      <w:pPr>
        <w:rPr>
          <w:rFonts w:ascii="Arial" w:eastAsia="Times New Roman" w:hAnsi="Arial" w:cs="Arial"/>
          <w:highlight w:val="cyan"/>
        </w:rPr>
      </w:pPr>
    </w:p>
    <w:p w14:paraId="7C44EA12" w14:textId="77777777" w:rsidR="00130D86" w:rsidRDefault="00130D86" w:rsidP="001D338D">
      <w:pPr>
        <w:rPr>
          <w:rFonts w:ascii="Arial" w:eastAsia="Times New Roman" w:hAnsi="Arial" w:cs="Arial"/>
          <w:highlight w:val="cyan"/>
        </w:rPr>
      </w:pPr>
    </w:p>
    <w:p w14:paraId="4BC51E9A" w14:textId="77777777" w:rsidR="00130D86" w:rsidRDefault="00130D86" w:rsidP="001D338D">
      <w:pPr>
        <w:rPr>
          <w:rFonts w:ascii="Arial" w:eastAsia="Times New Roman" w:hAnsi="Arial" w:cs="Arial"/>
          <w:highlight w:val="cyan"/>
        </w:rPr>
      </w:pPr>
    </w:p>
    <w:p w14:paraId="347B8A3E" w14:textId="77777777" w:rsidR="00130D86" w:rsidRDefault="00130D86" w:rsidP="001D338D">
      <w:pPr>
        <w:rPr>
          <w:rFonts w:ascii="Arial" w:eastAsia="Times New Roman" w:hAnsi="Arial" w:cs="Arial"/>
          <w:highlight w:val="cyan"/>
        </w:rPr>
      </w:pPr>
    </w:p>
    <w:p w14:paraId="1A50FB9E" w14:textId="77777777" w:rsidR="00130D86" w:rsidRDefault="00130D86" w:rsidP="001D338D">
      <w:pPr>
        <w:rPr>
          <w:rFonts w:ascii="Arial" w:eastAsia="Times New Roman" w:hAnsi="Arial" w:cs="Arial"/>
          <w:highlight w:val="cyan"/>
        </w:rPr>
      </w:pPr>
    </w:p>
    <w:p w14:paraId="1607E75D" w14:textId="77777777" w:rsidR="00130D86" w:rsidRDefault="00130D86" w:rsidP="001D338D">
      <w:pPr>
        <w:rPr>
          <w:rFonts w:ascii="Arial" w:eastAsia="Times New Roman" w:hAnsi="Arial" w:cs="Arial"/>
          <w:highlight w:val="cyan"/>
        </w:rPr>
      </w:pPr>
    </w:p>
    <w:p w14:paraId="62DAD054" w14:textId="77777777" w:rsidR="00130D86" w:rsidRDefault="00130D86" w:rsidP="001D338D">
      <w:pPr>
        <w:rPr>
          <w:rFonts w:ascii="Arial" w:eastAsia="Times New Roman" w:hAnsi="Arial" w:cs="Arial"/>
          <w:highlight w:val="cyan"/>
        </w:rPr>
      </w:pPr>
    </w:p>
    <w:p w14:paraId="16BC6D8C" w14:textId="77777777" w:rsidR="00130D86" w:rsidRDefault="00130D86" w:rsidP="001D338D">
      <w:pPr>
        <w:rPr>
          <w:rFonts w:ascii="Arial" w:eastAsia="Times New Roman" w:hAnsi="Arial" w:cs="Arial"/>
          <w:highlight w:val="cyan"/>
        </w:rPr>
      </w:pPr>
    </w:p>
    <w:p w14:paraId="3633474D" w14:textId="22F79837" w:rsidR="00130D86" w:rsidRDefault="00C753B1" w:rsidP="00130D86">
      <w:pPr>
        <w:pStyle w:val="Heading1"/>
      </w:pPr>
      <w:r>
        <w:lastRenderedPageBreak/>
        <w:t>Guidance and resources</w:t>
      </w:r>
    </w:p>
    <w:p w14:paraId="2BC45F38" w14:textId="77777777" w:rsidR="00C753B1" w:rsidRPr="00C753B1" w:rsidRDefault="00C753B1" w:rsidP="00C753B1">
      <w:pPr>
        <w:rPr>
          <w:rFonts w:cstheme="minorHAnsi"/>
          <w:b/>
          <w:bCs/>
          <w:sz w:val="24"/>
          <w:szCs w:val="24"/>
        </w:rPr>
      </w:pPr>
      <w:r w:rsidRPr="00C753B1">
        <w:rPr>
          <w:rFonts w:eastAsia="Times New Roman" w:cstheme="minorHAnsi"/>
          <w:b/>
          <w:bCs/>
          <w:sz w:val="24"/>
          <w:szCs w:val="24"/>
        </w:rPr>
        <w:t>Q:</w:t>
      </w:r>
      <w:r w:rsidRPr="00C753B1">
        <w:rPr>
          <w:rFonts w:eastAsia="Arial" w:cstheme="minorHAnsi"/>
          <w:sz w:val="24"/>
          <w:szCs w:val="24"/>
        </w:rPr>
        <w:t xml:space="preserve"> </w:t>
      </w:r>
      <w:r w:rsidRPr="00C753B1">
        <w:rPr>
          <w:rFonts w:cstheme="minorHAnsi"/>
          <w:b/>
          <w:bCs/>
          <w:sz w:val="24"/>
          <w:szCs w:val="24"/>
        </w:rPr>
        <w:t>Where can we watch the recording of this session? Where can we find the slide pack?</w:t>
      </w:r>
    </w:p>
    <w:p w14:paraId="2785A550" w14:textId="77777777" w:rsidR="00C753B1" w:rsidRPr="00C753B1" w:rsidRDefault="00C753B1" w:rsidP="00C753B1">
      <w:pPr>
        <w:rPr>
          <w:rFonts w:eastAsia="Times New Roman" w:cstheme="minorHAnsi"/>
          <w:sz w:val="24"/>
          <w:szCs w:val="24"/>
        </w:rPr>
      </w:pPr>
      <w:r w:rsidRPr="00C753B1">
        <w:rPr>
          <w:rFonts w:eastAsia="Times New Roman" w:cstheme="minorHAnsi"/>
          <w:b/>
          <w:bCs/>
          <w:sz w:val="24"/>
          <w:szCs w:val="24"/>
        </w:rPr>
        <w:t xml:space="preserve">A: </w:t>
      </w:r>
      <w:r w:rsidRPr="00C753B1">
        <w:rPr>
          <w:rFonts w:eastAsia="Times New Roman" w:cstheme="minorHAnsi"/>
          <w:sz w:val="24"/>
          <w:szCs w:val="24"/>
        </w:rPr>
        <w:t xml:space="preserve">The recording and slide pack are available on the LAA learning website: </w:t>
      </w:r>
      <w:hyperlink r:id="rId26" w:tgtFrame="_blank" w:tooltip="https://legalaidlearning.justice.gov.uk/crime-contracts-2025/" w:history="1">
        <w:r w:rsidRPr="00C753B1">
          <w:rPr>
            <w:rStyle w:val="Hyperlink"/>
            <w:rFonts w:eastAsia="Times New Roman" w:cstheme="minorHAnsi"/>
            <w:sz w:val="24"/>
            <w:szCs w:val="24"/>
          </w:rPr>
          <w:t>Crime contracts 2025 – Legal Aid Learning</w:t>
        </w:r>
      </w:hyperlink>
      <w:r w:rsidRPr="00C753B1">
        <w:rPr>
          <w:rFonts w:eastAsia="Times New Roman" w:cstheme="minorHAnsi"/>
          <w:sz w:val="24"/>
          <w:szCs w:val="24"/>
        </w:rPr>
        <w:t xml:space="preserve"> </w:t>
      </w:r>
    </w:p>
    <w:p w14:paraId="4D23A9DB" w14:textId="77777777" w:rsidR="00C753B1" w:rsidRPr="00C753B1" w:rsidRDefault="00C753B1" w:rsidP="00C753B1">
      <w:pPr>
        <w:rPr>
          <w:rFonts w:cstheme="minorHAnsi"/>
          <w:sz w:val="24"/>
          <w:szCs w:val="24"/>
        </w:rPr>
      </w:pPr>
      <w:r w:rsidRPr="00C753B1">
        <w:rPr>
          <w:rFonts w:eastAsia="Times New Roman" w:cstheme="minorHAnsi"/>
          <w:b/>
          <w:bCs/>
          <w:sz w:val="24"/>
          <w:szCs w:val="24"/>
        </w:rPr>
        <w:t>Q:</w:t>
      </w:r>
      <w:r w:rsidRPr="00C753B1">
        <w:rPr>
          <w:rFonts w:eastAsia="Arial" w:cstheme="minorHAnsi"/>
          <w:sz w:val="24"/>
          <w:szCs w:val="24"/>
        </w:rPr>
        <w:t xml:space="preserve"> </w:t>
      </w:r>
      <w:r w:rsidRPr="00C753B1">
        <w:rPr>
          <w:rFonts w:cstheme="minorHAnsi"/>
          <w:b/>
          <w:bCs/>
          <w:sz w:val="24"/>
          <w:szCs w:val="24"/>
        </w:rPr>
        <w:t>If our firm was badly affected by the LAA data breach earlier this year, is there any form of compensation available for providers?</w:t>
      </w:r>
    </w:p>
    <w:p w14:paraId="6C380E72" w14:textId="77777777" w:rsidR="00C753B1" w:rsidRPr="00C753B1" w:rsidRDefault="00C753B1" w:rsidP="00C753B1">
      <w:pPr>
        <w:rPr>
          <w:rFonts w:eastAsia="Times New Roman" w:cstheme="minorHAnsi"/>
          <w:sz w:val="24"/>
          <w:szCs w:val="24"/>
        </w:rPr>
      </w:pPr>
      <w:r w:rsidRPr="00C753B1">
        <w:rPr>
          <w:rFonts w:eastAsia="Times New Roman" w:cstheme="minorHAnsi"/>
          <w:b/>
          <w:bCs/>
          <w:sz w:val="24"/>
          <w:szCs w:val="24"/>
        </w:rPr>
        <w:t xml:space="preserve">A: </w:t>
      </w:r>
      <w:r w:rsidRPr="00C753B1">
        <w:rPr>
          <w:rFonts w:eastAsia="Times New Roman" w:cstheme="minorHAnsi"/>
          <w:sz w:val="24"/>
          <w:szCs w:val="24"/>
        </w:rPr>
        <w:t>Visit </w:t>
      </w:r>
      <w:hyperlink r:id="rId27" w:history="1">
        <w:r w:rsidRPr="00C753B1">
          <w:rPr>
            <w:rStyle w:val="Hyperlink"/>
            <w:rFonts w:eastAsia="Times New Roman" w:cstheme="minorHAnsi"/>
            <w:sz w:val="24"/>
            <w:szCs w:val="24"/>
          </w:rPr>
          <w:t>Legal Aid Agency cyber security incident</w:t>
        </w:r>
      </w:hyperlink>
      <w:r w:rsidRPr="00C753B1">
        <w:rPr>
          <w:rFonts w:eastAsia="Times New Roman" w:cstheme="minorHAnsi"/>
          <w:sz w:val="24"/>
          <w:szCs w:val="24"/>
        </w:rPr>
        <w:t> to view the latest updates and contingency measures.</w:t>
      </w:r>
    </w:p>
    <w:p w14:paraId="3D8F2E17" w14:textId="77777777" w:rsidR="00C753B1" w:rsidRPr="00C753B1" w:rsidRDefault="00C753B1" w:rsidP="00C753B1">
      <w:pPr>
        <w:rPr>
          <w:rFonts w:cstheme="minorHAnsi"/>
          <w:b/>
          <w:bCs/>
          <w:sz w:val="24"/>
          <w:szCs w:val="24"/>
        </w:rPr>
      </w:pPr>
      <w:r w:rsidRPr="00C753B1">
        <w:rPr>
          <w:rFonts w:eastAsia="Times New Roman" w:cstheme="minorHAnsi"/>
          <w:b/>
          <w:bCs/>
          <w:sz w:val="24"/>
          <w:szCs w:val="24"/>
        </w:rPr>
        <w:t>Q:</w:t>
      </w:r>
      <w:r w:rsidRPr="00C753B1">
        <w:rPr>
          <w:rFonts w:eastAsia="Arial" w:cstheme="minorHAnsi"/>
          <w:sz w:val="24"/>
          <w:szCs w:val="24"/>
        </w:rPr>
        <w:t xml:space="preserve"> </w:t>
      </w:r>
      <w:r w:rsidRPr="00C753B1">
        <w:rPr>
          <w:rFonts w:cstheme="minorHAnsi"/>
          <w:b/>
          <w:bCs/>
          <w:sz w:val="24"/>
          <w:szCs w:val="24"/>
        </w:rPr>
        <w:t>Can you recommend a billing course that I could attend?</w:t>
      </w:r>
    </w:p>
    <w:p w14:paraId="38E7F9CE" w14:textId="77777777" w:rsidR="00C753B1" w:rsidRPr="00C753B1" w:rsidRDefault="00C753B1" w:rsidP="00C753B1">
      <w:pPr>
        <w:rPr>
          <w:rFonts w:cstheme="minorHAnsi"/>
          <w:sz w:val="24"/>
          <w:szCs w:val="24"/>
        </w:rPr>
      </w:pPr>
      <w:r w:rsidRPr="00C753B1">
        <w:rPr>
          <w:rFonts w:eastAsia="Arial" w:cstheme="minorHAnsi"/>
          <w:b/>
          <w:bCs/>
          <w:sz w:val="24"/>
          <w:szCs w:val="24"/>
        </w:rPr>
        <w:t xml:space="preserve">A: </w:t>
      </w:r>
      <w:r w:rsidRPr="00C753B1">
        <w:rPr>
          <w:rFonts w:eastAsia="Arial" w:cstheme="minorHAnsi"/>
          <w:sz w:val="24"/>
          <w:szCs w:val="24"/>
        </w:rPr>
        <w:t xml:space="preserve">There are various recordings and guidance available: </w:t>
      </w:r>
      <w:hyperlink r:id="rId28" w:history="1">
        <w:r w:rsidRPr="00C753B1">
          <w:rPr>
            <w:rStyle w:val="Hyperlink"/>
            <w:rFonts w:eastAsia="Arial" w:cstheme="minorHAnsi"/>
            <w:sz w:val="24"/>
            <w:szCs w:val="24"/>
          </w:rPr>
          <w:t>Criminal legal aid – Legal Aid Learning</w:t>
        </w:r>
      </w:hyperlink>
    </w:p>
    <w:p w14:paraId="36671852" w14:textId="77777777" w:rsidR="00C753B1" w:rsidRPr="00C753B1" w:rsidRDefault="00C753B1" w:rsidP="00C753B1">
      <w:pPr>
        <w:rPr>
          <w:rFonts w:cstheme="minorHAnsi"/>
          <w:b/>
          <w:sz w:val="24"/>
          <w:szCs w:val="24"/>
        </w:rPr>
      </w:pPr>
      <w:r w:rsidRPr="00C753B1">
        <w:rPr>
          <w:rFonts w:cstheme="minorHAnsi"/>
          <w:b/>
          <w:sz w:val="24"/>
          <w:szCs w:val="24"/>
        </w:rPr>
        <w:t xml:space="preserve">Q: </w:t>
      </w:r>
      <w:r w:rsidRPr="00C753B1">
        <w:rPr>
          <w:rFonts w:cstheme="minorHAnsi"/>
          <w:b/>
          <w:bCs/>
          <w:sz w:val="24"/>
          <w:szCs w:val="24"/>
        </w:rPr>
        <w:t xml:space="preserve">Where can I find the </w:t>
      </w:r>
      <w:r w:rsidRPr="00C753B1">
        <w:rPr>
          <w:rFonts w:cstheme="minorHAnsi"/>
          <w:b/>
          <w:sz w:val="24"/>
          <w:szCs w:val="24"/>
        </w:rPr>
        <w:t xml:space="preserve">"Contract Guide" </w:t>
      </w:r>
      <w:r w:rsidRPr="00C753B1">
        <w:rPr>
          <w:rFonts w:cstheme="minorHAnsi"/>
          <w:b/>
          <w:bCs/>
          <w:sz w:val="24"/>
          <w:szCs w:val="24"/>
        </w:rPr>
        <w:t>that is mentioned</w:t>
      </w:r>
      <w:r w:rsidRPr="00C753B1">
        <w:rPr>
          <w:rFonts w:cstheme="minorHAnsi"/>
          <w:b/>
          <w:sz w:val="24"/>
          <w:szCs w:val="24"/>
        </w:rPr>
        <w:t xml:space="preserve"> in the specification</w:t>
      </w:r>
      <w:r w:rsidRPr="00C753B1">
        <w:rPr>
          <w:rFonts w:cstheme="minorHAnsi"/>
          <w:b/>
          <w:bCs/>
          <w:sz w:val="24"/>
          <w:szCs w:val="24"/>
        </w:rPr>
        <w:t>, such as in section</w:t>
      </w:r>
      <w:r w:rsidRPr="00C753B1">
        <w:rPr>
          <w:rFonts w:cstheme="minorHAnsi"/>
          <w:b/>
          <w:sz w:val="24"/>
          <w:szCs w:val="24"/>
        </w:rPr>
        <w:t xml:space="preserve"> 3.5?</w:t>
      </w:r>
    </w:p>
    <w:p w14:paraId="2C1CDC61" w14:textId="77777777" w:rsidR="00C753B1" w:rsidRPr="00C753B1" w:rsidRDefault="00C753B1" w:rsidP="00C753B1">
      <w:pPr>
        <w:rPr>
          <w:rFonts w:cstheme="minorHAnsi"/>
          <w:b/>
          <w:sz w:val="24"/>
          <w:szCs w:val="24"/>
        </w:rPr>
      </w:pPr>
      <w:r w:rsidRPr="00C753B1">
        <w:rPr>
          <w:rFonts w:cstheme="minorHAnsi"/>
          <w:b/>
          <w:sz w:val="24"/>
          <w:szCs w:val="24"/>
        </w:rPr>
        <w:t xml:space="preserve">A: </w:t>
      </w:r>
      <w:r w:rsidRPr="00C753B1">
        <w:rPr>
          <w:rFonts w:cstheme="minorHAnsi"/>
          <w:sz w:val="24"/>
          <w:szCs w:val="24"/>
        </w:rPr>
        <w:t xml:space="preserve"> A Contract Guide is a guide issued by the LAA specifically in relation to the Contract, for example, the Criminal Bills Assessment Manual is a Contract Guide</w:t>
      </w:r>
    </w:p>
    <w:p w14:paraId="6A3F3FDD" w14:textId="77777777" w:rsidR="00C753B1" w:rsidRPr="00C753B1" w:rsidRDefault="00C753B1" w:rsidP="00C753B1">
      <w:pPr>
        <w:rPr>
          <w:rFonts w:cstheme="minorHAnsi"/>
          <w:sz w:val="24"/>
          <w:szCs w:val="24"/>
        </w:rPr>
      </w:pPr>
      <w:r w:rsidRPr="00C753B1">
        <w:rPr>
          <w:rFonts w:cstheme="minorHAnsi"/>
          <w:b/>
          <w:sz w:val="24"/>
          <w:szCs w:val="24"/>
        </w:rPr>
        <w:t xml:space="preserve">Q: </w:t>
      </w:r>
      <w:r w:rsidRPr="00C753B1">
        <w:rPr>
          <w:rFonts w:cstheme="minorHAnsi"/>
          <w:b/>
          <w:bCs/>
          <w:sz w:val="24"/>
          <w:szCs w:val="24"/>
        </w:rPr>
        <w:t>Where can</w:t>
      </w:r>
      <w:r w:rsidRPr="00C753B1">
        <w:rPr>
          <w:rFonts w:cstheme="minorHAnsi"/>
          <w:b/>
          <w:sz w:val="24"/>
          <w:szCs w:val="24"/>
        </w:rPr>
        <w:t xml:space="preserve"> section 21.11 of the </w:t>
      </w:r>
      <w:r w:rsidRPr="00C753B1">
        <w:rPr>
          <w:rFonts w:cstheme="minorHAnsi"/>
          <w:b/>
          <w:bCs/>
          <w:sz w:val="24"/>
          <w:szCs w:val="24"/>
        </w:rPr>
        <w:t>Standard Terms be located?</w:t>
      </w:r>
    </w:p>
    <w:p w14:paraId="1781FE32" w14:textId="77777777" w:rsidR="00C753B1" w:rsidRPr="00C753B1" w:rsidRDefault="00C753B1" w:rsidP="00C753B1">
      <w:pPr>
        <w:rPr>
          <w:rFonts w:eastAsia="Arial" w:cstheme="minorHAnsi"/>
          <w:sz w:val="24"/>
          <w:szCs w:val="24"/>
        </w:rPr>
      </w:pPr>
      <w:r w:rsidRPr="00C753B1">
        <w:rPr>
          <w:rFonts w:cstheme="minorHAnsi"/>
          <w:b/>
          <w:sz w:val="24"/>
          <w:szCs w:val="24"/>
        </w:rPr>
        <w:t xml:space="preserve">A: </w:t>
      </w:r>
      <w:r w:rsidRPr="00C753B1">
        <w:rPr>
          <w:rFonts w:cstheme="minorHAnsi"/>
          <w:sz w:val="24"/>
          <w:szCs w:val="24"/>
        </w:rPr>
        <w:t xml:space="preserve">21.11 of the Standard Terms is located here: </w:t>
      </w:r>
      <w:hyperlink r:id="rId29" w:history="1">
        <w:r w:rsidRPr="00C753B1">
          <w:rPr>
            <w:rStyle w:val="Hyperlink"/>
            <w:rFonts w:cstheme="minorHAnsi"/>
            <w:sz w:val="24"/>
            <w:szCs w:val="24"/>
          </w:rPr>
          <w:t>Standard Crime Contract 2025 - GOV.UK</w:t>
        </w:r>
      </w:hyperlink>
    </w:p>
    <w:p w14:paraId="421E22B0" w14:textId="77777777" w:rsidR="00130D86" w:rsidRDefault="00130D86" w:rsidP="001D338D">
      <w:pPr>
        <w:rPr>
          <w:rFonts w:ascii="Arial" w:eastAsia="Times New Roman" w:hAnsi="Arial" w:cs="Arial"/>
          <w:highlight w:val="cyan"/>
        </w:rPr>
      </w:pPr>
    </w:p>
    <w:p w14:paraId="4FF99E1B" w14:textId="77777777" w:rsidR="00130D86" w:rsidRDefault="00130D86" w:rsidP="001D338D">
      <w:pPr>
        <w:rPr>
          <w:rFonts w:ascii="Arial" w:eastAsia="Times New Roman" w:hAnsi="Arial" w:cs="Arial"/>
          <w:b/>
          <w:highlight w:val="cyan"/>
        </w:rPr>
      </w:pPr>
    </w:p>
    <w:p w14:paraId="46A09F6D" w14:textId="77777777" w:rsidR="001D338D" w:rsidRDefault="001D338D" w:rsidP="00356299">
      <w:pPr>
        <w:rPr>
          <w:rFonts w:ascii="Arial" w:hAnsi="Arial" w:cs="Arial"/>
          <w:b/>
          <w:highlight w:val="cyan"/>
        </w:rPr>
      </w:pPr>
    </w:p>
    <w:p w14:paraId="6A5038FC" w14:textId="77777777" w:rsidR="00356299" w:rsidRPr="00356299" w:rsidRDefault="00356299" w:rsidP="00356299">
      <w:pPr>
        <w:pStyle w:val="BodyText"/>
      </w:pPr>
    </w:p>
    <w:p w14:paraId="0E3D9797" w14:textId="77777777" w:rsidR="00AC178A" w:rsidRDefault="00AC178A" w:rsidP="0006734A">
      <w:pPr>
        <w:rPr>
          <w:rFonts w:ascii="Arial" w:eastAsia="Times New Roman" w:hAnsi="Arial" w:cs="Arial"/>
          <w:highlight w:val="cyan"/>
        </w:rPr>
      </w:pPr>
    </w:p>
    <w:p w14:paraId="059F5D28" w14:textId="77777777" w:rsidR="00AC178A" w:rsidRDefault="00AC178A" w:rsidP="0006734A">
      <w:pPr>
        <w:rPr>
          <w:rFonts w:ascii="Arial" w:eastAsia="Times New Roman" w:hAnsi="Arial" w:cs="Arial"/>
          <w:highlight w:val="cyan"/>
        </w:rPr>
      </w:pPr>
    </w:p>
    <w:p w14:paraId="507DD071" w14:textId="77777777" w:rsidR="005C2D75" w:rsidRDefault="005C2D75" w:rsidP="00511EE9">
      <w:pPr>
        <w:pStyle w:val="BodyText"/>
      </w:pPr>
    </w:p>
    <w:p w14:paraId="71382906" w14:textId="77777777" w:rsidR="00511EE9" w:rsidRDefault="00511EE9" w:rsidP="00511EE9">
      <w:pPr>
        <w:pStyle w:val="BodyText"/>
      </w:pPr>
    </w:p>
    <w:p w14:paraId="128AC398" w14:textId="77777777" w:rsidR="00511EE9" w:rsidRDefault="00511EE9" w:rsidP="00511EE9">
      <w:pPr>
        <w:pStyle w:val="BodyText"/>
      </w:pPr>
    </w:p>
    <w:p w14:paraId="707E4DCC" w14:textId="77777777" w:rsidR="00511EE9" w:rsidRDefault="00511EE9" w:rsidP="00511EE9">
      <w:pPr>
        <w:pStyle w:val="BodyText"/>
      </w:pPr>
    </w:p>
    <w:p w14:paraId="6DAFA704" w14:textId="77777777" w:rsidR="00A646D2" w:rsidRDefault="00A646D2" w:rsidP="00A646D2">
      <w:pPr>
        <w:pStyle w:val="BodyText"/>
        <w:spacing w:after="360"/>
      </w:pPr>
    </w:p>
    <w:p w14:paraId="43164FA9" w14:textId="77777777" w:rsidR="0017663B" w:rsidRDefault="0017663B" w:rsidP="00A646D2">
      <w:pPr>
        <w:pStyle w:val="BodyText"/>
        <w:spacing w:after="360"/>
      </w:pPr>
    </w:p>
    <w:p w14:paraId="3FA1A519" w14:textId="77777777" w:rsidR="0017663B" w:rsidRDefault="0017663B" w:rsidP="00A646D2">
      <w:pPr>
        <w:pStyle w:val="BodyText"/>
        <w:spacing w:after="360"/>
      </w:pPr>
    </w:p>
    <w:p w14:paraId="4BF0B205" w14:textId="77777777" w:rsidR="0017663B" w:rsidRDefault="0017663B" w:rsidP="00A646D2">
      <w:pPr>
        <w:pStyle w:val="BodyText"/>
        <w:spacing w:after="360"/>
      </w:pPr>
    </w:p>
    <w:p w14:paraId="393F868C" w14:textId="77777777" w:rsidR="0017663B" w:rsidRDefault="0017663B" w:rsidP="00A646D2">
      <w:pPr>
        <w:pStyle w:val="BodyText"/>
        <w:spacing w:after="360"/>
      </w:pPr>
    </w:p>
    <w:p w14:paraId="4C481AC3" w14:textId="77777777" w:rsidR="0017663B" w:rsidRDefault="0017663B" w:rsidP="00A646D2">
      <w:pPr>
        <w:pStyle w:val="BodyText"/>
        <w:spacing w:after="360"/>
      </w:pPr>
    </w:p>
    <w:p w14:paraId="59C2759F" w14:textId="77777777" w:rsidR="00A646D2" w:rsidRDefault="00A646D2" w:rsidP="00A646D2">
      <w:pPr>
        <w:pStyle w:val="BodyText"/>
        <w:spacing w:after="360"/>
      </w:pPr>
    </w:p>
    <w:p w14:paraId="41445850" w14:textId="77777777" w:rsidR="00A646D2" w:rsidRDefault="00A646D2" w:rsidP="00A646D2">
      <w:pPr>
        <w:pStyle w:val="BodyText"/>
        <w:spacing w:after="360"/>
      </w:pPr>
    </w:p>
    <w:p w14:paraId="58EA0BBB" w14:textId="77777777" w:rsidR="00AC178A" w:rsidRDefault="00AC178A" w:rsidP="00A646D2">
      <w:pPr>
        <w:pStyle w:val="BodyText"/>
        <w:spacing w:after="360"/>
      </w:pPr>
    </w:p>
    <w:p w14:paraId="58D9C548" w14:textId="77777777" w:rsidR="00AC178A" w:rsidRDefault="00AC178A" w:rsidP="00A646D2">
      <w:pPr>
        <w:pStyle w:val="BodyText"/>
        <w:spacing w:after="360"/>
      </w:pPr>
    </w:p>
    <w:p w14:paraId="7B9E32D4" w14:textId="77777777" w:rsidR="00AC178A" w:rsidRDefault="00AC178A" w:rsidP="00A646D2">
      <w:pPr>
        <w:pStyle w:val="BodyText"/>
        <w:spacing w:after="360"/>
      </w:pPr>
    </w:p>
    <w:p w14:paraId="46B634AD" w14:textId="77777777" w:rsidR="00AC178A" w:rsidRDefault="00AC178A" w:rsidP="00A646D2">
      <w:pPr>
        <w:pStyle w:val="BodyText"/>
        <w:spacing w:after="360"/>
      </w:pPr>
    </w:p>
    <w:p w14:paraId="0E95794E" w14:textId="77777777" w:rsidR="00AC178A" w:rsidRDefault="00AC178A" w:rsidP="00A646D2">
      <w:pPr>
        <w:pStyle w:val="BodyText"/>
        <w:spacing w:after="360"/>
      </w:pPr>
    </w:p>
    <w:p w14:paraId="24C7481E" w14:textId="77777777" w:rsidR="00AC178A" w:rsidRDefault="00AC178A" w:rsidP="00A646D2">
      <w:pPr>
        <w:pStyle w:val="BodyText"/>
        <w:spacing w:after="360"/>
      </w:pPr>
    </w:p>
    <w:p w14:paraId="3A42BA0F" w14:textId="77777777" w:rsidR="00AC178A" w:rsidRDefault="00AC178A" w:rsidP="00A646D2">
      <w:pPr>
        <w:pStyle w:val="BodyText"/>
        <w:spacing w:after="360"/>
      </w:pPr>
    </w:p>
    <w:p w14:paraId="7CA8FBF6" w14:textId="77777777" w:rsidR="00A646D2" w:rsidRDefault="00A646D2" w:rsidP="00A646D2">
      <w:pPr>
        <w:pStyle w:val="BodyText"/>
        <w:spacing w:after="360"/>
      </w:pPr>
    </w:p>
    <w:p w14:paraId="47976AFB" w14:textId="77777777" w:rsidR="00A646D2" w:rsidRDefault="00A646D2" w:rsidP="00A646D2">
      <w:pPr>
        <w:pStyle w:val="BodyText"/>
        <w:spacing w:after="360"/>
      </w:pPr>
    </w:p>
    <w:p w14:paraId="2CD25B1A" w14:textId="77777777" w:rsidR="00AC178A" w:rsidRDefault="00AC178A" w:rsidP="00A646D2">
      <w:pPr>
        <w:pStyle w:val="BodyText"/>
        <w:spacing w:after="360"/>
      </w:pPr>
    </w:p>
    <w:p w14:paraId="4E6CC8E0" w14:textId="77777777" w:rsidR="00AC178A" w:rsidRDefault="00AC178A" w:rsidP="00A646D2">
      <w:pPr>
        <w:pStyle w:val="BodyText"/>
        <w:spacing w:after="360"/>
      </w:pPr>
    </w:p>
    <w:p w14:paraId="7901E0DE" w14:textId="77777777" w:rsidR="00AC178A" w:rsidRDefault="00AC178A" w:rsidP="00A646D2">
      <w:pPr>
        <w:pStyle w:val="BodyText"/>
        <w:spacing w:after="360"/>
      </w:pPr>
    </w:p>
    <w:p w14:paraId="5AE7D3CE" w14:textId="77777777" w:rsidR="00AC178A" w:rsidRDefault="00AC178A" w:rsidP="00A646D2">
      <w:pPr>
        <w:pStyle w:val="BodyText"/>
        <w:spacing w:after="360"/>
      </w:pPr>
    </w:p>
    <w:p w14:paraId="6C915118" w14:textId="77777777" w:rsidR="00AC178A" w:rsidRDefault="00AC178A" w:rsidP="00A646D2">
      <w:pPr>
        <w:pStyle w:val="BodyText"/>
        <w:spacing w:after="360"/>
      </w:pPr>
    </w:p>
    <w:p w14:paraId="0CD58803" w14:textId="77777777" w:rsidR="00A646D2" w:rsidRDefault="00A646D2" w:rsidP="00A646D2">
      <w:pPr>
        <w:pStyle w:val="BodyText"/>
        <w:spacing w:after="360"/>
      </w:pPr>
    </w:p>
    <w:p w14:paraId="16C1FE24" w14:textId="77777777" w:rsidR="00A646D2" w:rsidRDefault="00A646D2" w:rsidP="00A646D2">
      <w:pPr>
        <w:pStyle w:val="BodyText"/>
        <w:spacing w:after="360"/>
      </w:pPr>
    </w:p>
    <w:p w14:paraId="389CC4F3" w14:textId="77777777" w:rsidR="00A646D2" w:rsidRDefault="00A646D2" w:rsidP="00A646D2">
      <w:pPr>
        <w:pStyle w:val="BodyText"/>
        <w:spacing w:after="360"/>
      </w:pPr>
    </w:p>
    <w:p w14:paraId="36353B74" w14:textId="77777777" w:rsidR="00A646D2" w:rsidRDefault="00A646D2" w:rsidP="00A646D2">
      <w:pPr>
        <w:pStyle w:val="BodyText"/>
        <w:spacing w:after="360"/>
      </w:pPr>
    </w:p>
    <w:p w14:paraId="51674695" w14:textId="77777777" w:rsidR="00A646D2" w:rsidRDefault="00A646D2" w:rsidP="00A646D2">
      <w:pPr>
        <w:pStyle w:val="BodyText"/>
        <w:spacing w:after="360"/>
      </w:pPr>
    </w:p>
    <w:p w14:paraId="129F0871" w14:textId="77777777" w:rsidR="00A646D2" w:rsidRDefault="00A646D2" w:rsidP="00A646D2">
      <w:pPr>
        <w:pStyle w:val="BodyText"/>
        <w:spacing w:after="360"/>
      </w:pPr>
    </w:p>
    <w:p w14:paraId="5B06C218" w14:textId="77777777" w:rsidR="00A646D2" w:rsidRDefault="00A646D2" w:rsidP="00A646D2">
      <w:pPr>
        <w:pStyle w:val="BodyText"/>
        <w:spacing w:after="360"/>
      </w:pPr>
    </w:p>
    <w:p w14:paraId="18DA0A39" w14:textId="77777777" w:rsidR="00A646D2" w:rsidRDefault="00A646D2" w:rsidP="00A646D2">
      <w:pPr>
        <w:pStyle w:val="BodyText"/>
        <w:spacing w:after="360"/>
      </w:pPr>
    </w:p>
    <w:p w14:paraId="0B4E3FDA" w14:textId="77777777" w:rsidR="00A646D2" w:rsidRDefault="00A646D2" w:rsidP="00A646D2">
      <w:pPr>
        <w:pStyle w:val="BodyText"/>
        <w:spacing w:after="360"/>
      </w:pPr>
    </w:p>
    <w:p w14:paraId="5FCF8F64" w14:textId="6DF31B7E" w:rsidR="00A646D2" w:rsidRDefault="00A646D2" w:rsidP="00A646D2">
      <w:pPr>
        <w:pStyle w:val="BodyText"/>
        <w:spacing w:after="360"/>
      </w:pPr>
    </w:p>
    <w:p w14:paraId="60C47CF3" w14:textId="7ADA0F77" w:rsidR="00A646D2" w:rsidRPr="0098674C" w:rsidRDefault="00467905" w:rsidP="00A646D2">
      <w:pPr>
        <w:pStyle w:val="BodyText"/>
        <w:spacing w:after="360"/>
      </w:pPr>
      <w:r w:rsidRPr="00B53A14">
        <w:rPr>
          <w:noProof/>
          <w:color w:val="FFFFFF" w:themeColor="background1"/>
        </w:rPr>
        <w:drawing>
          <wp:anchor distT="0" distB="0" distL="114300" distR="114300" simplePos="0" relativeHeight="251658240" behindDoc="1" locked="0" layoutInCell="1" allowOverlap="1" wp14:anchorId="50B36399" wp14:editId="3B297213">
            <wp:simplePos x="0" y="0"/>
            <wp:positionH relativeFrom="page">
              <wp:posOffset>-19050</wp:posOffset>
            </wp:positionH>
            <wp:positionV relativeFrom="page">
              <wp:posOffset>0</wp:posOffset>
            </wp:positionV>
            <wp:extent cx="7559999" cy="10692479"/>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59999"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6D2" w:rsidRPr="0098674C">
        <w:rPr>
          <w:noProof/>
        </w:rPr>
        <w:drawing>
          <wp:inline distT="0" distB="0" distL="0" distR="0" wp14:anchorId="6D18528E" wp14:editId="5923F5EA">
            <wp:extent cx="644908" cy="261892"/>
            <wp:effectExtent l="0" t="0" r="3175" b="5080"/>
            <wp:docPr id="2" name="Picture 2"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GL log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4908" cy="261892"/>
                    </a:xfrm>
                    <a:prstGeom prst="rect">
                      <a:avLst/>
                    </a:prstGeom>
                    <a:noFill/>
                    <a:ln>
                      <a:noFill/>
                    </a:ln>
                  </pic:spPr>
                </pic:pic>
              </a:graphicData>
            </a:graphic>
          </wp:inline>
        </w:drawing>
      </w:r>
    </w:p>
    <w:p w14:paraId="6CFA6146" w14:textId="24057794" w:rsidR="00A646D2" w:rsidRPr="0098674C" w:rsidRDefault="00A646D2" w:rsidP="00A646D2">
      <w:pPr>
        <w:pStyle w:val="BodyText"/>
        <w:rPr>
          <w:b/>
          <w:bCs/>
        </w:rPr>
      </w:pPr>
      <w:r w:rsidRPr="0098674C">
        <w:rPr>
          <w:b/>
          <w:bCs/>
        </w:rPr>
        <w:t>© Crown copyright 202</w:t>
      </w:r>
      <w:r>
        <w:rPr>
          <w:b/>
          <w:bCs/>
        </w:rPr>
        <w:t>4</w:t>
      </w:r>
    </w:p>
    <w:p w14:paraId="5C72A2F4" w14:textId="4BAC89CC" w:rsidR="00A646D2" w:rsidRPr="0098674C" w:rsidRDefault="00A646D2" w:rsidP="00A646D2">
      <w:pPr>
        <w:pStyle w:val="BodyText"/>
      </w:pPr>
      <w:r w:rsidRPr="0098674C">
        <w:t xml:space="preserve">This publication is licensed under the terms of the Open Government Licence v3.0 </w:t>
      </w:r>
      <w:r w:rsidRPr="0098674C">
        <w:br/>
        <w:t xml:space="preserve">except where otherwise stated. To view this licence, visit </w:t>
      </w:r>
      <w:hyperlink r:id="rId32" w:history="1">
        <w:r w:rsidRPr="0098674C">
          <w:t>nationalarchives.gov.uk/doc/open-government-licence/version/3</w:t>
        </w:r>
      </w:hyperlink>
    </w:p>
    <w:p w14:paraId="34E25377" w14:textId="4AC0BB4B" w:rsidR="00A646D2" w:rsidRPr="0098674C" w:rsidRDefault="00A646D2" w:rsidP="00A646D2">
      <w:pPr>
        <w:pStyle w:val="BodyText"/>
      </w:pPr>
      <w:r w:rsidRPr="0098674C">
        <w:t xml:space="preserve">Where we have identified any third party copyright information you </w:t>
      </w:r>
      <w:r w:rsidRPr="0098674C">
        <w:br/>
        <w:t>will need to obtain permission from the copyright holders concerned.</w:t>
      </w:r>
    </w:p>
    <w:p w14:paraId="69A8DA7D" w14:textId="5C1A5FCC" w:rsidR="00A646D2" w:rsidRDefault="00A646D2" w:rsidP="00A646D2">
      <w:pPr>
        <w:pStyle w:val="BodyText"/>
      </w:pPr>
    </w:p>
    <w:p w14:paraId="0DD2DA96" w14:textId="2A6EC7E7" w:rsidR="00A646D2" w:rsidRDefault="00A646D2" w:rsidP="00A646D2">
      <w:pPr>
        <w:pStyle w:val="BodyText"/>
      </w:pPr>
    </w:p>
    <w:sectPr w:rsidR="00A646D2" w:rsidSect="00B53A14">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4233C" w14:textId="77777777" w:rsidR="00A858C7" w:rsidRDefault="00A858C7" w:rsidP="006D69A7">
      <w:pPr>
        <w:spacing w:after="0" w:line="240" w:lineRule="auto"/>
      </w:pPr>
      <w:r>
        <w:separator/>
      </w:r>
    </w:p>
  </w:endnote>
  <w:endnote w:type="continuationSeparator" w:id="0">
    <w:p w14:paraId="7E77597B" w14:textId="77777777" w:rsidR="00A858C7" w:rsidRDefault="00A858C7" w:rsidP="006D69A7">
      <w:pPr>
        <w:spacing w:after="0" w:line="240" w:lineRule="auto"/>
      </w:pPr>
      <w:r>
        <w:continuationSeparator/>
      </w:r>
    </w:p>
  </w:endnote>
  <w:endnote w:type="continuationNotice" w:id="1">
    <w:p w14:paraId="7193B38C" w14:textId="77777777" w:rsidR="00A858C7" w:rsidRDefault="00A858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3F1F" w14:textId="39E48D2E" w:rsidR="00BF4E0E" w:rsidRDefault="00BF4E0E">
    <w:pPr>
      <w:pStyle w:val="Footer"/>
    </w:pPr>
    <w:r>
      <w:rPr>
        <w:noProof/>
      </w:rPr>
      <mc:AlternateContent>
        <mc:Choice Requires="wps">
          <w:drawing>
            <wp:anchor distT="0" distB="0" distL="0" distR="0" simplePos="0" relativeHeight="251658244" behindDoc="0" locked="0" layoutInCell="1" allowOverlap="1" wp14:anchorId="10090304" wp14:editId="27B3DC9C">
              <wp:simplePos x="635" y="635"/>
              <wp:positionH relativeFrom="page">
                <wp:align>center</wp:align>
              </wp:positionH>
              <wp:positionV relativeFrom="page">
                <wp:align>bottom</wp:align>
              </wp:positionV>
              <wp:extent cx="443865" cy="443865"/>
              <wp:effectExtent l="0" t="0" r="3810" b="0"/>
              <wp:wrapNone/>
              <wp:docPr id="1757330532" name="Text Box 11"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932861" w14:textId="3980DB4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90304" id="_x0000_t202" coordsize="21600,21600" o:spt="202" path="m,l,21600r21600,l21600,xe">
              <v:stroke joinstyle="miter"/>
              <v:path gradientshapeok="t" o:connecttype="rect"/>
            </v:shapetype>
            <v:shape id="Text Box 11" o:spid="_x0000_s1028" type="#_x0000_t202" alt="OFFICIAL - FOR PUBLIC RELEASE"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5932861" w14:textId="3980DB4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940286"/>
      <w:docPartObj>
        <w:docPartGallery w:val="Page Numbers (Bottom of Page)"/>
        <w:docPartUnique/>
      </w:docPartObj>
    </w:sdtPr>
    <w:sdtEndPr>
      <w:rPr>
        <w:noProof/>
      </w:rPr>
    </w:sdtEndPr>
    <w:sdtContent>
      <w:p w14:paraId="105A7330" w14:textId="37DE6D54" w:rsidR="002E5FC2" w:rsidRDefault="002E5FC2">
        <w:pPr>
          <w:pStyle w:val="Footer"/>
        </w:pPr>
        <w:r>
          <w:fldChar w:fldCharType="begin"/>
        </w:r>
        <w:r>
          <w:instrText xml:space="preserve"> PAGE   \* MERGEFORMAT </w:instrText>
        </w:r>
        <w:r>
          <w:fldChar w:fldCharType="separate"/>
        </w:r>
        <w:r>
          <w:rPr>
            <w:noProof/>
          </w:rPr>
          <w:t>2</w:t>
        </w:r>
        <w:r>
          <w:rPr>
            <w:noProof/>
          </w:rPr>
          <w:fldChar w:fldCharType="end"/>
        </w:r>
      </w:p>
    </w:sdtContent>
  </w:sdt>
  <w:p w14:paraId="219CD32C" w14:textId="50CAD501" w:rsidR="00CA4174" w:rsidRDefault="00CA4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3227" w14:textId="413E5501" w:rsidR="00BF4E0E" w:rsidRDefault="00BF4E0E">
    <w:pPr>
      <w:pStyle w:val="Footer"/>
    </w:pPr>
    <w:r>
      <w:rPr>
        <w:noProof/>
      </w:rPr>
      <mc:AlternateContent>
        <mc:Choice Requires="wps">
          <w:drawing>
            <wp:anchor distT="0" distB="0" distL="0" distR="0" simplePos="0" relativeHeight="251658243" behindDoc="0" locked="0" layoutInCell="1" allowOverlap="1" wp14:anchorId="0F4FD96A" wp14:editId="6EE818AC">
              <wp:simplePos x="635" y="635"/>
              <wp:positionH relativeFrom="page">
                <wp:align>center</wp:align>
              </wp:positionH>
              <wp:positionV relativeFrom="page">
                <wp:align>bottom</wp:align>
              </wp:positionV>
              <wp:extent cx="443865" cy="443865"/>
              <wp:effectExtent l="0" t="0" r="3810" b="0"/>
              <wp:wrapNone/>
              <wp:docPr id="190324281" name="Text Box 10"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8AC87" w14:textId="334F97C7"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4FD96A" id="_x0000_t202" coordsize="21600,21600" o:spt="202" path="m,l,21600r21600,l21600,xe">
              <v:stroke joinstyle="miter"/>
              <v:path gradientshapeok="t" o:connecttype="rect"/>
            </v:shapetype>
            <v:shape id="Text Box 10" o:spid="_x0000_s1030" type="#_x0000_t202" alt="OFFICIAL - FOR PUBLIC RELEASE"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188AC87" w14:textId="334F97C7"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40C7D" w14:textId="77777777" w:rsidR="00A858C7" w:rsidRDefault="00A858C7" w:rsidP="006D69A7">
      <w:pPr>
        <w:spacing w:after="0" w:line="240" w:lineRule="auto"/>
      </w:pPr>
      <w:r>
        <w:separator/>
      </w:r>
    </w:p>
  </w:footnote>
  <w:footnote w:type="continuationSeparator" w:id="0">
    <w:p w14:paraId="626064AE" w14:textId="77777777" w:rsidR="00A858C7" w:rsidRDefault="00A858C7" w:rsidP="006D69A7">
      <w:pPr>
        <w:spacing w:after="0" w:line="240" w:lineRule="auto"/>
      </w:pPr>
      <w:r>
        <w:continuationSeparator/>
      </w:r>
    </w:p>
  </w:footnote>
  <w:footnote w:type="continuationNotice" w:id="1">
    <w:p w14:paraId="453C265E" w14:textId="77777777" w:rsidR="00A858C7" w:rsidRDefault="00A858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95AE" w14:textId="06ADDDB1" w:rsidR="00BF4E0E" w:rsidRDefault="00BF4E0E">
    <w:pPr>
      <w:pStyle w:val="Header"/>
    </w:pPr>
    <w:r>
      <w:rPr>
        <w:noProof/>
      </w:rPr>
      <mc:AlternateContent>
        <mc:Choice Requires="wps">
          <w:drawing>
            <wp:anchor distT="0" distB="0" distL="0" distR="0" simplePos="0" relativeHeight="251658241" behindDoc="0" locked="0" layoutInCell="1" allowOverlap="1" wp14:anchorId="571E7690" wp14:editId="526263E2">
              <wp:simplePos x="635" y="635"/>
              <wp:positionH relativeFrom="page">
                <wp:align>center</wp:align>
              </wp:positionH>
              <wp:positionV relativeFrom="page">
                <wp:align>top</wp:align>
              </wp:positionV>
              <wp:extent cx="443865" cy="443865"/>
              <wp:effectExtent l="0" t="0" r="3810" b="8890"/>
              <wp:wrapNone/>
              <wp:docPr id="1465930894" name="Text Box 5"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F306F" w14:textId="32D2030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1E7690" id="_x0000_t202" coordsize="21600,21600" o:spt="202" path="m,l,21600r21600,l21600,xe">
              <v:stroke joinstyle="miter"/>
              <v:path gradientshapeok="t" o:connecttype="rect"/>
            </v:shapetype>
            <v:shape id="Text Box 5" o:spid="_x0000_s1026" type="#_x0000_t202" alt="OFFICIAL - FOR PUBLIC RELEASE"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45F306F" w14:textId="32D2030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8710" w14:textId="1AF79639" w:rsidR="00CA4174" w:rsidRDefault="00BF4E0E">
    <w:pPr>
      <w:pStyle w:val="Header"/>
    </w:pPr>
    <w:r>
      <w:rPr>
        <w:noProof/>
      </w:rPr>
      <mc:AlternateContent>
        <mc:Choice Requires="wps">
          <w:drawing>
            <wp:anchor distT="0" distB="0" distL="0" distR="0" simplePos="0" relativeHeight="251658242" behindDoc="0" locked="0" layoutInCell="1" allowOverlap="1" wp14:anchorId="274AD06A" wp14:editId="5E2243B8">
              <wp:simplePos x="635" y="635"/>
              <wp:positionH relativeFrom="page">
                <wp:align>center</wp:align>
              </wp:positionH>
              <wp:positionV relativeFrom="page">
                <wp:align>top</wp:align>
              </wp:positionV>
              <wp:extent cx="443865" cy="443865"/>
              <wp:effectExtent l="0" t="0" r="3810" b="8890"/>
              <wp:wrapNone/>
              <wp:docPr id="1987128677" name="Text Box 6"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13757" w14:textId="4914DFA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4AD06A" id="_x0000_t202" coordsize="21600,21600" o:spt="202" path="m,l,21600r21600,l21600,xe">
              <v:stroke joinstyle="miter"/>
              <v:path gradientshapeok="t" o:connecttype="rect"/>
            </v:shapetype>
            <v:shape id="Text Box 6" o:spid="_x0000_s1027" type="#_x0000_t202" alt="OFFICIAL - FOR PUBLIC RELEASE"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6E13757" w14:textId="4914DFA5"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8611" w14:textId="62924023" w:rsidR="00BF4E0E" w:rsidRDefault="00BF4E0E">
    <w:pPr>
      <w:pStyle w:val="Header"/>
    </w:pPr>
    <w:r>
      <w:rPr>
        <w:noProof/>
      </w:rPr>
      <mc:AlternateContent>
        <mc:Choice Requires="wps">
          <w:drawing>
            <wp:anchor distT="0" distB="0" distL="0" distR="0" simplePos="0" relativeHeight="251658240" behindDoc="0" locked="0" layoutInCell="1" allowOverlap="1" wp14:anchorId="1FB37388" wp14:editId="5412E191">
              <wp:simplePos x="635" y="635"/>
              <wp:positionH relativeFrom="page">
                <wp:align>center</wp:align>
              </wp:positionH>
              <wp:positionV relativeFrom="page">
                <wp:align>top</wp:align>
              </wp:positionV>
              <wp:extent cx="443865" cy="443865"/>
              <wp:effectExtent l="0" t="0" r="3810" b="8890"/>
              <wp:wrapNone/>
              <wp:docPr id="1248934042" name="Text Box 4"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7AF5E" w14:textId="254F9978"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37388" id="_x0000_t202" coordsize="21600,21600" o:spt="202" path="m,l,21600r21600,l21600,xe">
              <v:stroke joinstyle="miter"/>
              <v:path gradientshapeok="t" o:connecttype="rect"/>
            </v:shapetype>
            <v:shape id="Text Box 4" o:spid="_x0000_s1029" type="#_x0000_t202" alt="OFFICIAL - FOR PUBLIC RELEAS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A37AF5E" w14:textId="254F9978" w:rsidR="00BF4E0E" w:rsidRPr="00BF4E0E" w:rsidRDefault="00BF4E0E" w:rsidP="00BF4E0E">
                    <w:pPr>
                      <w:spacing w:after="0"/>
                      <w:rPr>
                        <w:rFonts w:ascii="Calibri" w:eastAsia="Calibri" w:hAnsi="Calibri" w:cs="Calibri"/>
                        <w:noProof/>
                        <w:color w:val="000000"/>
                        <w:sz w:val="24"/>
                        <w:szCs w:val="24"/>
                      </w:rPr>
                    </w:pPr>
                    <w:r w:rsidRPr="00BF4E0E">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062A4D8"/>
    <w:lvl w:ilvl="0">
      <w:start w:val="1"/>
      <w:numFmt w:val="bullet"/>
      <w:pStyle w:val="ListBullet2"/>
      <w:lvlText w:val=""/>
      <w:lvlJc w:val="left"/>
      <w:pPr>
        <w:ind w:left="717" w:hanging="360"/>
      </w:pPr>
      <w:rPr>
        <w:rFonts w:ascii="Symbol" w:hAnsi="Symbol" w:hint="default"/>
        <w:color w:val="00E0C5"/>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276160" w:themeColor="accent1"/>
      </w:rPr>
    </w:lvl>
  </w:abstractNum>
  <w:abstractNum w:abstractNumId="3" w15:restartNumberingAfterBreak="0">
    <w:nsid w:val="08DF0176"/>
    <w:multiLevelType w:val="multilevel"/>
    <w:tmpl w:val="5C7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504A8"/>
    <w:multiLevelType w:val="multilevel"/>
    <w:tmpl w:val="8336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5052522">
    <w:abstractNumId w:val="2"/>
  </w:num>
  <w:num w:numId="2" w16cid:durableId="475223522">
    <w:abstractNumId w:val="0"/>
  </w:num>
  <w:num w:numId="3" w16cid:durableId="1412776768">
    <w:abstractNumId w:val="1"/>
  </w:num>
  <w:num w:numId="4" w16cid:durableId="458765153">
    <w:abstractNumId w:val="4"/>
  </w:num>
  <w:num w:numId="5" w16cid:durableId="346830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A8"/>
    <w:rsid w:val="0006734A"/>
    <w:rsid w:val="00083FF8"/>
    <w:rsid w:val="0009513D"/>
    <w:rsid w:val="000A320E"/>
    <w:rsid w:val="000C6E74"/>
    <w:rsid w:val="000D1E22"/>
    <w:rsid w:val="00120891"/>
    <w:rsid w:val="001262BC"/>
    <w:rsid w:val="00130D86"/>
    <w:rsid w:val="0015033C"/>
    <w:rsid w:val="00174663"/>
    <w:rsid w:val="0017663B"/>
    <w:rsid w:val="0019768C"/>
    <w:rsid w:val="001B1441"/>
    <w:rsid w:val="001B3A74"/>
    <w:rsid w:val="001C348E"/>
    <w:rsid w:val="001D338D"/>
    <w:rsid w:val="001F4F44"/>
    <w:rsid w:val="00211B1E"/>
    <w:rsid w:val="00230CE2"/>
    <w:rsid w:val="002458DE"/>
    <w:rsid w:val="00266796"/>
    <w:rsid w:val="002A4ACA"/>
    <w:rsid w:val="002B3B97"/>
    <w:rsid w:val="002E5FC2"/>
    <w:rsid w:val="003253FE"/>
    <w:rsid w:val="00346D8E"/>
    <w:rsid w:val="00356299"/>
    <w:rsid w:val="003B085E"/>
    <w:rsid w:val="003B14B8"/>
    <w:rsid w:val="003E7119"/>
    <w:rsid w:val="00407A07"/>
    <w:rsid w:val="004412AA"/>
    <w:rsid w:val="004450AB"/>
    <w:rsid w:val="00455ADD"/>
    <w:rsid w:val="00467905"/>
    <w:rsid w:val="00470BF3"/>
    <w:rsid w:val="004C3D48"/>
    <w:rsid w:val="00501BF9"/>
    <w:rsid w:val="00511EE9"/>
    <w:rsid w:val="00514F32"/>
    <w:rsid w:val="005451D6"/>
    <w:rsid w:val="00560D6A"/>
    <w:rsid w:val="00565FCF"/>
    <w:rsid w:val="00587CB4"/>
    <w:rsid w:val="005C2D75"/>
    <w:rsid w:val="005E7524"/>
    <w:rsid w:val="005E7735"/>
    <w:rsid w:val="005F1A39"/>
    <w:rsid w:val="00607133"/>
    <w:rsid w:val="00635803"/>
    <w:rsid w:val="00662795"/>
    <w:rsid w:val="00673CE9"/>
    <w:rsid w:val="00683B94"/>
    <w:rsid w:val="00694E1B"/>
    <w:rsid w:val="006A334D"/>
    <w:rsid w:val="006C20EB"/>
    <w:rsid w:val="006D69A7"/>
    <w:rsid w:val="006F5950"/>
    <w:rsid w:val="0073662A"/>
    <w:rsid w:val="00745E3E"/>
    <w:rsid w:val="00751AC6"/>
    <w:rsid w:val="007533B4"/>
    <w:rsid w:val="00766DFF"/>
    <w:rsid w:val="007C0D77"/>
    <w:rsid w:val="00801922"/>
    <w:rsid w:val="00805A53"/>
    <w:rsid w:val="00826506"/>
    <w:rsid w:val="00833F34"/>
    <w:rsid w:val="008436B3"/>
    <w:rsid w:val="00861054"/>
    <w:rsid w:val="008A12BD"/>
    <w:rsid w:val="008E30DC"/>
    <w:rsid w:val="008F4380"/>
    <w:rsid w:val="00941DB6"/>
    <w:rsid w:val="00942A6C"/>
    <w:rsid w:val="00980A2A"/>
    <w:rsid w:val="009A28DB"/>
    <w:rsid w:val="009D1959"/>
    <w:rsid w:val="009E3CA8"/>
    <w:rsid w:val="00A11276"/>
    <w:rsid w:val="00A35578"/>
    <w:rsid w:val="00A525B9"/>
    <w:rsid w:val="00A56971"/>
    <w:rsid w:val="00A646D2"/>
    <w:rsid w:val="00A858C7"/>
    <w:rsid w:val="00A866A8"/>
    <w:rsid w:val="00AC178A"/>
    <w:rsid w:val="00AC34F8"/>
    <w:rsid w:val="00AD5079"/>
    <w:rsid w:val="00AF1FC5"/>
    <w:rsid w:val="00B15ADA"/>
    <w:rsid w:val="00B33907"/>
    <w:rsid w:val="00B37379"/>
    <w:rsid w:val="00B4485A"/>
    <w:rsid w:val="00B53A14"/>
    <w:rsid w:val="00BF101D"/>
    <w:rsid w:val="00BF4E0E"/>
    <w:rsid w:val="00C15D09"/>
    <w:rsid w:val="00C2083C"/>
    <w:rsid w:val="00C409F5"/>
    <w:rsid w:val="00C63835"/>
    <w:rsid w:val="00C753B1"/>
    <w:rsid w:val="00C755F2"/>
    <w:rsid w:val="00C829D0"/>
    <w:rsid w:val="00C908C5"/>
    <w:rsid w:val="00CA4174"/>
    <w:rsid w:val="00CA55ED"/>
    <w:rsid w:val="00CC27FD"/>
    <w:rsid w:val="00CD7308"/>
    <w:rsid w:val="00CF2FE6"/>
    <w:rsid w:val="00D065B3"/>
    <w:rsid w:val="00D34D8B"/>
    <w:rsid w:val="00D41B01"/>
    <w:rsid w:val="00D53BA8"/>
    <w:rsid w:val="00D60B93"/>
    <w:rsid w:val="00D63B2D"/>
    <w:rsid w:val="00D84DC7"/>
    <w:rsid w:val="00D96CE1"/>
    <w:rsid w:val="00D97310"/>
    <w:rsid w:val="00DD7523"/>
    <w:rsid w:val="00DF2C7F"/>
    <w:rsid w:val="00DF4140"/>
    <w:rsid w:val="00E22A5A"/>
    <w:rsid w:val="00E34788"/>
    <w:rsid w:val="00E428F8"/>
    <w:rsid w:val="00E42D25"/>
    <w:rsid w:val="00EA6AF9"/>
    <w:rsid w:val="00EC7005"/>
    <w:rsid w:val="00ED39A0"/>
    <w:rsid w:val="00EF2AFE"/>
    <w:rsid w:val="00EF69A9"/>
    <w:rsid w:val="00F51D98"/>
    <w:rsid w:val="00F6306B"/>
    <w:rsid w:val="00F74E17"/>
    <w:rsid w:val="05F4BCDD"/>
    <w:rsid w:val="0985BC46"/>
    <w:rsid w:val="37D4CC1E"/>
    <w:rsid w:val="4AA20B69"/>
    <w:rsid w:val="4ABE5291"/>
    <w:rsid w:val="4CD6885F"/>
    <w:rsid w:val="62BA7402"/>
    <w:rsid w:val="6930BA52"/>
    <w:rsid w:val="69E9EF05"/>
    <w:rsid w:val="73232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24DE"/>
  <w15:chartTrackingRefBased/>
  <w15:docId w15:val="{00D240A3-9BBB-400D-B8E0-6A2D7A48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A334D"/>
    <w:rPr>
      <w:kern w:val="2"/>
      <w14:ligatures w14:val="standardContextual"/>
    </w:rPr>
  </w:style>
  <w:style w:type="paragraph" w:styleId="Heading1">
    <w:name w:val="heading 1"/>
    <w:next w:val="BodyText"/>
    <w:link w:val="Heading1Char"/>
    <w:qFormat/>
    <w:rsid w:val="000A320E"/>
    <w:pPr>
      <w:keepNext/>
      <w:keepLines/>
      <w:pageBreakBefore/>
      <w:spacing w:after="1080" w:line="240" w:lineRule="auto"/>
      <w:outlineLvl w:val="0"/>
    </w:pPr>
    <w:rPr>
      <w:rFonts w:asciiTheme="majorHAnsi" w:eastAsiaTheme="majorEastAsia" w:hAnsiTheme="majorHAnsi" w:cstheme="majorBidi"/>
      <w:b/>
      <w:color w:val="1D4847" w:themeColor="accent1" w:themeShade="BF"/>
      <w:sz w:val="48"/>
      <w:szCs w:val="32"/>
    </w:rPr>
  </w:style>
  <w:style w:type="paragraph" w:styleId="Heading2">
    <w:name w:val="heading 2"/>
    <w:basedOn w:val="BodyText"/>
    <w:next w:val="BodyText"/>
    <w:link w:val="Heading2Char"/>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rsid w:val="006D69A7"/>
    <w:pPr>
      <w:spacing w:after="0"/>
      <w:jc w:val="center"/>
    </w:pPr>
    <w:rPr>
      <w:b/>
    </w:rPr>
  </w:style>
  <w:style w:type="character" w:customStyle="1" w:styleId="FooterChar">
    <w:name w:val="Footer Char"/>
    <w:basedOn w:val="DefaultParagraphFont"/>
    <w:link w:val="Footer"/>
    <w:uiPriority w:val="99"/>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1D4847"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99"/>
    <w:semiHidden/>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1"/>
      </w:numPr>
      <w:contextualSpacing/>
    </w:pPr>
  </w:style>
  <w:style w:type="paragraph" w:styleId="ListBullet2">
    <w:name w:val="List Bullet 2"/>
    <w:basedOn w:val="BodyText"/>
    <w:uiPriority w:val="1"/>
    <w:qFormat/>
    <w:rsid w:val="00230CE2"/>
    <w:pPr>
      <w:numPr>
        <w:numId w:val="2"/>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3"/>
      </w:numPr>
      <w:ind w:left="357" w:hanging="357"/>
    </w:pPr>
  </w:style>
  <w:style w:type="paragraph" w:customStyle="1" w:styleId="EmphasisHeading">
    <w:name w:val="Emphasis Heading"/>
    <w:basedOn w:val="BodyText"/>
    <w:uiPriority w:val="1"/>
    <w:qFormat/>
    <w:rsid w:val="00230CE2"/>
    <w:pPr>
      <w:keepNext/>
      <w:keepLines/>
      <w:pBdr>
        <w:top w:val="single" w:sz="48" w:space="12" w:color="CFE9E9"/>
        <w:left w:val="single" w:sz="48" w:space="12" w:color="CFE9E9"/>
        <w:bottom w:val="single" w:sz="48" w:space="12" w:color="CFE9E9"/>
        <w:right w:val="single" w:sz="48" w:space="12" w:color="CFE9E9"/>
      </w:pBdr>
      <w:shd w:val="clear" w:color="auto" w:fill="CFE9E9"/>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276160" w:themeColor="accent1"/>
      <w:u w:val="dotted" w:color="276160" w:themeColor="accent1"/>
    </w:rPr>
  </w:style>
  <w:style w:type="table" w:styleId="TableGrid">
    <w:name w:val="Table Grid"/>
    <w:aliases w:val="LAA table for text - teal"/>
    <w:basedOn w:val="TableNormal"/>
    <w:uiPriority w:val="39"/>
    <w:rsid w:val="00230CE2"/>
    <w:pPr>
      <w:spacing w:after="0" w:line="240" w:lineRule="auto"/>
    </w:pPr>
    <w:rPr>
      <w:sz w:val="24"/>
    </w:rPr>
    <w:tblPr>
      <w:tblBorders>
        <w:top w:val="single" w:sz="8" w:space="0" w:color="276160" w:themeColor="accent1"/>
        <w:left w:val="single" w:sz="8" w:space="0" w:color="276160" w:themeColor="accent1"/>
        <w:bottom w:val="single" w:sz="8" w:space="0" w:color="276160" w:themeColor="accent1"/>
        <w:right w:val="single" w:sz="8" w:space="0" w:color="276160" w:themeColor="accent1"/>
        <w:insideH w:val="single" w:sz="8" w:space="0" w:color="276160" w:themeColor="accent1"/>
        <w:insideV w:val="single" w:sz="8" w:space="0" w:color="276160" w:themeColor="accent1"/>
      </w:tblBorders>
      <w:tblCellMar>
        <w:top w:w="227" w:type="dxa"/>
        <w:left w:w="227" w:type="dxa"/>
        <w:bottom w:w="227" w:type="dxa"/>
        <w:right w:w="227" w:type="dxa"/>
      </w:tblCellMar>
    </w:tblPr>
    <w:tblStylePr w:type="firstRow">
      <w:rPr>
        <w:b/>
      </w:rPr>
      <w:tblPr/>
      <w:tcPr>
        <w:tcBorders>
          <w:top w:val="single" w:sz="8" w:space="0" w:color="276160" w:themeColor="accent1"/>
          <w:left w:val="single" w:sz="8" w:space="0" w:color="276160" w:themeColor="accent1"/>
          <w:bottom w:val="single" w:sz="8" w:space="0" w:color="276160" w:themeColor="accent1"/>
          <w:right w:val="single" w:sz="8" w:space="0" w:color="276160" w:themeColor="accent1"/>
          <w:insideH w:val="single" w:sz="8" w:space="0" w:color="276160" w:themeColor="accent1"/>
          <w:insideV w:val="single" w:sz="8" w:space="0" w:color="276160" w:themeColor="accent1"/>
          <w:tl2br w:val="nil"/>
          <w:tr2bl w:val="nil"/>
        </w:tcBorders>
        <w:shd w:val="clear" w:color="auto" w:fill="00E0C5"/>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teal">
    <w:name w:val="LAA table for numbers - teal"/>
    <w:basedOn w:val="TableGrid"/>
    <w:uiPriority w:val="99"/>
    <w:rsid w:val="00230CE2"/>
    <w:tblPr>
      <w:tblCellMar>
        <w:top w:w="57" w:type="dxa"/>
        <w:left w:w="57" w:type="dxa"/>
        <w:bottom w:w="57" w:type="dxa"/>
        <w:right w:w="57" w:type="dxa"/>
      </w:tblCellMar>
    </w:tblPr>
    <w:tblStylePr w:type="firstRow">
      <w:rPr>
        <w:b/>
      </w:rPr>
      <w:tblPr/>
      <w:tcPr>
        <w:tcBorders>
          <w:top w:val="single" w:sz="8" w:space="0" w:color="276160" w:themeColor="accent1"/>
          <w:left w:val="single" w:sz="8" w:space="0" w:color="276160" w:themeColor="accent1"/>
          <w:bottom w:val="single" w:sz="8" w:space="0" w:color="276160" w:themeColor="accent1"/>
          <w:right w:val="single" w:sz="8" w:space="0" w:color="276160" w:themeColor="accent1"/>
          <w:insideH w:val="single" w:sz="8" w:space="0" w:color="276160" w:themeColor="accent1"/>
          <w:insideV w:val="single" w:sz="8" w:space="0" w:color="276160" w:themeColor="accent1"/>
          <w:tl2br w:val="nil"/>
          <w:tr2bl w:val="nil"/>
        </w:tcBorders>
        <w:shd w:val="clear" w:color="auto" w:fill="00E0C5"/>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276160" w:themeColor="accent1"/>
      <w:u w:val="dotted" w:color="276160" w:themeColor="accent1"/>
    </w:rPr>
  </w:style>
  <w:style w:type="character" w:styleId="CommentReference">
    <w:name w:val="annotation reference"/>
    <w:basedOn w:val="DefaultParagraphFont"/>
    <w:uiPriority w:val="99"/>
    <w:semiHidden/>
    <w:rsid w:val="00EC7005"/>
    <w:rPr>
      <w:sz w:val="16"/>
      <w:szCs w:val="16"/>
    </w:rPr>
  </w:style>
  <w:style w:type="paragraph" w:styleId="CommentText">
    <w:name w:val="annotation text"/>
    <w:basedOn w:val="Normal"/>
    <w:link w:val="CommentTextChar"/>
    <w:uiPriority w:val="99"/>
    <w:rsid w:val="00EC7005"/>
    <w:pPr>
      <w:spacing w:line="240" w:lineRule="auto"/>
    </w:pPr>
    <w:rPr>
      <w:sz w:val="20"/>
      <w:szCs w:val="20"/>
    </w:rPr>
  </w:style>
  <w:style w:type="character" w:customStyle="1" w:styleId="CommentTextChar">
    <w:name w:val="Comment Text Char"/>
    <w:basedOn w:val="DefaultParagraphFont"/>
    <w:link w:val="CommentText"/>
    <w:uiPriority w:val="99"/>
    <w:rsid w:val="00EC7005"/>
    <w:rPr>
      <w:kern w:val="2"/>
      <w:sz w:val="20"/>
      <w:szCs w:val="20"/>
      <w14:ligatures w14:val="standardContextual"/>
    </w:rPr>
  </w:style>
  <w:style w:type="character" w:styleId="Mention">
    <w:name w:val="Mention"/>
    <w:basedOn w:val="DefaultParagraphFont"/>
    <w:uiPriority w:val="99"/>
    <w:rsid w:val="00EC7005"/>
    <w:rPr>
      <w:color w:val="2B579A"/>
      <w:shd w:val="clear" w:color="auto" w:fill="E1DFDD"/>
    </w:rPr>
  </w:style>
  <w:style w:type="character" w:customStyle="1" w:styleId="ui-provider">
    <w:name w:val="ui-provider"/>
    <w:basedOn w:val="DefaultParagraphFont"/>
    <w:rsid w:val="006A334D"/>
  </w:style>
  <w:style w:type="paragraph" w:styleId="CommentSubject">
    <w:name w:val="annotation subject"/>
    <w:basedOn w:val="CommentText"/>
    <w:next w:val="CommentText"/>
    <w:link w:val="CommentSubjectChar"/>
    <w:uiPriority w:val="99"/>
    <w:semiHidden/>
    <w:rsid w:val="005E7735"/>
    <w:rPr>
      <w:b/>
      <w:bCs/>
    </w:rPr>
  </w:style>
  <w:style w:type="character" w:customStyle="1" w:styleId="CommentSubjectChar">
    <w:name w:val="Comment Subject Char"/>
    <w:basedOn w:val="CommentTextChar"/>
    <w:link w:val="CommentSubject"/>
    <w:uiPriority w:val="99"/>
    <w:semiHidden/>
    <w:rsid w:val="005E7735"/>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legal-aid-agency-audits" TargetMode="External"/><Relationship Id="rId18" Type="http://schemas.openxmlformats.org/officeDocument/2006/relationships/hyperlink" Target="https://www.gov.uk/government/publications/standard-crime-contract-2025" TargetMode="External"/><Relationship Id="rId26" Type="http://schemas.openxmlformats.org/officeDocument/2006/relationships/hyperlink" Target="https://legalaidlearning.justice.gov.uk/crime-contracts-2025/" TargetMode="External"/><Relationship Id="rId39" Type="http://schemas.openxmlformats.org/officeDocument/2006/relationships/fontTable" Target="fontTable.xml"/><Relationship Id="rId21" Type="http://schemas.openxmlformats.org/officeDocument/2006/relationships/hyperlink" Target="https://www.gov.uk/government/publications/standard-crime-contract-2025"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standard-crime-contract-2025" TargetMode="External"/><Relationship Id="rId25" Type="http://schemas.openxmlformats.org/officeDocument/2006/relationships/hyperlink" Target="https://www.gov.uk/guidance/legal-aid-agency-quality-standard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ov.uk/government/publications/standard-crime-contract-2025" TargetMode="External"/><Relationship Id="rId20" Type="http://schemas.openxmlformats.org/officeDocument/2006/relationships/hyperlink" Target="https://www.gov.uk/government/publications/standard-civil-contract-2024" TargetMode="External"/><Relationship Id="rId29" Type="http://schemas.openxmlformats.org/officeDocument/2006/relationships/hyperlink" Target="https://www.gov.uk/government/publications/standard-crime-contract-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submit-a-bulk-claim-sabc" TargetMode="External"/><Relationship Id="rId32" Type="http://schemas.openxmlformats.org/officeDocument/2006/relationships/hyperlink" Target="https://nationalarchives.gov.uk/doc/open-government-licence/version/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tandard-crime-contract-2025" TargetMode="External"/><Relationship Id="rId23" Type="http://schemas.openxmlformats.org/officeDocument/2006/relationships/hyperlink" Target="https://www.gov.uk/government/publications/standard-crime-contract-2025" TargetMode="External"/><Relationship Id="rId28" Type="http://schemas.openxmlformats.org/officeDocument/2006/relationships/hyperlink" Target="https://legalaidlearning.justice.gov.uk/crime/"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standard-crime-contract-2025"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rime-contract-2025-tender" TargetMode="External"/><Relationship Id="rId22" Type="http://schemas.openxmlformats.org/officeDocument/2006/relationships/hyperlink" Target="https://www.gov.uk/government/publications/standard-crime-contract-2025" TargetMode="External"/><Relationship Id="rId27" Type="http://schemas.openxmlformats.org/officeDocument/2006/relationships/hyperlink" Target="https://www.gov.uk/guidance/legal-aid-agency-cyber-security-incident"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jq65q\Downloads\laa-word-template-teal-without-cover-page%20(1).dotx" TargetMode="External"/></Relationships>
</file>

<file path=word/theme/theme1.xml><?xml version="1.0" encoding="utf-8"?>
<a:theme xmlns:a="http://schemas.openxmlformats.org/drawingml/2006/main" name="Office Theme">
  <a:themeElements>
    <a:clrScheme name="Legal Aid Agency - teal">
      <a:dk1>
        <a:sysClr val="windowText" lastClr="000000"/>
      </a:dk1>
      <a:lt1>
        <a:sysClr val="window" lastClr="FFFFFF"/>
      </a:lt1>
      <a:dk2>
        <a:srgbClr val="000000"/>
      </a:dk2>
      <a:lt2>
        <a:srgbClr val="FFFFFF"/>
      </a:lt2>
      <a:accent1>
        <a:srgbClr val="276160"/>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ff423a-c6d6-43d4-a310-ad7749d2149d"/>
    <lcf76f155ced4ddcb4097134ff3c332f xmlns="36e1edd4-7d17-4d57-9663-9ce4c188a2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506B6B9618F74E8C06D11EFDD53444" ma:contentTypeVersion="16" ma:contentTypeDescription="Create a new document." ma:contentTypeScope="" ma:versionID="e0d9037aa89a12cacde4212a91f915fe">
  <xsd:schema xmlns:xsd="http://www.w3.org/2001/XMLSchema" xmlns:xs="http://www.w3.org/2001/XMLSchema" xmlns:p="http://schemas.microsoft.com/office/2006/metadata/properties" xmlns:ns2="36e1edd4-7d17-4d57-9663-9ce4c188a227" xmlns:ns3="c8ff423a-c6d6-43d4-a310-ad7749d2149d" targetNamespace="http://schemas.microsoft.com/office/2006/metadata/properties" ma:root="true" ma:fieldsID="b57b1aa4d1b181ff3c168c5685222416" ns2:_="" ns3:_="">
    <xsd:import namespace="36e1edd4-7d17-4d57-9663-9ce4c188a227"/>
    <xsd:import namespace="c8ff423a-c6d6-43d4-a310-ad7749d214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1edd4-7d17-4d57-9663-9ce4c188a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ff423a-c6d6-43d4-a310-ad7749d21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908cb34-1132-4eae-8895-a85bbd487e7e}" ma:internalName="TaxCatchAll" ma:showField="CatchAllData" ma:web="c8ff423a-c6d6-43d4-a310-ad7749d214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8661E-0274-4793-A7F4-41AD1C2CE520}">
  <ds:schemaRefs>
    <ds:schemaRef ds:uri="http://schemas.microsoft.com/office/2006/metadata/properties"/>
    <ds:schemaRef ds:uri="http://schemas.microsoft.com/office/infopath/2007/PartnerControls"/>
    <ds:schemaRef ds:uri="c8ff423a-c6d6-43d4-a310-ad7749d2149d"/>
    <ds:schemaRef ds:uri="36e1edd4-7d17-4d57-9663-9ce4c188a227"/>
  </ds:schemaRefs>
</ds:datastoreItem>
</file>

<file path=customXml/itemProps2.xml><?xml version="1.0" encoding="utf-8"?>
<ds:datastoreItem xmlns:ds="http://schemas.openxmlformats.org/officeDocument/2006/customXml" ds:itemID="{4B51B9BF-258C-4945-AEA9-6C5A3C811DFC}">
  <ds:schemaRefs>
    <ds:schemaRef ds:uri="http://schemas.microsoft.com/sharepoint/v3/contenttype/forms"/>
  </ds:schemaRefs>
</ds:datastoreItem>
</file>

<file path=customXml/itemProps3.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customXml/itemProps4.xml><?xml version="1.0" encoding="utf-8"?>
<ds:datastoreItem xmlns:ds="http://schemas.openxmlformats.org/officeDocument/2006/customXml" ds:itemID="{A879B814-93FD-4396-A8FA-9CE749E3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1edd4-7d17-4d57-9663-9ce4c188a227"/>
    <ds:schemaRef ds:uri="c8ff423a-c6d6-43d4-a310-ad7749d21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laa-word-template-teal-without-cover-page (1)</Template>
  <TotalTime>85</TotalTime>
  <Pages>20</Pages>
  <Words>4214</Words>
  <Characters>22044</Characters>
  <Application>Microsoft Office Word</Application>
  <DocSecurity>0</DocSecurity>
  <Lines>787</Lines>
  <Paragraphs>230</Paragraphs>
  <ScaleCrop>false</ScaleCrop>
  <Manager>Legal Aid Agency</Manager>
  <Company>Legal Aid Agency</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Goddard, Tammy</dc:creator>
  <cp:keywords>[Key words separated by commas]</cp:keywords>
  <dc:description/>
  <cp:lastModifiedBy>Goddard, Tammy | She/Hers</cp:lastModifiedBy>
  <cp:revision>32</cp:revision>
  <dcterms:created xsi:type="dcterms:W3CDTF">2025-11-13T09:10:00Z</dcterms:created>
  <dcterms:modified xsi:type="dcterms:W3CDTF">2025-11-13T10:47:00Z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5228dc42,78d65d77,fdde313,4a71389a,5760548e,76712d65</vt:lpwstr>
  </property>
  <property fmtid="{D5CDD505-2E9C-101B-9397-08002B2CF9AE}" pid="3" name="ClassificationContentMarkingHeaderFontProps">
    <vt:lpwstr>#000000,12,Calibri</vt:lpwstr>
  </property>
  <property fmtid="{D5CDD505-2E9C-101B-9397-08002B2CF9AE}" pid="4" name="ClassificationContentMarkingHeaderText">
    <vt:lpwstr>OFFICIAL - FOR PUBLIC RELEASE</vt:lpwstr>
  </property>
  <property fmtid="{D5CDD505-2E9C-101B-9397-08002B2CF9AE}" pid="5" name="ClassificationContentMarkingFooterShapeIds">
    <vt:lpwstr>125b3232,21caeb4d,3c383b88,b581e39,68bebc64,7e73401</vt:lpwstr>
  </property>
  <property fmtid="{D5CDD505-2E9C-101B-9397-08002B2CF9AE}" pid="6" name="ClassificationContentMarkingFooterFontProps">
    <vt:lpwstr>#000000,12,Calibri</vt:lpwstr>
  </property>
  <property fmtid="{D5CDD505-2E9C-101B-9397-08002B2CF9AE}" pid="7" name="ClassificationContentMarkingFooterText">
    <vt:lpwstr>OFFICIAL - FOR PUBLIC RELEASE</vt:lpwstr>
  </property>
  <property fmtid="{D5CDD505-2E9C-101B-9397-08002B2CF9AE}" pid="8" name="MSIP_Label_15b734f1-cb36-428c-8453-d227e30ff63d_Enabled">
    <vt:lpwstr>true</vt:lpwstr>
  </property>
  <property fmtid="{D5CDD505-2E9C-101B-9397-08002B2CF9AE}" pid="9" name="MSIP_Label_15b734f1-cb36-428c-8453-d227e30ff63d_SetDate">
    <vt:lpwstr>2024-11-06T17:19:31Z</vt:lpwstr>
  </property>
  <property fmtid="{D5CDD505-2E9C-101B-9397-08002B2CF9AE}" pid="10" name="MSIP_Label_15b734f1-cb36-428c-8453-d227e30ff63d_Method">
    <vt:lpwstr>Privileged</vt:lpwstr>
  </property>
  <property fmtid="{D5CDD505-2E9C-101B-9397-08002B2CF9AE}" pid="11" name="MSIP_Label_15b734f1-cb36-428c-8453-d227e30ff63d_Name">
    <vt:lpwstr>OFFICIAL - FOR PUBLIC RELEASE</vt:lpwstr>
  </property>
  <property fmtid="{D5CDD505-2E9C-101B-9397-08002B2CF9AE}" pid="12" name="MSIP_Label_15b734f1-cb36-428c-8453-d227e30ff63d_SiteId">
    <vt:lpwstr>c6874728-71e6-41fe-a9e1-2e8c36776ad8</vt:lpwstr>
  </property>
  <property fmtid="{D5CDD505-2E9C-101B-9397-08002B2CF9AE}" pid="13" name="MSIP_Label_15b734f1-cb36-428c-8453-d227e30ff63d_ActionId">
    <vt:lpwstr>d591eca7-cb3f-4cc7-aaeb-f1a73123b386</vt:lpwstr>
  </property>
  <property fmtid="{D5CDD505-2E9C-101B-9397-08002B2CF9AE}" pid="14" name="MSIP_Label_15b734f1-cb36-428c-8453-d227e30ff63d_ContentBits">
    <vt:lpwstr>3</vt:lpwstr>
  </property>
  <property fmtid="{D5CDD505-2E9C-101B-9397-08002B2CF9AE}" pid="15" name="ContentTypeId">
    <vt:lpwstr>0x01010023506B6B9618F74E8C06D11EFDD53444</vt:lpwstr>
  </property>
  <property fmtid="{D5CDD505-2E9C-101B-9397-08002B2CF9AE}" pid="16" name="MediaServiceImageTags">
    <vt:lpwstr/>
  </property>
</Properties>
</file>