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40" w:rsidP="00A11EF8" w:rsidRDefault="00B21E40" w14:paraId="7817F1A7" w14:textId="7DAB5394"/>
    <w:p w:rsidR="00DD0317" w:rsidP="00A11EF8" w:rsidRDefault="00DD0317" w14:paraId="30B23F64" w14:textId="7CDED3EF"/>
    <w:p w:rsidR="00DD0317" w:rsidP="00A11EF8" w:rsidRDefault="00DD0317" w14:paraId="0B757B1A" w14:textId="1E3BE40D"/>
    <w:p w:rsidR="00DD0317" w:rsidP="00A11EF8" w:rsidRDefault="00DD0317" w14:paraId="7AA89B8A" w14:textId="3163EEA7"/>
    <w:p w:rsidR="0044659B" w:rsidP="00A11EF8" w:rsidRDefault="008A344F" w14:paraId="71C93900" w14:textId="52978842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 xml:space="preserve">Immigration </w:t>
      </w:r>
      <w:r w:rsidR="002401E2">
        <w:rPr>
          <w:sz w:val="72"/>
          <w:szCs w:val="72"/>
        </w:rPr>
        <w:t>and</w:t>
      </w:r>
      <w:r w:rsidRPr="008A344F">
        <w:rPr>
          <w:sz w:val="72"/>
          <w:szCs w:val="72"/>
        </w:rPr>
        <w:t xml:space="preserve"> Asylum Key</w:t>
      </w:r>
      <w:r w:rsidR="00FB3E6A">
        <w:rPr>
          <w:sz w:val="72"/>
          <w:szCs w:val="72"/>
        </w:rPr>
        <w:t xml:space="preserve"> </w:t>
      </w:r>
      <w:r w:rsidRPr="008A344F">
        <w:rPr>
          <w:sz w:val="72"/>
          <w:szCs w:val="72"/>
        </w:rPr>
        <w:t xml:space="preserve">card </w:t>
      </w:r>
      <w:r w:rsidR="00703185">
        <w:rPr>
          <w:sz w:val="72"/>
          <w:szCs w:val="72"/>
        </w:rPr>
        <w:t>4</w:t>
      </w:r>
    </w:p>
    <w:p w:rsidR="0044659B" w:rsidP="00A11EF8" w:rsidRDefault="0044659B" w14:paraId="45FDCA62" w14:textId="77777777">
      <w:pPr>
        <w:pStyle w:val="Heading1"/>
        <w:jc w:val="center"/>
        <w:rPr>
          <w:sz w:val="72"/>
          <w:szCs w:val="72"/>
        </w:rPr>
      </w:pPr>
    </w:p>
    <w:p w:rsidRPr="008A344F" w:rsidR="008A344F" w:rsidP="00A11EF8" w:rsidRDefault="00703185" w14:paraId="0F73989A" w14:textId="252C3490">
      <w:pPr>
        <w:pStyle w:val="Heading1"/>
        <w:jc w:val="center"/>
        <w:rPr>
          <w:sz w:val="72"/>
          <w:szCs w:val="72"/>
        </w:rPr>
      </w:pPr>
      <w:r w:rsidRPr="10C9FC00" w:rsidR="00703185">
        <w:rPr>
          <w:sz w:val="72"/>
          <w:szCs w:val="72"/>
        </w:rPr>
        <w:t>CLR</w:t>
      </w:r>
      <w:r w:rsidRPr="10C9FC00" w:rsidR="00E00F94">
        <w:rPr>
          <w:sz w:val="72"/>
          <w:szCs w:val="72"/>
        </w:rPr>
        <w:t xml:space="preserve"> </w:t>
      </w:r>
      <w:r w:rsidRPr="10C9FC00" w:rsidR="00B62D22">
        <w:rPr>
          <w:sz w:val="72"/>
          <w:szCs w:val="72"/>
        </w:rPr>
        <w:t xml:space="preserve">and Legal Help </w:t>
      </w:r>
      <w:r w:rsidRPr="10C9FC00" w:rsidR="009D3D94">
        <w:rPr>
          <w:sz w:val="72"/>
          <w:szCs w:val="72"/>
        </w:rPr>
        <w:t xml:space="preserve">2018 </w:t>
      </w:r>
      <w:r w:rsidRPr="10C9FC00" w:rsidR="009D3D94">
        <w:rPr>
          <w:sz w:val="72"/>
          <w:szCs w:val="72"/>
        </w:rPr>
        <w:t xml:space="preserve">Standard Civil </w:t>
      </w:r>
      <w:r w:rsidRPr="10C9FC00" w:rsidR="006D33F6">
        <w:rPr>
          <w:sz w:val="72"/>
          <w:szCs w:val="72"/>
        </w:rPr>
        <w:t xml:space="preserve">Contract </w:t>
      </w:r>
      <w:r w:rsidRPr="10C9FC00" w:rsidR="000C3AE1">
        <w:rPr>
          <w:sz w:val="72"/>
          <w:szCs w:val="72"/>
        </w:rPr>
        <w:t>Changes</w:t>
      </w:r>
    </w:p>
    <w:p w:rsidR="00E03B88" w:rsidP="00A11EF8" w:rsidRDefault="00E03B88" w14:paraId="461A02C4" w14:textId="77777777"/>
    <w:p w:rsidR="0044659B" w:rsidP="00A11EF8" w:rsidRDefault="0044659B" w14:paraId="14CB695A" w14:textId="5A956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60F24" w:rsidTr="4DA48707" w14:paraId="74AAF4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5" w:type="dxa"/>
            <w:tcMar/>
          </w:tcPr>
          <w:p w:rsidR="00460F24" w:rsidP="001B0E02" w:rsidRDefault="00460F24" w14:paraId="08CAF4F9" w14:textId="77777777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  <w:tcMar/>
          </w:tcPr>
          <w:p w:rsidR="00460F24" w:rsidP="001B0E02" w:rsidRDefault="00460F24" w14:paraId="6D24BCE9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  <w:tcMar/>
          </w:tcPr>
          <w:p w:rsidR="00460F24" w:rsidP="001B0E02" w:rsidRDefault="00460F24" w14:paraId="35702949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  <w:tcMar/>
          </w:tcPr>
          <w:p w:rsidR="00460F24" w:rsidP="001B0E02" w:rsidRDefault="00460F24" w14:paraId="2AECAC10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  <w:tcMar/>
          </w:tcPr>
          <w:p w:rsidR="00460F24" w:rsidP="001B0E02" w:rsidRDefault="00460F24" w14:paraId="5491B3C8" w14:textId="7777777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460F24" w:rsidTr="4DA48707" w14:paraId="686C021C" w14:textId="77777777">
        <w:tc>
          <w:tcPr>
            <w:tcW w:w="1925" w:type="dxa"/>
            <w:tcMar/>
          </w:tcPr>
          <w:p w:rsidR="00460F24" w:rsidP="001B0E02" w:rsidRDefault="00460F24" w14:paraId="5D82BF79" w14:textId="77777777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  <w:tcMar/>
          </w:tcPr>
          <w:p w:rsidRPr="0092721D" w:rsidR="00460F24" w:rsidP="001B0E02" w:rsidRDefault="00460F24" w14:paraId="7BF87891" w14:textId="46DD4545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914F7B">
              <w:t>7</w:t>
            </w:r>
            <w:r>
              <w:t>/2024</w:t>
            </w:r>
          </w:p>
        </w:tc>
        <w:tc>
          <w:tcPr>
            <w:tcW w:w="1926" w:type="dxa"/>
            <w:tcMar/>
          </w:tcPr>
          <w:p w:rsidRPr="0092721D" w:rsidR="00460F24" w:rsidP="001B0E02" w:rsidRDefault="00460F24" w14:paraId="06365D4C" w14:textId="5FDDE22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914F7B">
              <w:t>7</w:t>
            </w:r>
            <w:r>
              <w:t>/2024</w:t>
            </w:r>
          </w:p>
        </w:tc>
        <w:tc>
          <w:tcPr>
            <w:tcW w:w="1926" w:type="dxa"/>
            <w:tcMar/>
          </w:tcPr>
          <w:p w:rsidR="00460F24" w:rsidP="001B0E02" w:rsidRDefault="00460F24" w14:paraId="6EA5E195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  <w:tcMar/>
          </w:tcPr>
          <w:p w:rsidR="00460F24" w:rsidP="001B0E02" w:rsidRDefault="00460F24" w14:paraId="6CCBFB13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28A661EE" w:rsidTr="4DA48707" w14:paraId="418DCA07" w14:textId="77777777">
        <w:trPr>
          <w:trHeight w:val="300"/>
        </w:trPr>
        <w:tc>
          <w:tcPr>
            <w:tcW w:w="1925" w:type="dxa"/>
            <w:tcMar/>
          </w:tcPr>
          <w:p w:rsidR="1599302B" w:rsidP="28A661EE" w:rsidRDefault="1599302B" w14:paraId="34003EAD" w14:textId="78A32B6B">
            <w:pPr>
              <w:pStyle w:val="BodyText"/>
            </w:pPr>
            <w:r>
              <w:t>2.0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5" w:type="dxa"/>
            <w:tcMar/>
          </w:tcPr>
          <w:p w:rsidR="1599302B" w:rsidP="28A661EE" w:rsidRDefault="1599302B" w14:paraId="046267F9" w14:textId="5A8816A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964E1A3">
              <w:rPr/>
              <w:t>09/03</w:t>
            </w:r>
            <w:r w:rsidR="70ED46E7">
              <w:rPr/>
              <w:t>/2026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26" w:type="dxa"/>
            <w:tcMar/>
          </w:tcPr>
          <w:p w:rsidR="1599302B" w:rsidP="28A661EE" w:rsidRDefault="1599302B" w14:paraId="7526047A" w14:textId="668E05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5B0F0A58">
              <w:rPr/>
              <w:t>06/03</w:t>
            </w:r>
            <w:r w:rsidR="70ED46E7">
              <w:rPr/>
              <w:t>/2026</w:t>
            </w:r>
          </w:p>
        </w:tc>
        <w:tc>
          <w:tcPr>
            <w:tcW w:w="1926" w:type="dxa"/>
            <w:tcMar/>
          </w:tcPr>
          <w:p w:rsidR="1599302B" w:rsidP="28A661EE" w:rsidRDefault="1599302B" w14:paraId="60BF8D43" w14:textId="7777777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  <w:p w:rsidR="28A661EE" w:rsidP="28A661EE" w:rsidRDefault="28A661EE" w14:paraId="79263BB2" w14:textId="0CC0AA9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  <w:tcMar/>
          </w:tcPr>
          <w:p w:rsidR="1599302B" w:rsidP="28A661EE" w:rsidRDefault="1599302B" w14:paraId="45672A81" w14:textId="657FF21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CMA</w:t>
            </w:r>
          </w:p>
        </w:tc>
      </w:tr>
    </w:tbl>
    <w:p w:rsidR="00460F24" w:rsidP="00A11EF8" w:rsidRDefault="00460F24" w14:paraId="7AED9DC8" w14:textId="77777777"/>
    <w:p w:rsidR="0044659B" w:rsidP="00A11EF8" w:rsidRDefault="0044659B" w14:paraId="30444FE3" w14:textId="47B987CA"/>
    <w:p w:rsidR="00030B10" w:rsidP="00030B10" w:rsidRDefault="00030B10" w14:paraId="51ED3B42" w14:textId="77777777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:rsidR="00030B10" w:rsidP="00030B10" w:rsidRDefault="00030B10" w14:paraId="15073416" w14:textId="2966D4AD">
      <w:pPr>
        <w:pStyle w:val="BodyText"/>
      </w:pPr>
      <w:r>
        <w:t>This Key</w:t>
      </w:r>
      <w:r w:rsidR="00FB3E6A">
        <w:t xml:space="preserve"> </w:t>
      </w:r>
      <w:r>
        <w:t xml:space="preserve">card is designed to bring together the key information from existing regulations, Contract terms or guidance, on this topic and act as </w:t>
      </w:r>
      <w:r w:rsidR="00381E23">
        <w:t xml:space="preserve">an </w:t>
      </w:r>
      <w:r w:rsidRPr="00347041">
        <w:t>assistance tool to highlight and explain specific elements</w:t>
      </w:r>
      <w:r>
        <w:t>.</w:t>
      </w:r>
    </w:p>
    <w:p w:rsidR="00030B10" w:rsidP="00030B10" w:rsidRDefault="00030B10" w14:paraId="5065F30D" w14:textId="77777777">
      <w:pPr>
        <w:pStyle w:val="BodyText"/>
      </w:pPr>
      <w:r>
        <w:t>This document does not replace the need for providers to be aware and adhere to the underlying regulations, Contract terms or guidance.</w:t>
      </w:r>
    </w:p>
    <w:p w:rsidRPr="00C14053" w:rsidR="00487C88" w:rsidP="00A11EF8" w:rsidRDefault="00487C88" w14:paraId="5ADDA329" w14:textId="73CA8590">
      <w:pPr>
        <w:pStyle w:val="Heading1"/>
        <w:rPr>
          <w:sz w:val="32"/>
        </w:rPr>
      </w:pPr>
      <w:r>
        <w:rPr>
          <w:sz w:val="32"/>
        </w:rPr>
        <w:t>Controlled Legal Representation (CLR)</w:t>
      </w:r>
    </w:p>
    <w:p w:rsidRPr="008E5D45" w:rsidR="008E5D45" w:rsidP="00A11EF8" w:rsidRDefault="008E5D45" w14:paraId="477D600C" w14:textId="60006D91">
      <w:pPr>
        <w:pStyle w:val="BodyText"/>
        <w:rPr>
          <w:b/>
          <w:bCs/>
        </w:rPr>
      </w:pPr>
      <w:r w:rsidRPr="008E5D45">
        <w:rPr>
          <w:b/>
          <w:bCs/>
        </w:rPr>
        <w:t>Background</w:t>
      </w:r>
    </w:p>
    <w:p w:rsidR="00435257" w:rsidP="00A11EF8" w:rsidRDefault="00435257" w14:paraId="1BB42FD0" w14:textId="5CE25E76">
      <w:pPr>
        <w:pStyle w:val="BodyText"/>
      </w:pPr>
      <w:r>
        <w:t xml:space="preserve">Changes </w:t>
      </w:r>
      <w:r w:rsidR="00CC6AC7">
        <w:t>were</w:t>
      </w:r>
      <w:r>
        <w:t xml:space="preserve"> made </w:t>
      </w:r>
      <w:r w:rsidR="00CC6AC7">
        <w:t xml:space="preserve">in April 2023 </w:t>
      </w:r>
      <w:r>
        <w:t xml:space="preserve">to the </w:t>
      </w:r>
      <w:r w:rsidR="003E7B35">
        <w:t xml:space="preserve">claiming </w:t>
      </w:r>
      <w:r>
        <w:t xml:space="preserve">relationship between </w:t>
      </w:r>
      <w:r w:rsidR="006671AA">
        <w:t>Legal Help (</w:t>
      </w:r>
      <w:r>
        <w:t>LH</w:t>
      </w:r>
      <w:r w:rsidR="006671AA">
        <w:t>)</w:t>
      </w:r>
      <w:r>
        <w:t xml:space="preserve"> and subsequent CLR </w:t>
      </w:r>
      <w:r w:rsidR="003E7B35">
        <w:t>matters for the same client</w:t>
      </w:r>
      <w:r w:rsidR="00E1611F">
        <w:t xml:space="preserve"> and </w:t>
      </w:r>
      <w:r w:rsidR="003F53CC">
        <w:t>to the escaped cases thresholds for both LH and CLR.</w:t>
      </w:r>
    </w:p>
    <w:p w:rsidR="00AF3C99" w:rsidP="00A11EF8" w:rsidRDefault="00AF3C99" w14:paraId="0F2C0B42" w14:textId="6BACC8E1">
      <w:pPr>
        <w:pStyle w:val="BodyText"/>
      </w:pPr>
      <w:r>
        <w:t xml:space="preserve">New </w:t>
      </w:r>
      <w:r w:rsidR="00E904B6">
        <w:t xml:space="preserve">Standard Fee rates </w:t>
      </w:r>
      <w:r w:rsidR="00CC6AC7">
        <w:t xml:space="preserve">were </w:t>
      </w:r>
      <w:r w:rsidR="00E904B6">
        <w:t xml:space="preserve">also introduced to replace the interim hourly rates and </w:t>
      </w:r>
      <w:r w:rsidR="00A316E0">
        <w:t>Stage 2c rates for Online Appeal Procedure cases.</w:t>
      </w:r>
    </w:p>
    <w:p w:rsidR="003D7182" w:rsidP="00A11EF8" w:rsidRDefault="00D433FF" w14:paraId="3561FA7B" w14:textId="2E348647">
      <w:pPr>
        <w:pStyle w:val="BodyText"/>
      </w:pPr>
      <w:r>
        <w:t xml:space="preserve">All </w:t>
      </w:r>
      <w:r w:rsidR="00910ADF">
        <w:t>appeal</w:t>
      </w:r>
      <w:r w:rsidR="00562497">
        <w:t>s</w:t>
      </w:r>
      <w:r w:rsidR="00910ADF">
        <w:t xml:space="preserve"> to the</w:t>
      </w:r>
      <w:r w:rsidR="00562497">
        <w:t xml:space="preserve"> First Tier Tribunal</w:t>
      </w:r>
      <w:r w:rsidR="00910ADF">
        <w:t xml:space="preserve"> </w:t>
      </w:r>
      <w:r w:rsidR="00562497">
        <w:t>(</w:t>
      </w:r>
      <w:r w:rsidR="00910ADF">
        <w:t>FTT</w:t>
      </w:r>
      <w:r w:rsidR="00562497">
        <w:t>)</w:t>
      </w:r>
      <w:r w:rsidR="00910ADF">
        <w:t xml:space="preserve"> </w:t>
      </w:r>
      <w:r>
        <w:t xml:space="preserve">CLR cases from 1 April 2023 </w:t>
      </w:r>
      <w:r w:rsidR="00CC6AC7">
        <w:t>are</w:t>
      </w:r>
      <w:r>
        <w:t xml:space="preserve"> claimed under one of two new Standard Fee Scheme rates, replacing the Interim Online Appeals Hourly Rate. </w:t>
      </w:r>
    </w:p>
    <w:p w:rsidRPr="00241B7A" w:rsidR="00435257" w:rsidP="00A11EF8" w:rsidRDefault="00241B7A" w14:paraId="57CDDE13" w14:textId="61EFD8C6">
      <w:pPr>
        <w:pStyle w:val="BodyText"/>
        <w:rPr>
          <w:b w:val="1"/>
          <w:bCs w:val="1"/>
        </w:rPr>
      </w:pPr>
      <w:r w:rsidRPr="10C9FC00" w:rsidR="00241B7A">
        <w:rPr>
          <w:b w:val="1"/>
          <w:bCs w:val="1"/>
        </w:rPr>
        <w:t>Changes</w:t>
      </w:r>
    </w:p>
    <w:p w:rsidR="00E067D7" w:rsidP="00A11EF8" w:rsidRDefault="00E067D7" w14:paraId="7D4EC625" w14:textId="07AF41FA">
      <w:pPr>
        <w:pStyle w:val="BodyText"/>
        <w:numPr>
          <w:ilvl w:val="0"/>
          <w:numId w:val="22"/>
        </w:numPr>
      </w:pPr>
      <w:r>
        <w:t xml:space="preserve">From </w:t>
      </w:r>
      <w:r w:rsidR="00FB3E6A">
        <w:t>1</w:t>
      </w:r>
      <w:r>
        <w:t xml:space="preserve"> April 2023 </w:t>
      </w:r>
      <w:r w:rsidR="00D6590D">
        <w:t xml:space="preserve">the CLR stage of any case </w:t>
      </w:r>
      <w:r w:rsidR="001B0247">
        <w:t>is</w:t>
      </w:r>
      <w:r w:rsidR="00D6590D">
        <w:t xml:space="preserve"> considered a separate matter</w:t>
      </w:r>
      <w:r w:rsidR="00BF5495">
        <w:t xml:space="preserve"> and </w:t>
      </w:r>
      <w:r w:rsidR="004C5CFE">
        <w:t xml:space="preserve">is </w:t>
      </w:r>
      <w:r w:rsidR="00BF5495">
        <w:t>not required to have the same U</w:t>
      </w:r>
      <w:r w:rsidR="00A92D7C">
        <w:t>FN as the associated Legal Help (LH) matter.</w:t>
      </w:r>
    </w:p>
    <w:p w:rsidR="002F6AA3" w:rsidP="00A11EF8" w:rsidRDefault="004C56B8" w14:paraId="4418BC02" w14:textId="1A923FEC">
      <w:pPr>
        <w:pStyle w:val="BodyText"/>
        <w:numPr>
          <w:ilvl w:val="0"/>
          <w:numId w:val="22"/>
        </w:numPr>
      </w:pPr>
      <w:r>
        <w:t>From 1</w:t>
      </w:r>
      <w:r w:rsidRPr="28A661EE" w:rsidR="00FB3E6A">
        <w:rPr>
          <w:vertAlign w:val="superscript"/>
        </w:rPr>
        <w:t xml:space="preserve"> </w:t>
      </w:r>
      <w:r>
        <w:t xml:space="preserve">April 2023 </w:t>
      </w:r>
      <w:r w:rsidR="00BB5F5A">
        <w:t xml:space="preserve">all newly opened CLR cases subject to the Standard Fee Scheme (SFS), </w:t>
      </w:r>
      <w:r w:rsidR="004C5CFE">
        <w:t xml:space="preserve">are remunerated using </w:t>
      </w:r>
      <w:r w:rsidR="00FE0E5B">
        <w:t>either 2(d) or 2(e) fee</w:t>
      </w:r>
      <w:r w:rsidR="001B0247">
        <w:t>s</w:t>
      </w:r>
      <w:r w:rsidR="00FE0E5B">
        <w:t>.</w:t>
      </w:r>
    </w:p>
    <w:p w:rsidR="00E67989" w:rsidP="00A11EF8" w:rsidRDefault="00E67989" w14:paraId="00590F0E" w14:textId="6688A3D7">
      <w:pPr>
        <w:pStyle w:val="BodyText"/>
        <w:numPr>
          <w:ilvl w:val="0"/>
          <w:numId w:val="22"/>
        </w:numPr>
      </w:pPr>
      <w:r>
        <w:t xml:space="preserve">These fees were then uplifted </w:t>
      </w:r>
      <w:r w:rsidR="00A60D09">
        <w:t>for applications made on/after 22 December 2025</w:t>
      </w:r>
    </w:p>
    <w:p w:rsidR="0046719F" w:rsidP="00A11EF8" w:rsidRDefault="0046719F" w14:paraId="2B421441" w14:textId="77777777">
      <w:pPr>
        <w:pStyle w:val="BodyText"/>
      </w:pPr>
      <w:r>
        <w:t>The Standard Fees are:</w:t>
      </w:r>
    </w:p>
    <w:p w:rsidR="0046719F" w:rsidP="00A11EF8" w:rsidRDefault="0046719F" w14:paraId="210FD1A4" w14:textId="2B7553CE">
      <w:pPr>
        <w:pStyle w:val="BodyText"/>
        <w:spacing w:after="0" w:line="240" w:lineRule="auto"/>
      </w:pPr>
      <w:r>
        <w:t>2(d) – where there has been no substantive hearing.</w:t>
      </w:r>
    </w:p>
    <w:p w:rsidR="009E07D4" w:rsidP="00A11EF8" w:rsidRDefault="0046719F" w14:paraId="266E7279" w14:textId="4F1CDA48">
      <w:pPr>
        <w:pStyle w:val="BodyText"/>
        <w:spacing w:after="0" w:line="240" w:lineRule="auto"/>
      </w:pPr>
      <w:r>
        <w:t>2(e) – where a substantive hearing has taken place.</w:t>
      </w:r>
    </w:p>
    <w:p w:rsidR="0046719F" w:rsidP="00A11EF8" w:rsidRDefault="0046719F" w14:paraId="7B19E50E" w14:textId="77777777">
      <w:pPr>
        <w:pStyle w:val="BodyText"/>
        <w:spacing w:after="0" w:line="240" w:lineRule="auto"/>
      </w:pPr>
    </w:p>
    <w:p w:rsidR="000C3AE1" w:rsidP="00A11EF8" w:rsidRDefault="005A38F5" w14:paraId="26C6CE1E" w14:textId="02F36B5B">
      <w:pPr>
        <w:pStyle w:val="BodyText"/>
      </w:pPr>
      <w:r>
        <w:t xml:space="preserve">The CLR rates 2(a), 2(b), 2(c) and the interim hourly rates </w:t>
      </w:r>
      <w:r w:rsidR="004C5CFE">
        <w:t xml:space="preserve">are </w:t>
      </w:r>
      <w:r w:rsidR="00596034">
        <w:t>no longer applicable for any CLR matters with a grant date on or after 1 April 2023.</w:t>
      </w:r>
    </w:p>
    <w:p w:rsidR="00A736F4" w:rsidP="00A11EF8" w:rsidRDefault="00A736F4" w14:paraId="00D7214D" w14:textId="6940ED41">
      <w:pPr>
        <w:pStyle w:val="BodyText"/>
        <w:numPr>
          <w:ilvl w:val="0"/>
          <w:numId w:val="22"/>
        </w:numPr>
      </w:pPr>
      <w:r>
        <w:t>For any</w:t>
      </w:r>
      <w:r w:rsidR="00E31348">
        <w:t xml:space="preserve"> Asylum &amp; Immigration</w:t>
      </w:r>
      <w:r>
        <w:t xml:space="preserve"> CLR </w:t>
      </w:r>
      <w:r w:rsidR="00940849">
        <w:t xml:space="preserve">standard fee </w:t>
      </w:r>
      <w:r>
        <w:t>matters opened from 1</w:t>
      </w:r>
      <w:r w:rsidRPr="28A661EE" w:rsidR="00FB3E6A">
        <w:rPr>
          <w:vertAlign w:val="superscript"/>
        </w:rPr>
        <w:t xml:space="preserve"> </w:t>
      </w:r>
      <w:r>
        <w:t xml:space="preserve">April 2023 the escape fee threshold </w:t>
      </w:r>
      <w:r w:rsidR="00A67CD0">
        <w:t xml:space="preserve">is </w:t>
      </w:r>
      <w:r>
        <w:t>reduce</w:t>
      </w:r>
      <w:r w:rsidR="00A67CD0">
        <w:t>d</w:t>
      </w:r>
      <w:r>
        <w:t xml:space="preserve"> from 3</w:t>
      </w:r>
      <w:r w:rsidR="00E067D7">
        <w:t>x the standard fee to 2x the standard fee.</w:t>
      </w:r>
      <w:r w:rsidR="00D6590D">
        <w:t xml:space="preserve"> These thresholds </w:t>
      </w:r>
      <w:r w:rsidR="00A67CD0">
        <w:t>are</w:t>
      </w:r>
      <w:r w:rsidR="00D6590D">
        <w:t xml:space="preserve"> calculated </w:t>
      </w:r>
      <w:r w:rsidR="00EC385B">
        <w:t xml:space="preserve">independently of the Legal Help stage as the CLR stage </w:t>
      </w:r>
      <w:r w:rsidR="00A67CD0">
        <w:t xml:space="preserve">is </w:t>
      </w:r>
      <w:r w:rsidR="5E4534BA">
        <w:t>now a</w:t>
      </w:r>
      <w:r w:rsidR="00EC385B">
        <w:t xml:space="preserve"> separate matter.</w:t>
      </w:r>
    </w:p>
    <w:p w:rsidR="009B577A" w:rsidP="28A661EE" w:rsidRDefault="003C7665" w14:paraId="0E48A94D" w14:textId="6A7C41DE">
      <w:pPr>
        <w:pStyle w:val="BodyText"/>
        <w:numPr>
          <w:ilvl w:val="0"/>
          <w:numId w:val="23"/>
        </w:numPr>
        <w:spacing w:after="0" w:line="240" w:lineRule="auto"/>
      </w:pPr>
      <w:r>
        <w:lastRenderedPageBreak/>
        <w:t xml:space="preserve">The </w:t>
      </w:r>
      <w:r w:rsidR="0016093F">
        <w:t xml:space="preserve">CLR Stage and its associated </w:t>
      </w:r>
      <w:r w:rsidR="00480739">
        <w:t>LH</w:t>
      </w:r>
      <w:r w:rsidR="0016093F">
        <w:t xml:space="preserve"> Stage constitute 2 separate matters where EITHER is granted on or after 1 April</w:t>
      </w:r>
      <w:r w:rsidR="001541BC">
        <w:t xml:space="preserve"> 2023</w:t>
      </w:r>
      <w:r w:rsidR="0016093F">
        <w:t xml:space="preserve">. The escape fee threshold </w:t>
      </w:r>
      <w:r w:rsidR="001F5CFF">
        <w:t xml:space="preserve">is </w:t>
      </w:r>
      <w:r w:rsidR="0016093F">
        <w:t>therefore calculated separately for each claim at 2x the Standard Fee so either claim could escape separately, or both could escape.</w:t>
      </w:r>
    </w:p>
    <w:p w:rsidR="00CB10A6" w:rsidP="00A11EF8" w:rsidRDefault="00CB10A6" w14:paraId="34E7D6BA" w14:textId="77777777">
      <w:pPr>
        <w:pStyle w:val="BodyText"/>
        <w:spacing w:after="0" w:line="240" w:lineRule="auto"/>
      </w:pPr>
    </w:p>
    <w:p w:rsidR="00F10468" w:rsidP="00A11EF8" w:rsidRDefault="00077364" w14:paraId="3CDB1774" w14:textId="1AAFDD4B">
      <w:pPr>
        <w:pStyle w:val="BodyText"/>
        <w:numPr>
          <w:ilvl w:val="0"/>
          <w:numId w:val="22"/>
        </w:numPr>
      </w:pPr>
      <w:r>
        <w:t>Any</w:t>
      </w:r>
      <w:r w:rsidR="00F918FD">
        <w:t xml:space="preserve"> CLR </w:t>
      </w:r>
      <w:r>
        <w:t>M</w:t>
      </w:r>
      <w:r w:rsidR="00F918FD">
        <w:t>atter</w:t>
      </w:r>
      <w:r>
        <w:t xml:space="preserve"> Starts</w:t>
      </w:r>
      <w:r w:rsidR="00F918FD">
        <w:t xml:space="preserve"> opened </w:t>
      </w:r>
      <w:r>
        <w:t xml:space="preserve">remotely </w:t>
      </w:r>
      <w:r w:rsidR="002E462A">
        <w:t xml:space="preserve">without a </w:t>
      </w:r>
      <w:r w:rsidR="00FD5F33">
        <w:t>face-to-face</w:t>
      </w:r>
      <w:r w:rsidR="002E462A">
        <w:t xml:space="preserve"> meeting with the </w:t>
      </w:r>
      <w:r w:rsidR="007F360A">
        <w:t>C</w:t>
      </w:r>
      <w:r w:rsidR="002E462A">
        <w:t>lient</w:t>
      </w:r>
      <w:r w:rsidR="00D66D76">
        <w:t xml:space="preserve"> that relate to an existing </w:t>
      </w:r>
      <w:r w:rsidR="007F360A">
        <w:t>C</w:t>
      </w:r>
      <w:r w:rsidR="00D66D76">
        <w:t xml:space="preserve">lient where a matter has </w:t>
      </w:r>
      <w:r w:rsidR="00F10468">
        <w:t xml:space="preserve">already </w:t>
      </w:r>
      <w:r w:rsidR="00D66D76">
        <w:t xml:space="preserve">been opened under LH, </w:t>
      </w:r>
      <w:r>
        <w:t>will</w:t>
      </w:r>
      <w:r w:rsidR="00906AE5">
        <w:t xml:space="preserve"> not count towards the 50</w:t>
      </w:r>
      <w:r w:rsidR="00FB3E6A">
        <w:t xml:space="preserve"> percent</w:t>
      </w:r>
      <w:r w:rsidR="00906AE5">
        <w:t xml:space="preserve"> remote limit</w:t>
      </w:r>
      <w:r>
        <w:t xml:space="preserve"> for Matter Starts</w:t>
      </w:r>
      <w:r w:rsidR="00906AE5">
        <w:t>.</w:t>
      </w:r>
    </w:p>
    <w:p w:rsidR="00AD4521" w:rsidP="00A11EF8" w:rsidRDefault="00CB10A6" w14:paraId="053A409A" w14:textId="529D549C">
      <w:pPr>
        <w:pStyle w:val="BodyText"/>
        <w:rPr>
          <w:b/>
          <w:bCs/>
        </w:rPr>
      </w:pPr>
      <w:r w:rsidRPr="00CB10A6">
        <w:rPr>
          <w:b/>
          <w:bCs/>
        </w:rPr>
        <w:t>Claiming</w:t>
      </w:r>
    </w:p>
    <w:p w:rsidR="003D7182" w:rsidP="00A11EF8" w:rsidRDefault="003D7182" w14:paraId="38B108FA" w14:textId="046A394C">
      <w:pPr>
        <w:pStyle w:val="BodyText"/>
        <w:spacing w:after="0" w:line="240" w:lineRule="auto"/>
      </w:pPr>
      <w:r>
        <w:t xml:space="preserve">CLR </w:t>
      </w:r>
      <w:r w:rsidR="00352198">
        <w:t xml:space="preserve">FTT appeal </w:t>
      </w:r>
      <w:r w:rsidR="00AD37CA">
        <w:t xml:space="preserve">matters opened on/after 1 April 2023 </w:t>
      </w:r>
      <w:r w:rsidR="000C5A1B">
        <w:t xml:space="preserve">are </w:t>
      </w:r>
      <w:r w:rsidR="00AD37CA">
        <w:t xml:space="preserve">to </w:t>
      </w:r>
      <w:r>
        <w:t>be claimed using one of 4 Matter Type1 Codes</w:t>
      </w:r>
      <w:r w:rsidR="00914F7B">
        <w:t>:</w:t>
      </w:r>
    </w:p>
    <w:p w:rsidR="00914F7B" w:rsidP="00A11EF8" w:rsidRDefault="00914F7B" w14:paraId="7008529F" w14:textId="77777777">
      <w:pPr>
        <w:pStyle w:val="BodyText"/>
        <w:spacing w:after="0" w:line="240" w:lineRule="auto"/>
      </w:pPr>
    </w:p>
    <w:p w:rsidRPr="00914F7B" w:rsidR="00856953" w:rsidP="00A11EF8" w:rsidRDefault="00856953" w14:paraId="1684B7AA" w14:textId="77777777">
      <w:pPr>
        <w:pStyle w:val="BodyText"/>
        <w:spacing w:after="0" w:line="240" w:lineRule="auto"/>
        <w:rPr>
          <w:u w:val="single"/>
        </w:rPr>
      </w:pPr>
      <w:r w:rsidRPr="00914F7B">
        <w:rPr>
          <w:u w:val="single"/>
        </w:rPr>
        <w:t>Asylum</w:t>
      </w:r>
    </w:p>
    <w:p w:rsidR="00856953" w:rsidP="00A11EF8" w:rsidRDefault="00856953" w14:paraId="7C86BE1C" w14:textId="77777777">
      <w:pPr>
        <w:pStyle w:val="BodyText"/>
        <w:spacing w:after="0" w:line="240" w:lineRule="auto"/>
      </w:pPr>
      <w:r>
        <w:t>IACE – no substantive hearing</w:t>
      </w:r>
    </w:p>
    <w:p w:rsidR="00856953" w:rsidP="00A11EF8" w:rsidRDefault="00856953" w14:paraId="583831B4" w14:textId="77777777">
      <w:pPr>
        <w:pStyle w:val="BodyText"/>
        <w:spacing w:after="0" w:line="240" w:lineRule="auto"/>
      </w:pPr>
      <w:r>
        <w:t>IACF – substantive hearing</w:t>
      </w:r>
    </w:p>
    <w:p w:rsidR="00856953" w:rsidP="00A11EF8" w:rsidRDefault="00856953" w14:paraId="7ED7B834" w14:textId="77777777">
      <w:pPr>
        <w:pStyle w:val="BodyText"/>
        <w:spacing w:after="0" w:line="240" w:lineRule="auto"/>
      </w:pPr>
    </w:p>
    <w:p w:rsidRPr="00914F7B" w:rsidR="00856953" w:rsidP="00A11EF8" w:rsidRDefault="00856953" w14:paraId="34C29FB9" w14:textId="77777777">
      <w:pPr>
        <w:pStyle w:val="BodyText"/>
        <w:spacing w:after="0" w:line="240" w:lineRule="auto"/>
        <w:rPr>
          <w:u w:val="single"/>
        </w:rPr>
      </w:pPr>
      <w:r w:rsidRPr="00914F7B">
        <w:rPr>
          <w:u w:val="single"/>
        </w:rPr>
        <w:t xml:space="preserve">Immigration </w:t>
      </w:r>
    </w:p>
    <w:p w:rsidR="00856953" w:rsidP="00A11EF8" w:rsidRDefault="00856953" w14:paraId="2976475D" w14:textId="77777777">
      <w:pPr>
        <w:pStyle w:val="BodyText"/>
        <w:spacing w:after="0" w:line="240" w:lineRule="auto"/>
      </w:pPr>
      <w:r>
        <w:t>IMCE – no substantive hearing</w:t>
      </w:r>
    </w:p>
    <w:p w:rsidR="00856953" w:rsidP="00A11EF8" w:rsidRDefault="00856953" w14:paraId="399C7561" w14:textId="77777777">
      <w:pPr>
        <w:pStyle w:val="BodyText"/>
        <w:spacing w:after="0" w:line="240" w:lineRule="auto"/>
      </w:pPr>
      <w:r>
        <w:t xml:space="preserve">IMCF – substantive hearing </w:t>
      </w:r>
    </w:p>
    <w:p w:rsidR="00AD37CA" w:rsidP="00A11EF8" w:rsidRDefault="00AD37CA" w14:paraId="2F153CE6" w14:textId="77777777">
      <w:pPr>
        <w:pStyle w:val="BodyText"/>
        <w:spacing w:after="0" w:line="240" w:lineRule="auto"/>
      </w:pPr>
    </w:p>
    <w:p w:rsidR="00AD37CA" w:rsidP="00A11EF8" w:rsidRDefault="00AD37CA" w14:paraId="65D1BD4C" w14:textId="523FE6F9">
      <w:pPr>
        <w:pStyle w:val="BodyText"/>
        <w:spacing w:after="0" w:line="240" w:lineRule="auto"/>
      </w:pPr>
      <w:r>
        <w:t xml:space="preserve">Where reporting matters in Submit a Bulk Claim (SaBC), the Fee Codes for these claims </w:t>
      </w:r>
      <w:r w:rsidR="00ED218C">
        <w:t xml:space="preserve">will be the same as the Matter Type 1 code e.g. IACE would be both the Fee Code and the Matter Type 1 code for an asylum </w:t>
      </w:r>
      <w:r w:rsidR="0030403D">
        <w:t xml:space="preserve">standard fee appeal which </w:t>
      </w:r>
      <w:r w:rsidR="004C150C">
        <w:t>did not proceed to a substantive hearing.</w:t>
      </w:r>
    </w:p>
    <w:p w:rsidR="003D7182" w:rsidP="00A11EF8" w:rsidRDefault="003D7182" w14:paraId="7AB232D0" w14:textId="77777777">
      <w:pPr>
        <w:pStyle w:val="BodyText"/>
        <w:spacing w:after="0" w:line="240" w:lineRule="auto"/>
      </w:pPr>
    </w:p>
    <w:p w:rsidR="003D7182" w:rsidP="00A11EF8" w:rsidRDefault="003D7182" w14:paraId="21544728" w14:textId="4DCE56F9">
      <w:pPr>
        <w:pStyle w:val="BodyText"/>
        <w:spacing w:after="0" w:line="240" w:lineRule="auto"/>
      </w:pPr>
      <w:r>
        <w:t xml:space="preserve">The </w:t>
      </w:r>
      <w:r w:rsidR="00796C33">
        <w:t>a</w:t>
      </w:r>
      <w:r>
        <w:t xml:space="preserve">ssociated </w:t>
      </w:r>
      <w:r w:rsidR="00F26DC7">
        <w:t>LH</w:t>
      </w:r>
      <w:r>
        <w:t xml:space="preserve"> claim </w:t>
      </w:r>
      <w:r w:rsidRPr="00796C33">
        <w:rPr>
          <w:u w:val="single"/>
        </w:rPr>
        <w:t xml:space="preserve">must </w:t>
      </w:r>
      <w:r>
        <w:t xml:space="preserve">be submitted as a Completed Claim using the Outcome Code IE and can be claimed as soon as this level of work has concluded, irrespective of whether the CLR work has concluded. </w:t>
      </w:r>
    </w:p>
    <w:p w:rsidR="00C04524" w:rsidP="00A11EF8" w:rsidRDefault="00C04524" w14:paraId="0150F7E9" w14:textId="77777777">
      <w:pPr>
        <w:pStyle w:val="BodyText"/>
        <w:spacing w:after="0" w:line="240" w:lineRule="auto"/>
      </w:pPr>
    </w:p>
    <w:p w:rsidR="00CB10A6" w:rsidP="00A11EF8" w:rsidRDefault="7D87663B" w14:paraId="0C502CA6" w14:textId="5C225482">
      <w:pPr>
        <w:pStyle w:val="BodyText"/>
        <w:spacing w:after="0" w:line="240" w:lineRule="auto"/>
      </w:pPr>
      <w:r w:rsidR="7D87663B">
        <w:rPr/>
        <w:t>SaBC</w:t>
      </w:r>
      <w:r w:rsidR="00C04524">
        <w:rPr/>
        <w:t xml:space="preserve"> </w:t>
      </w:r>
      <w:r w:rsidR="00C04524">
        <w:rPr/>
        <w:t>has been automated to calculate the correct escape fee rate depending upon the grant date that has been entered (3x SF prior to 1 April</w:t>
      </w:r>
      <w:r w:rsidR="00F26DC7">
        <w:rPr/>
        <w:t xml:space="preserve"> 2023</w:t>
      </w:r>
      <w:r w:rsidR="00C04524">
        <w:rPr/>
        <w:t xml:space="preserve">, 2x SF from 1 April </w:t>
      </w:r>
      <w:r w:rsidR="003E2304">
        <w:rPr/>
        <w:t xml:space="preserve">2023 </w:t>
      </w:r>
      <w:r w:rsidR="00C04524">
        <w:rPr/>
        <w:t>onwards.)</w:t>
      </w:r>
    </w:p>
    <w:p w:rsidRPr="00CB10A6" w:rsidR="00C04524" w:rsidP="00A11EF8" w:rsidRDefault="00C04524" w14:paraId="63C92235" w14:textId="77777777">
      <w:pPr>
        <w:pStyle w:val="BodyText"/>
        <w:spacing w:after="0" w:line="240" w:lineRule="auto"/>
      </w:pPr>
    </w:p>
    <w:p w:rsidRPr="00C04524" w:rsidR="000951F7" w:rsidP="00A11EF8" w:rsidRDefault="0038087B" w14:paraId="672C65AB" w14:textId="1E18A1BF">
      <w:pPr>
        <w:pStyle w:val="BodyText"/>
        <w:rPr>
          <w:i/>
          <w:iCs/>
        </w:rPr>
      </w:pPr>
      <w:r w:rsidRPr="00C67C94">
        <w:rPr>
          <w:b/>
          <w:bCs/>
          <w:i/>
          <w:iCs/>
        </w:rPr>
        <w:t>See Contract Specification 8.25</w:t>
      </w:r>
      <w:r w:rsidRPr="00C67C94" w:rsidR="00F5482D">
        <w:rPr>
          <w:b/>
          <w:bCs/>
          <w:i/>
          <w:iCs/>
        </w:rPr>
        <w:t>, 8.32, 8.72, 8.86</w:t>
      </w:r>
      <w:r w:rsidRPr="00C67C94">
        <w:rPr>
          <w:b/>
          <w:bCs/>
          <w:i/>
          <w:iCs/>
        </w:rPr>
        <w:t xml:space="preserve"> &amp; 8.</w:t>
      </w:r>
      <w:r w:rsidRPr="00C67C94" w:rsidR="00F5482D">
        <w:rPr>
          <w:b/>
          <w:bCs/>
          <w:i/>
          <w:iCs/>
        </w:rPr>
        <w:t>94 – 8.100</w:t>
      </w:r>
      <w:r w:rsidR="0033522E">
        <w:rPr>
          <w:i/>
          <w:iCs/>
        </w:rPr>
        <w:t>.</w:t>
      </w:r>
    </w:p>
    <w:p w:rsidRPr="00C42922" w:rsidR="00C42922" w:rsidP="00A11EF8" w:rsidRDefault="00C42922" w14:paraId="457A730E" w14:textId="1F1EF402">
      <w:pPr>
        <w:pStyle w:val="Heading1"/>
        <w:rPr>
          <w:sz w:val="32"/>
        </w:rPr>
      </w:pPr>
      <w:r>
        <w:rPr>
          <w:sz w:val="32"/>
        </w:rPr>
        <w:t>CLR Standard Fees payable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40"/>
        <w:gridCol w:w="1830"/>
        <w:gridCol w:w="2140"/>
        <w:gridCol w:w="2016"/>
      </w:tblGrid>
      <w:tr w:rsidR="009750E6" w:rsidTr="10C9FC00" w14:paraId="1082DB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9750E6" w:rsidP="00A11EF8" w:rsidRDefault="009750E6" w14:paraId="10EDEEFD" w14:textId="1079171D">
            <w:pPr>
              <w:pStyle w:val="BodyText"/>
            </w:pPr>
            <w:r>
              <w:t>CLR Standard Fee</w:t>
            </w:r>
            <w:r w:rsidR="00A54BA5">
              <w:t xml:space="preserve">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9" w:type="dxa"/>
            <w:tcMar/>
          </w:tcPr>
          <w:p w:rsidR="009750E6" w:rsidP="00A11EF8" w:rsidRDefault="00D21C0C" w14:paraId="4832DCDA" w14:textId="3204AA4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MT1 codes &amp; </w:t>
            </w:r>
            <w:r w:rsidR="00A54BA5">
              <w:t>Standard Fees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09750E6" w:rsidP="00A11EF8" w:rsidRDefault="009750E6" w14:paraId="12F627B2" w14:textId="018AE2F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Procedure used?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2" w:type="dxa"/>
            <w:tcMar/>
          </w:tcPr>
          <w:p w:rsidR="009750E6" w:rsidP="00A11EF8" w:rsidRDefault="009750E6" w14:paraId="085D8B98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CLR Claim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009750E6" w:rsidP="00A11EF8" w:rsidRDefault="009750E6" w14:paraId="07C0F4FA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Relevant CLR grant dates</w:t>
            </w:r>
          </w:p>
        </w:tc>
      </w:tr>
      <w:tr w:rsidR="009750E6" w:rsidTr="10C9FC00" w14:paraId="7FEAC0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9750E6" w:rsidP="00A11EF8" w:rsidRDefault="009750E6" w14:paraId="072AF486" w14:textId="77777777">
            <w:pPr>
              <w:pStyle w:val="BodyText"/>
            </w:pPr>
            <w:r>
              <w:t>Stage 2(a)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9" w:type="dxa"/>
            <w:tcMar/>
          </w:tcPr>
          <w:p w:rsidR="009750E6" w:rsidP="00A11EF8" w:rsidRDefault="00103119" w14:paraId="556BB1E0" w14:textId="260D1E1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03119">
              <w:rPr/>
              <w:t>IA</w:t>
            </w:r>
            <w:r w:rsidR="00FF424C">
              <w:rPr/>
              <w:t>CA -</w:t>
            </w:r>
            <w:r w:rsidR="00103119">
              <w:rPr/>
              <w:t xml:space="preserve"> </w:t>
            </w:r>
            <w:r w:rsidR="006C522B">
              <w:rPr/>
              <w:t>£227</w:t>
            </w:r>
          </w:p>
          <w:p w:rsidR="00103119" w:rsidP="00A11EF8" w:rsidRDefault="00103119" w14:paraId="399EC94B" w14:textId="3D4D1E3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03119">
              <w:rPr/>
              <w:t>IM</w:t>
            </w:r>
            <w:r w:rsidR="00090FCA">
              <w:rPr/>
              <w:t>CA -</w:t>
            </w:r>
            <w:r w:rsidR="00103119">
              <w:rPr/>
              <w:t xml:space="preserve"> £227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09750E6" w:rsidP="00A11EF8" w:rsidRDefault="009750E6" w14:paraId="15F36F4E" w14:textId="1BCD9A2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2" w:type="dxa"/>
            <w:tcMar/>
          </w:tcPr>
          <w:p w:rsidR="009750E6" w:rsidP="00A11EF8" w:rsidRDefault="009750E6" w14:paraId="3701C6C6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substantive hearing.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009750E6" w:rsidP="00A11EF8" w:rsidRDefault="009750E6" w14:paraId="5A335FB0" w14:textId="7F28993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CLR granted on or before 31 March 2023 only.</w:t>
            </w:r>
          </w:p>
        </w:tc>
      </w:tr>
      <w:tr w:rsidR="009750E6" w:rsidTr="10C9FC00" w14:paraId="021ED7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9750E6" w:rsidP="00A11EF8" w:rsidRDefault="009750E6" w14:paraId="6BF708D9" w14:textId="77777777">
            <w:pPr>
              <w:pStyle w:val="BodyText"/>
            </w:pPr>
            <w:r>
              <w:lastRenderedPageBreak/>
              <w:t>Stage 2(b)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9" w:type="dxa"/>
            <w:tcMar/>
          </w:tcPr>
          <w:p w:rsidR="009750E6" w:rsidP="00A11EF8" w:rsidRDefault="00103119" w14:paraId="7A19C157" w14:textId="584FFB9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03119">
              <w:rPr/>
              <w:t>IA</w:t>
            </w:r>
            <w:r w:rsidR="00090FCA">
              <w:rPr/>
              <w:t>CB -</w:t>
            </w:r>
            <w:r w:rsidR="00103119">
              <w:rPr/>
              <w:t xml:space="preserve"> </w:t>
            </w:r>
            <w:r w:rsidR="00A4710D">
              <w:rPr/>
              <w:t>£567</w:t>
            </w:r>
          </w:p>
          <w:p w:rsidR="00103119" w:rsidP="00A11EF8" w:rsidRDefault="00103119" w14:paraId="03EE4C50" w14:textId="26EC8F0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03119">
              <w:rPr/>
              <w:t>IM</w:t>
            </w:r>
            <w:r w:rsidR="00A10ABE">
              <w:rPr/>
              <w:t>CB -</w:t>
            </w:r>
            <w:r w:rsidR="00103119">
              <w:rPr/>
              <w:t xml:space="preserve"> £454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09750E6" w:rsidP="00A11EF8" w:rsidRDefault="009750E6" w14:paraId="7F1B702E" w14:textId="58EC7FC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2" w:type="dxa"/>
            <w:tcMar/>
          </w:tcPr>
          <w:p w:rsidR="009750E6" w:rsidP="00A11EF8" w:rsidRDefault="009750E6" w14:paraId="5AAB7E95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Substantive hearing.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009750E6" w:rsidP="00A11EF8" w:rsidRDefault="009750E6" w14:paraId="00240D4C" w14:textId="05A8F9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CLR granted on or before 31</w:t>
            </w:r>
            <w:r w:rsidR="00FB3E6A">
              <w:t xml:space="preserve"> </w:t>
            </w:r>
            <w:r>
              <w:t>March 2023 only.</w:t>
            </w:r>
          </w:p>
        </w:tc>
      </w:tr>
      <w:tr w:rsidR="009750E6" w:rsidTr="10C9FC00" w14:paraId="761D92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9750E6" w:rsidP="00A11EF8" w:rsidRDefault="009750E6" w14:paraId="742D01A3" w14:textId="77777777">
            <w:pPr>
              <w:pStyle w:val="BodyText"/>
            </w:pPr>
            <w:r>
              <w:t xml:space="preserve">Stage 2(c)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9" w:type="dxa"/>
            <w:tcMar/>
          </w:tcPr>
          <w:p w:rsidR="009750E6" w:rsidP="00A11EF8" w:rsidRDefault="00A240CB" w14:paraId="4B6D717B" w14:textId="6AA712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IACC –</w:t>
            </w:r>
            <w:r w:rsidR="004B3FED">
              <w:t xml:space="preserve"> £627</w:t>
            </w:r>
          </w:p>
          <w:p w:rsidR="00A240CB" w:rsidP="00A11EF8" w:rsidRDefault="00A240CB" w14:paraId="5BE53530" w14:textId="09697FC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IMCC - </w:t>
            </w:r>
            <w:r w:rsidR="003E4567">
              <w:t>£527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09750E6" w:rsidP="00A11EF8" w:rsidRDefault="009750E6" w14:paraId="7DA4B25A" w14:textId="4E34D5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2" w:type="dxa"/>
            <w:tcMar/>
          </w:tcPr>
          <w:p w:rsidR="009750E6" w:rsidP="00A11EF8" w:rsidRDefault="009750E6" w14:paraId="325B131E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Substantive or no substantive hearing.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009750E6" w:rsidP="00A11EF8" w:rsidRDefault="009750E6" w14:paraId="6AF93971" w14:textId="02E9D64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9750E6">
              <w:rPr/>
              <w:t xml:space="preserve">CLR granted </w:t>
            </w:r>
            <w:r w:rsidR="009750E6">
              <w:rPr/>
              <w:t>on</w:t>
            </w:r>
            <w:r w:rsidR="009750E6">
              <w:rPr/>
              <w:t xml:space="preserve"> or before 6 October 2020.</w:t>
            </w:r>
          </w:p>
        </w:tc>
      </w:tr>
      <w:tr w:rsidR="009750E6" w:rsidTr="10C9FC00" w14:paraId="08E983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9750E6" w:rsidP="00A11EF8" w:rsidRDefault="009750E6" w14:paraId="677E629A" w14:textId="77777777">
            <w:pPr>
              <w:pStyle w:val="BodyText"/>
            </w:pPr>
            <w:r>
              <w:t>Stage 2(d)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9" w:type="dxa"/>
            <w:tcMar/>
          </w:tcPr>
          <w:p w:rsidR="009750E6" w:rsidP="10C9FC00" w:rsidRDefault="00D3423F" w14:paraId="28AFE476" w14:textId="469C7EC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" w:cs="" w:asciiTheme="majorAscii" w:hAnsiTheme="majorAscii" w:eastAsiaTheme="majorEastAsia" w:cstheme="majorBidi"/>
                <w:color w:val="333333"/>
              </w:rPr>
            </w:pPr>
            <w:r w:rsidR="00D3423F">
              <w:rPr/>
              <w:t>I</w:t>
            </w:r>
            <w:r w:rsidRPr="10C9FC00" w:rsidR="00D3423F">
              <w:rPr>
                <w:rFonts w:ascii="Arial" w:hAnsi="Arial" w:eastAsia="" w:cs="" w:asciiTheme="majorAscii" w:hAnsiTheme="majorAscii" w:eastAsiaTheme="majorEastAsia" w:cstheme="majorBidi"/>
              </w:rPr>
              <w:t>ACE - £6</w:t>
            </w:r>
            <w:r w:rsidRPr="10C9FC00" w:rsidR="009F6119">
              <w:rPr>
                <w:rFonts w:ascii="Arial" w:hAnsi="Arial" w:eastAsia="" w:cs="" w:asciiTheme="majorAscii" w:hAnsiTheme="majorAscii" w:eastAsiaTheme="majorEastAsia" w:cstheme="majorBidi"/>
              </w:rPr>
              <w:t>6</w:t>
            </w:r>
            <w:r w:rsidRPr="10C9FC00" w:rsidR="00D3423F">
              <w:rPr>
                <w:rFonts w:ascii="Arial" w:hAnsi="Arial" w:eastAsia="" w:cs="" w:asciiTheme="majorAscii" w:hAnsiTheme="majorAscii" w:eastAsiaTheme="majorEastAsia" w:cstheme="majorBidi"/>
              </w:rPr>
              <w:t>9</w:t>
            </w:r>
            <w:r w:rsidRPr="10C9FC00" w:rsidR="10AD4B01">
              <w:rPr>
                <w:rFonts w:ascii="Arial" w:hAnsi="Arial" w:eastAsia="" w:cs="" w:asciiTheme="majorAscii" w:hAnsiTheme="majorAscii" w:eastAsiaTheme="majorEastAsia" w:cstheme="majorBidi"/>
              </w:rPr>
              <w:t>, or £808 on or after 22</w:t>
            </w:r>
            <w:r w:rsidRPr="10C9FC00" w:rsidR="10AD4B01">
              <w:rPr>
                <w:rFonts w:ascii="Arial" w:hAnsi="Arial" w:eastAsia="" w:cs="" w:asciiTheme="majorAscii" w:hAnsiTheme="majorAscii" w:eastAsiaTheme="majorEastAsia" w:cstheme="majorBidi"/>
                <w:vertAlign w:val="superscript"/>
              </w:rPr>
              <w:t>nd</w:t>
            </w:r>
            <w:r w:rsidRPr="10C9FC00" w:rsidR="10AD4B01">
              <w:rPr>
                <w:rFonts w:ascii="Arial" w:hAnsi="Arial" w:eastAsia="" w:cs="" w:asciiTheme="majorAscii" w:hAnsiTheme="majorAscii" w:eastAsiaTheme="majorEastAsia" w:cstheme="majorBidi"/>
              </w:rPr>
              <w:t xml:space="preserve"> December 2025. </w:t>
            </w:r>
          </w:p>
          <w:p w:rsidR="00D3423F" w:rsidP="10C9FC00" w:rsidRDefault="00D3423F" w14:paraId="5D3A84CD" w14:textId="3B92054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" w:cs="" w:asciiTheme="majorAscii" w:hAnsiTheme="majorAscii" w:eastAsiaTheme="majorEastAsia" w:cstheme="majorBidi"/>
                <w:color w:val="333333"/>
              </w:rPr>
            </w:pPr>
            <w:r w:rsidRPr="10C9FC00" w:rsidR="00D3423F">
              <w:rPr>
                <w:rFonts w:ascii="Arial" w:hAnsi="Arial" w:eastAsia="" w:cs="" w:asciiTheme="majorAscii" w:hAnsiTheme="majorAscii" w:eastAsiaTheme="majorEastAsia" w:cstheme="majorBidi"/>
              </w:rPr>
              <w:t>IMCE - £628</w:t>
            </w:r>
            <w:r w:rsidRPr="10C9FC00" w:rsidR="28DAF8DB">
              <w:rPr>
                <w:rFonts w:ascii="Arial" w:hAnsi="Arial" w:eastAsia="" w:cs="" w:asciiTheme="majorAscii" w:hAnsiTheme="majorAscii" w:eastAsiaTheme="majorEastAsia" w:cstheme="majorBidi"/>
              </w:rPr>
              <w:t xml:space="preserve">, or </w:t>
            </w:r>
            <w:r w:rsidRPr="10C9FC00" w:rsidR="28DAF8DB">
              <w:rPr>
                <w:rFonts w:ascii="Arial" w:hAnsi="Arial" w:eastAsia="" w:cs="" w:asciiTheme="majorAscii" w:hAnsiTheme="majorAscii" w:eastAsiaTheme="majorEastAsia" w:cstheme="majorBidi"/>
                <w:color w:val="333333"/>
              </w:rPr>
              <w:t>£759 on or after 22</w:t>
            </w:r>
            <w:r w:rsidRPr="10C9FC00" w:rsidR="28DAF8DB">
              <w:rPr>
                <w:rFonts w:ascii="Arial" w:hAnsi="Arial" w:eastAsia="" w:cs="" w:asciiTheme="majorAscii" w:hAnsiTheme="majorAscii" w:eastAsiaTheme="majorEastAsia" w:cstheme="majorBidi"/>
                <w:color w:val="333333"/>
                <w:vertAlign w:val="superscript"/>
              </w:rPr>
              <w:t>nd</w:t>
            </w:r>
            <w:r w:rsidRPr="10C9FC00" w:rsidR="28DAF8DB">
              <w:rPr>
                <w:rFonts w:ascii="Arial" w:hAnsi="Arial" w:eastAsia="" w:cs="" w:asciiTheme="majorAscii" w:hAnsiTheme="majorAscii" w:eastAsiaTheme="majorEastAsia" w:cstheme="majorBidi"/>
                <w:color w:val="333333"/>
              </w:rPr>
              <w:t xml:space="preserve"> December 2025.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09750E6" w:rsidP="00A11EF8" w:rsidRDefault="00A10ABE" w14:paraId="76999113" w14:textId="2639845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cases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2" w:type="dxa"/>
            <w:tcMar/>
          </w:tcPr>
          <w:p w:rsidR="009750E6" w:rsidP="00A11EF8" w:rsidRDefault="009750E6" w14:paraId="7C5F6BA7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substantive hearing.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009750E6" w:rsidP="00A11EF8" w:rsidRDefault="009750E6" w14:paraId="73B1D948" w14:textId="22B3C65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CLR granted on or after 1 April 2023.</w:t>
            </w:r>
          </w:p>
        </w:tc>
      </w:tr>
      <w:tr w:rsidR="009750E6" w:rsidTr="10C9FC00" w14:paraId="2EF377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Mar/>
          </w:tcPr>
          <w:p w:rsidR="009750E6" w:rsidP="00A11EF8" w:rsidRDefault="009750E6" w14:paraId="01660E48" w14:textId="77777777">
            <w:pPr>
              <w:pStyle w:val="BodyText"/>
            </w:pPr>
            <w:r>
              <w:t>Stage 2(e)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9" w:type="dxa"/>
            <w:tcMar/>
          </w:tcPr>
          <w:p w:rsidR="009750E6" w:rsidP="00A11EF8" w:rsidRDefault="00D3423F" w14:paraId="10A871FE" w14:textId="5F91E3C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D3423F">
              <w:rPr/>
              <w:t>IACF - £1,</w:t>
            </w:r>
            <w:r w:rsidR="00D3423F">
              <w:rPr/>
              <w:t>009</w:t>
            </w:r>
            <w:r w:rsidR="5C210BA2">
              <w:rPr/>
              <w:t xml:space="preserve">, or </w:t>
            </w:r>
            <w:r w:rsidR="5C210BA2">
              <w:rPr/>
              <w:t>£1,219 on or after 22</w:t>
            </w:r>
            <w:r w:rsidRPr="10C9FC00" w:rsidR="5C210BA2">
              <w:rPr>
                <w:vertAlign w:val="superscript"/>
              </w:rPr>
              <w:t>nd</w:t>
            </w:r>
            <w:r w:rsidR="5C210BA2">
              <w:rPr/>
              <w:t xml:space="preserve"> December 2025. </w:t>
            </w:r>
          </w:p>
          <w:p w:rsidR="00A54BA5" w:rsidP="00A11EF8" w:rsidRDefault="00A54BA5" w14:paraId="43C6F6BA" w14:textId="4629596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IMCF - £855</w:t>
            </w:r>
            <w:r w:rsidR="3E6BB3BD">
              <w:t xml:space="preserve">, or </w:t>
            </w:r>
            <w:r w:rsidRPr="28A661EE" w:rsidR="3E6BB3BD">
              <w:t>£1,003 on or after 22</w:t>
            </w:r>
            <w:r w:rsidRPr="28A661EE" w:rsidR="3E6BB3BD">
              <w:rPr>
                <w:vertAlign w:val="superscript"/>
              </w:rPr>
              <w:t>nd</w:t>
            </w:r>
            <w:r w:rsidRPr="28A661EE" w:rsidR="3E6BB3BD">
              <w:t xml:space="preserve"> December 2025. </w:t>
            </w:r>
          </w:p>
          <w:p w:rsidR="00A54BA5" w:rsidP="4A3EA2E5" w:rsidRDefault="00A54BA5" w14:paraId="20D8E685" w14:textId="51177FB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09750E6" w:rsidP="00A11EF8" w:rsidRDefault="00185700" w14:paraId="433E98A7" w14:textId="7FC89CC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cases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2" w:type="dxa"/>
            <w:tcMar/>
          </w:tcPr>
          <w:p w:rsidR="009750E6" w:rsidP="00A11EF8" w:rsidRDefault="009750E6" w14:paraId="537316DC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Substantive hearing.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Mar/>
          </w:tcPr>
          <w:p w:rsidR="009750E6" w:rsidP="00A11EF8" w:rsidRDefault="009750E6" w14:paraId="0140D336" w14:textId="43BAA69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CLR granted on or after 1 April 2023.</w:t>
            </w:r>
          </w:p>
        </w:tc>
      </w:tr>
    </w:tbl>
    <w:p w:rsidRPr="00046363" w:rsidR="00C42922" w:rsidP="00A11EF8" w:rsidRDefault="00035547" w14:paraId="27FF3F7A" w14:textId="61C5E7CA">
      <w:pPr>
        <w:pStyle w:val="Heading1"/>
        <w:rPr>
          <w:sz w:val="32"/>
        </w:rPr>
      </w:pPr>
      <w:r>
        <w:rPr>
          <w:sz w:val="32"/>
        </w:rPr>
        <w:t>CLR asylum appeals</w:t>
      </w:r>
      <w:r w:rsidR="00C42922">
        <w:rPr>
          <w:sz w:val="32"/>
        </w:rPr>
        <w:t xml:space="preserve"> claiming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42922" w:rsidTr="001B0E02" w14:paraId="7FCB82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C42922" w:rsidP="00A11EF8" w:rsidRDefault="00C42922" w14:paraId="06330457" w14:textId="77777777">
            <w:pPr>
              <w:pStyle w:val="BodyText"/>
            </w:pPr>
            <w:r>
              <w:t>Date CLR granted</w:t>
            </w:r>
          </w:p>
        </w:tc>
        <w:tc>
          <w:tcPr>
            <w:tcW w:w="2407" w:type="dxa"/>
          </w:tcPr>
          <w:p w:rsidR="00C42922" w:rsidP="00A11EF8" w:rsidRDefault="00C42922" w14:paraId="6E3A28FD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1</w:t>
            </w:r>
          </w:p>
        </w:tc>
        <w:tc>
          <w:tcPr>
            <w:tcW w:w="2407" w:type="dxa"/>
          </w:tcPr>
          <w:p w:rsidR="00C42922" w:rsidP="00A11EF8" w:rsidRDefault="00C42922" w14:paraId="48435245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2</w:t>
            </w:r>
          </w:p>
        </w:tc>
        <w:tc>
          <w:tcPr>
            <w:tcW w:w="2407" w:type="dxa"/>
          </w:tcPr>
          <w:p w:rsidR="00C42922" w:rsidP="00A11EF8" w:rsidRDefault="00C42922" w14:paraId="59B7EB52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42922" w:rsidTr="001B0E02" w14:paraId="279F38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C42922" w:rsidP="00A11EF8" w:rsidRDefault="00615E3E" w14:paraId="3D67CBC6" w14:textId="34DC9607">
            <w:pPr>
              <w:pStyle w:val="BodyText"/>
            </w:pPr>
            <w:r>
              <w:t xml:space="preserve">Between 8 June and </w:t>
            </w:r>
            <w:r w:rsidR="00C42922">
              <w:t>6 October 2020</w:t>
            </w:r>
          </w:p>
        </w:tc>
        <w:tc>
          <w:tcPr>
            <w:tcW w:w="2407" w:type="dxa"/>
          </w:tcPr>
          <w:p w:rsidR="00C42922" w:rsidP="00A11EF8" w:rsidRDefault="00C42922" w14:paraId="52013808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Stage 2(c) fee plus advocacy services payments if relevant.</w:t>
            </w:r>
          </w:p>
        </w:tc>
        <w:tc>
          <w:tcPr>
            <w:tcW w:w="2407" w:type="dxa"/>
          </w:tcPr>
          <w:p w:rsidR="00C42922" w:rsidP="00A11EF8" w:rsidRDefault="00C42922" w14:paraId="13CF613A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Procedure hourly rates plus advocacy services payments if relevant.</w:t>
            </w:r>
          </w:p>
        </w:tc>
        <w:tc>
          <w:tcPr>
            <w:tcW w:w="2407" w:type="dxa"/>
          </w:tcPr>
          <w:p w:rsidR="00C42922" w:rsidP="00A11EF8" w:rsidRDefault="00C42922" w14:paraId="15D1AB24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Only one of the two options may be claimed. </w:t>
            </w:r>
          </w:p>
        </w:tc>
      </w:tr>
      <w:tr w:rsidR="00C42922" w:rsidTr="001B0E02" w14:paraId="28A9A2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C42922" w:rsidP="00A11EF8" w:rsidRDefault="00C42922" w14:paraId="2259B1CD" w14:textId="543D0FAA">
            <w:pPr>
              <w:pStyle w:val="BodyText"/>
            </w:pPr>
            <w:r>
              <w:lastRenderedPageBreak/>
              <w:t>Between 7 October 2020 and 31 March 2023</w:t>
            </w:r>
          </w:p>
        </w:tc>
        <w:tc>
          <w:tcPr>
            <w:tcW w:w="2407" w:type="dxa"/>
          </w:tcPr>
          <w:p w:rsidR="00C42922" w:rsidP="00A11EF8" w:rsidRDefault="00C42922" w14:paraId="6606DD49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Procedure hourly rates plus advocacy services payments if relevant.</w:t>
            </w:r>
          </w:p>
        </w:tc>
        <w:tc>
          <w:tcPr>
            <w:tcW w:w="2407" w:type="dxa"/>
          </w:tcPr>
          <w:p w:rsidR="00C42922" w:rsidP="00A11EF8" w:rsidRDefault="00C42922" w14:paraId="3064353A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:rsidR="00C42922" w:rsidP="00A11EF8" w:rsidRDefault="00C42922" w14:paraId="0F5AC7A4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other options.</w:t>
            </w:r>
          </w:p>
        </w:tc>
      </w:tr>
      <w:tr w:rsidR="00C42922" w:rsidTr="001B0E02" w14:paraId="25CC79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C42922" w:rsidP="00A11EF8" w:rsidRDefault="00C42922" w14:paraId="0ED3180D" w14:textId="2A8957C1">
            <w:pPr>
              <w:pStyle w:val="BodyText"/>
            </w:pPr>
            <w:r>
              <w:t>On or after 1 April 2023</w:t>
            </w:r>
          </w:p>
        </w:tc>
        <w:tc>
          <w:tcPr>
            <w:tcW w:w="2407" w:type="dxa"/>
          </w:tcPr>
          <w:p w:rsidR="00C42922" w:rsidP="00A11EF8" w:rsidRDefault="00C42922" w14:paraId="534E6398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fee stage 2(d) – Where no substantive hearing has taken place.</w:t>
            </w:r>
          </w:p>
        </w:tc>
        <w:tc>
          <w:tcPr>
            <w:tcW w:w="2407" w:type="dxa"/>
          </w:tcPr>
          <w:p w:rsidR="009E42E7" w:rsidP="00A11EF8" w:rsidRDefault="00C42922" w14:paraId="37291543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fee stage 2(e) – Where a substantive hearing has taken place.</w:t>
            </w:r>
            <w:r w:rsidR="00AF3CA5">
              <w:t xml:space="preserve"> </w:t>
            </w:r>
          </w:p>
          <w:p w:rsidR="00C42922" w:rsidP="00A11EF8" w:rsidRDefault="009E42E7" w14:paraId="014F92E4" w14:textId="7A62B0E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P</w:t>
            </w:r>
            <w:r w:rsidR="00AF3CA5">
              <w:t>lus</w:t>
            </w:r>
            <w:proofErr w:type="gramEnd"/>
            <w:r w:rsidR="00AF3CA5">
              <w:t xml:space="preserve"> advocacy services payments if relevant.</w:t>
            </w:r>
          </w:p>
        </w:tc>
        <w:tc>
          <w:tcPr>
            <w:tcW w:w="2407" w:type="dxa"/>
          </w:tcPr>
          <w:p w:rsidR="00C42922" w:rsidP="00A11EF8" w:rsidRDefault="00C42922" w14:paraId="64C2F20B" w14:textId="7777777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93586C" w:rsidR="0093586C" w:rsidP="00A11EF8" w:rsidRDefault="0093586C" w14:paraId="0756F095" w14:textId="77777777">
      <w:pPr>
        <w:pStyle w:val="BodyText"/>
      </w:pPr>
    </w:p>
    <w:p w:rsidRPr="00C14053" w:rsidR="00736734" w:rsidP="00A11EF8" w:rsidRDefault="00736734" w14:paraId="46549CA1" w14:textId="54914724">
      <w:pPr>
        <w:pStyle w:val="Heading1"/>
        <w:rPr>
          <w:sz w:val="32"/>
        </w:rPr>
      </w:pPr>
      <w:r>
        <w:rPr>
          <w:sz w:val="32"/>
        </w:rPr>
        <w:t>Legal Help (LH)</w:t>
      </w:r>
    </w:p>
    <w:p w:rsidR="00736734" w:rsidP="00A11EF8" w:rsidRDefault="00736734" w14:paraId="70F2F92F" w14:textId="70E3F2DC">
      <w:pPr>
        <w:pStyle w:val="BodyText"/>
      </w:pPr>
      <w:r>
        <w:t xml:space="preserve">From 1 April 2023 the LH stage of any </w:t>
      </w:r>
      <w:r w:rsidR="00E31348">
        <w:t>Asylum &amp; Immigration</w:t>
      </w:r>
      <w:r w:rsidR="006A46B9">
        <w:t xml:space="preserve"> </w:t>
      </w:r>
      <w:r>
        <w:t xml:space="preserve">case </w:t>
      </w:r>
      <w:r w:rsidR="001B0E02">
        <w:t>is</w:t>
      </w:r>
      <w:r>
        <w:t xml:space="preserve"> considered a separate matter from any subsequent CLR stage </w:t>
      </w:r>
      <w:r w:rsidR="00C770A7">
        <w:t xml:space="preserve">granted </w:t>
      </w:r>
      <w:r>
        <w:t xml:space="preserve">and should be billed on completion </w:t>
      </w:r>
      <w:r w:rsidR="00C770A7">
        <w:t xml:space="preserve">as a </w:t>
      </w:r>
      <w:r w:rsidR="009D646B">
        <w:t xml:space="preserve">standalone </w:t>
      </w:r>
      <w:r w:rsidR="00C770A7">
        <w:t>completed claim</w:t>
      </w:r>
      <w:r w:rsidR="000619B2">
        <w:t xml:space="preserve"> and not as a stage claim</w:t>
      </w:r>
      <w:r w:rsidR="00055ACD">
        <w:t xml:space="preserve">. Where a LH claim has a subsequent CLR stage, </w:t>
      </w:r>
      <w:r>
        <w:t>the outcome code</w:t>
      </w:r>
      <w:r w:rsidR="00055ACD">
        <w:t xml:space="preserve"> IE </w:t>
      </w:r>
      <w:r w:rsidR="00526DED">
        <w:t xml:space="preserve">should be used </w:t>
      </w:r>
      <w:r w:rsidR="00055ACD">
        <w:t>for the LH stage</w:t>
      </w:r>
      <w:r>
        <w:t>.</w:t>
      </w:r>
    </w:p>
    <w:p w:rsidR="00E0506A" w:rsidP="00A11EF8" w:rsidRDefault="00E0506A" w14:paraId="5C5F7E4A" w14:textId="11662A02">
      <w:pPr>
        <w:pStyle w:val="BodyText"/>
      </w:pPr>
      <w:r>
        <w:t xml:space="preserve">For any </w:t>
      </w:r>
      <w:r w:rsidR="00B1310E">
        <w:t>Asylum &amp; Immigration</w:t>
      </w:r>
      <w:r w:rsidR="009D646B">
        <w:t xml:space="preserve"> </w:t>
      </w:r>
      <w:r>
        <w:t>LH matters opened from 1</w:t>
      </w:r>
      <w:r w:rsidRPr="28A661EE" w:rsidR="00FB3E6A">
        <w:rPr>
          <w:vertAlign w:val="superscript"/>
        </w:rPr>
        <w:t xml:space="preserve"> </w:t>
      </w:r>
      <w:r>
        <w:t>April 2023 the escape fee threshold reduce</w:t>
      </w:r>
      <w:r w:rsidR="001B0E02">
        <w:t>d</w:t>
      </w:r>
      <w:r>
        <w:t xml:space="preserve"> from 3x the standard fee to 2x the standard fee. These thresholds </w:t>
      </w:r>
      <w:r w:rsidR="001B0E02">
        <w:t>are</w:t>
      </w:r>
      <w:r>
        <w:t xml:space="preserve"> calculated independently of the CLR stage which </w:t>
      </w:r>
      <w:r w:rsidR="001B0E02">
        <w:t xml:space="preserve">is </w:t>
      </w:r>
      <w:r>
        <w:t>now be a separate matter.</w:t>
      </w:r>
    </w:p>
    <w:p w:rsidR="001F1A05" w:rsidP="00A11EF8" w:rsidRDefault="001F1A05" w14:paraId="4C1AD209" w14:textId="5E0AE073">
      <w:pPr>
        <w:pStyle w:val="BodyText"/>
        <w:spacing w:after="0" w:line="240" w:lineRule="auto"/>
      </w:pPr>
      <w:r>
        <w:t xml:space="preserve">CLR Stage and its associated </w:t>
      </w:r>
      <w:r w:rsidR="003223F7">
        <w:t>LH</w:t>
      </w:r>
      <w:r>
        <w:t xml:space="preserve"> Stage constitute 2 separate matters where EITHER is granted on or after 1 April. The escape fee threshold </w:t>
      </w:r>
      <w:r w:rsidR="001B0E02">
        <w:t xml:space="preserve">is </w:t>
      </w:r>
      <w:r>
        <w:t>therefore calculated separately for each claim at 2x the Standard Fee so either claim could escape separately, or both could escape.</w:t>
      </w:r>
    </w:p>
    <w:p w:rsidR="001F1A05" w:rsidP="00A11EF8" w:rsidRDefault="001F1A05" w14:paraId="3B6445C6" w14:textId="77777777">
      <w:pPr>
        <w:pStyle w:val="BodyText"/>
        <w:spacing w:after="0" w:line="240" w:lineRule="auto"/>
      </w:pPr>
    </w:p>
    <w:p w:rsidRPr="00C67C94" w:rsidR="00B42580" w:rsidP="00A11EF8" w:rsidRDefault="00B42580" w14:paraId="3CCDECEF" w14:textId="0C148F4A">
      <w:pPr>
        <w:pStyle w:val="BodyText"/>
        <w:rPr>
          <w:b/>
          <w:bCs/>
          <w:i/>
          <w:iCs/>
        </w:rPr>
      </w:pPr>
      <w:r w:rsidRPr="00C67C94">
        <w:rPr>
          <w:b/>
          <w:bCs/>
          <w:i/>
          <w:iCs/>
        </w:rPr>
        <w:t>See Contract Specification 8.94 – 8.100.</w:t>
      </w:r>
    </w:p>
    <w:p w:rsidRPr="00157194" w:rsidR="003D00FC" w:rsidP="10C9FC00" w:rsidRDefault="17D4EDCB" w14:paraId="54EEB2BA" w14:textId="212BE184">
      <w:pPr>
        <w:pStyle w:val="Heading1"/>
        <w:rPr>
          <w:sz w:val="32"/>
          <w:szCs w:val="32"/>
        </w:rPr>
      </w:pPr>
      <w:r w:rsidRPr="10C9FC00" w:rsidR="17D4EDCB">
        <w:rPr>
          <w:sz w:val="32"/>
          <w:szCs w:val="32"/>
        </w:rPr>
        <w:t>Relevant guidance and legislation</w:t>
      </w:r>
    </w:p>
    <w:p w:rsidR="00940596" w:rsidP="28A661EE" w:rsidRDefault="724C90E3" w14:paraId="3DFF1963" w14:noSpellErr="1" w14:textId="799422E7">
      <w:pPr>
        <w:pStyle w:val="BodyText"/>
      </w:pPr>
      <w:hyperlink r:id="R010354a1962e4d65">
        <w:r w:rsidRPr="4DA48707" w:rsidR="724C90E3">
          <w:rPr>
            <w:rStyle w:val="Hyperlink"/>
          </w:rPr>
          <w:t>Fees_Uplift_Guidance.pdf</w:t>
        </w:r>
      </w:hyperlink>
      <w:r w:rsidR="724C90E3">
        <w:rPr/>
        <w:t xml:space="preserve"> </w:t>
      </w:r>
    </w:p>
    <w:p w:rsidR="00A9308C" w:rsidP="00A11EF8" w:rsidRDefault="47641E82" w14:paraId="4ABD1A62" w14:noSpellErr="1" w14:textId="4CC476CC">
      <w:pPr>
        <w:pStyle w:val="BodyText"/>
        <w:rPr>
          <w:rStyle w:val="Hyperlink"/>
        </w:rPr>
      </w:pPr>
      <w:hyperlink r:id="R519ce0e9ab164626">
        <w:r w:rsidRPr="4DA48707" w:rsidR="47641E82">
          <w:rPr>
            <w:rStyle w:val="Hyperlink"/>
          </w:rPr>
          <w:t>Submit_a_Bulk_Claim_User_Guide_V1.1.docx</w:t>
        </w:r>
      </w:hyperlink>
      <w:r w:rsidR="47641E82">
        <w:rPr/>
        <w:t xml:space="preserve"> </w:t>
      </w:r>
      <w:hyperlink r:id="Rff1cd401ace64395">
        <w:r w:rsidRPr="4DA48707" w:rsidR="00A9308C">
          <w:rPr>
            <w:rStyle w:val="Hyperlink"/>
          </w:rPr>
          <w:t>Nationality &amp; Borders Act webinar and Q&amp;A</w:t>
        </w:r>
      </w:hyperlink>
    </w:p>
    <w:p w:rsidRPr="00DD0317" w:rsidR="003D00FC" w:rsidP="28A661EE" w:rsidRDefault="00804462" w14:paraId="2C08493F" w14:textId="7E98CA39">
      <w:pPr>
        <w:pStyle w:val="BodyText"/>
      </w:pPr>
      <w:hyperlink r:id="rId17">
        <w:r w:rsidRPr="28A661EE">
          <w:rPr>
            <w:rStyle w:val="Hyperlink"/>
          </w:rPr>
          <w:t>2018_Standard_Civil_Contract_catergory_specific_rules_Immigration_and_Asylum__January_2024_.pdf (publishing.service.gov.uk)</w:t>
        </w:r>
      </w:hyperlink>
    </w:p>
    <w:sectPr w:rsidRPr="00DD0317" w:rsidR="003D00FC" w:rsidSect="00F507D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8D7" w:rsidP="00B91315" w:rsidRDefault="00FA18D7" w14:paraId="0129BABD" w14:textId="77777777">
      <w:pPr>
        <w:spacing w:after="0" w:line="240" w:lineRule="auto"/>
      </w:pPr>
      <w:r>
        <w:separator/>
      </w:r>
    </w:p>
  </w:endnote>
  <w:endnote w:type="continuationSeparator" w:id="0">
    <w:p w:rsidR="00FA18D7" w:rsidP="00B91315" w:rsidRDefault="00FA18D7" w14:paraId="1008F0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B276D" w:rsidRDefault="005B276D" w14:paraId="6F009522" w14:textId="67A923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EBD7C66" wp14:editId="77582E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B276D" w:rsidR="005B276D" w:rsidP="005B276D" w:rsidRDefault="005B276D" w14:paraId="49F6AE84" w14:textId="1791E8E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B276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EBD7C66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5B276D" w:rsidR="005B276D" w:rsidP="005B276D" w:rsidRDefault="005B276D" w14:paraId="49F6AE84" w14:textId="1791E8E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5B276D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A1CE1" w:rsidRDefault="005B276D" w14:paraId="70283C4A" w14:textId="1C294C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779A0F3" wp14:editId="7000528A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B276D" w:rsidR="005B276D" w:rsidP="005B276D" w:rsidRDefault="005B276D" w14:paraId="2716D120" w14:textId="31618F0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B276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779A0F3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5B276D" w:rsidR="005B276D" w:rsidP="005B276D" w:rsidRDefault="005B276D" w14:paraId="2716D120" w14:textId="31618F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5B276D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026481" w:rsidRDefault="005B276D" w14:paraId="0CB55543" w14:textId="5F399F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0AF05E3" wp14:editId="419CE2A1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B276D" w:rsidR="005B276D" w:rsidP="005B276D" w:rsidRDefault="005B276D" w14:paraId="4FE1575F" w14:textId="12E1B55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B276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0AF05E3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5B276D" w:rsidR="005B276D" w:rsidP="005B276D" w:rsidRDefault="005B276D" w14:paraId="4FE1575F" w14:textId="12E1B55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5B276D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509F329F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8D7" w:rsidP="00B91315" w:rsidRDefault="00FA18D7" w14:paraId="188D3E0D" w14:textId="77777777">
      <w:pPr>
        <w:spacing w:after="0" w:line="240" w:lineRule="auto"/>
      </w:pPr>
      <w:r>
        <w:separator/>
      </w:r>
    </w:p>
  </w:footnote>
  <w:footnote w:type="continuationSeparator" w:id="0">
    <w:p w:rsidR="00FA18D7" w:rsidP="00B91315" w:rsidRDefault="00FA18D7" w14:paraId="6EEF6D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B276D" w:rsidRDefault="005B276D" w14:paraId="029EDE43" w14:textId="3C8A80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68AE9D" wp14:editId="03649F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B276D" w:rsidR="005B276D" w:rsidP="005B276D" w:rsidRDefault="005B276D" w14:paraId="70FDBEB2" w14:textId="5189AB8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B276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868AE9D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5B276D" w:rsidR="005B276D" w:rsidP="005B276D" w:rsidRDefault="005B276D" w14:paraId="70FDBEB2" w14:textId="5189AB8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5B276D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B276D" w:rsidRDefault="005B276D" w14:paraId="4AD1D51D" w14:textId="0C7455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5EFFC76" wp14:editId="6966465D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B276D" w:rsidR="005B276D" w:rsidP="005B276D" w:rsidRDefault="005B276D" w14:paraId="720A04EC" w14:textId="056BD0D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B276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5EFFC76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5B276D" w:rsidR="005B276D" w:rsidP="005B276D" w:rsidRDefault="005B276D" w14:paraId="720A04EC" w14:textId="056BD0D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5B276D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507D8" w:rsidRDefault="005B276D" w14:paraId="095DAB5F" w14:textId="0AA46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6733A9" wp14:editId="5CA6DB2F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B276D" w:rsidR="005B276D" w:rsidP="005B276D" w:rsidRDefault="005B276D" w14:paraId="3E4BFC78" w14:textId="0421517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5B276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06733A9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5B276D" w:rsidR="005B276D" w:rsidP="005B276D" w:rsidRDefault="005B276D" w14:paraId="3E4BFC78" w14:textId="0421517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5B276D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D258B" w:rsidR="00EE2B0D">
      <w:rPr>
        <w:noProof/>
      </w:rPr>
      <w:drawing>
        <wp:anchor distT="0" distB="0" distL="114300" distR="114300" simplePos="0" relativeHeight="251658241" behindDoc="1" locked="0" layoutInCell="0" allowOverlap="1" wp14:anchorId="28E4940F" wp14:editId="0D98BCDF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hint="default" w:ascii="Symbol" w:hAnsi="Symbol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F7260A"/>
    <w:multiLevelType w:val="hybridMultilevel"/>
    <w:tmpl w:val="1D1073C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C6464B"/>
    <w:multiLevelType w:val="hybridMultilevel"/>
    <w:tmpl w:val="0D54921C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DB1144"/>
    <w:multiLevelType w:val="hybridMultilevel"/>
    <w:tmpl w:val="FE3E4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544783">
    <w:abstractNumId w:val="2"/>
  </w:num>
  <w:num w:numId="2" w16cid:durableId="1260992429">
    <w:abstractNumId w:val="0"/>
  </w:num>
  <w:num w:numId="3" w16cid:durableId="237250943">
    <w:abstractNumId w:val="1"/>
  </w:num>
  <w:num w:numId="4" w16cid:durableId="71050798">
    <w:abstractNumId w:val="2"/>
    <w:lvlOverride w:ilvl="0">
      <w:startOverride w:val="1"/>
    </w:lvlOverride>
  </w:num>
  <w:num w:numId="5" w16cid:durableId="559443847">
    <w:abstractNumId w:val="0"/>
    <w:lvlOverride w:ilvl="0">
      <w:startOverride w:val="1"/>
    </w:lvlOverride>
  </w:num>
  <w:num w:numId="6" w16cid:durableId="7953215">
    <w:abstractNumId w:val="14"/>
  </w:num>
  <w:num w:numId="7" w16cid:durableId="937786599">
    <w:abstractNumId w:val="5"/>
  </w:num>
  <w:num w:numId="8" w16cid:durableId="1705129753">
    <w:abstractNumId w:val="12"/>
  </w:num>
  <w:num w:numId="9" w16cid:durableId="1769689634">
    <w:abstractNumId w:val="17"/>
  </w:num>
  <w:num w:numId="10" w16cid:durableId="1741363640">
    <w:abstractNumId w:val="3"/>
  </w:num>
  <w:num w:numId="11" w16cid:durableId="467480574">
    <w:abstractNumId w:val="13"/>
  </w:num>
  <w:num w:numId="12" w16cid:durableId="624195713">
    <w:abstractNumId w:val="4"/>
  </w:num>
  <w:num w:numId="13" w16cid:durableId="1969310575">
    <w:abstractNumId w:val="18"/>
  </w:num>
  <w:num w:numId="14" w16cid:durableId="152991562">
    <w:abstractNumId w:val="9"/>
  </w:num>
  <w:num w:numId="15" w16cid:durableId="1180003123">
    <w:abstractNumId w:val="8"/>
  </w:num>
  <w:num w:numId="16" w16cid:durableId="1458642729">
    <w:abstractNumId w:val="16"/>
  </w:num>
  <w:num w:numId="17" w16cid:durableId="1903297598">
    <w:abstractNumId w:val="15"/>
  </w:num>
  <w:num w:numId="18" w16cid:durableId="1948268131">
    <w:abstractNumId w:val="6"/>
  </w:num>
  <w:num w:numId="19" w16cid:durableId="16413035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3382307">
    <w:abstractNumId w:val="7"/>
  </w:num>
  <w:num w:numId="21" w16cid:durableId="1098788853">
    <w:abstractNumId w:val="10"/>
  </w:num>
  <w:num w:numId="22" w16cid:durableId="1590499722">
    <w:abstractNumId w:val="19"/>
  </w:num>
  <w:num w:numId="23" w16cid:durableId="351609164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0521C"/>
    <w:rsid w:val="00022442"/>
    <w:rsid w:val="00023AD9"/>
    <w:rsid w:val="000243DE"/>
    <w:rsid w:val="000258E9"/>
    <w:rsid w:val="00026481"/>
    <w:rsid w:val="00030B10"/>
    <w:rsid w:val="00033908"/>
    <w:rsid w:val="00035547"/>
    <w:rsid w:val="00046363"/>
    <w:rsid w:val="00050534"/>
    <w:rsid w:val="00053EEA"/>
    <w:rsid w:val="00054C22"/>
    <w:rsid w:val="00055ACD"/>
    <w:rsid w:val="00057277"/>
    <w:rsid w:val="000619B2"/>
    <w:rsid w:val="00075411"/>
    <w:rsid w:val="00077364"/>
    <w:rsid w:val="00090E40"/>
    <w:rsid w:val="00090FCA"/>
    <w:rsid w:val="000913E1"/>
    <w:rsid w:val="000951F7"/>
    <w:rsid w:val="00095C01"/>
    <w:rsid w:val="000964C6"/>
    <w:rsid w:val="000A08E3"/>
    <w:rsid w:val="000A138D"/>
    <w:rsid w:val="000B34DF"/>
    <w:rsid w:val="000B62A0"/>
    <w:rsid w:val="000C1075"/>
    <w:rsid w:val="000C3AE1"/>
    <w:rsid w:val="000C3B48"/>
    <w:rsid w:val="000C5432"/>
    <w:rsid w:val="000C5A1B"/>
    <w:rsid w:val="000C621A"/>
    <w:rsid w:val="000D3F01"/>
    <w:rsid w:val="000D4E27"/>
    <w:rsid w:val="000E30E7"/>
    <w:rsid w:val="000E7E69"/>
    <w:rsid w:val="000F08BB"/>
    <w:rsid w:val="000F13D9"/>
    <w:rsid w:val="000F77A5"/>
    <w:rsid w:val="00103119"/>
    <w:rsid w:val="00106051"/>
    <w:rsid w:val="00106F3A"/>
    <w:rsid w:val="0011569B"/>
    <w:rsid w:val="00120721"/>
    <w:rsid w:val="001209C3"/>
    <w:rsid w:val="001300E2"/>
    <w:rsid w:val="00131266"/>
    <w:rsid w:val="00140FF0"/>
    <w:rsid w:val="001541BC"/>
    <w:rsid w:val="00154235"/>
    <w:rsid w:val="00157194"/>
    <w:rsid w:val="001601AF"/>
    <w:rsid w:val="001605C4"/>
    <w:rsid w:val="0016093F"/>
    <w:rsid w:val="00164AAF"/>
    <w:rsid w:val="00175D09"/>
    <w:rsid w:val="001814DB"/>
    <w:rsid w:val="00183A05"/>
    <w:rsid w:val="0018474D"/>
    <w:rsid w:val="00185700"/>
    <w:rsid w:val="00191634"/>
    <w:rsid w:val="001A46F8"/>
    <w:rsid w:val="001A71CD"/>
    <w:rsid w:val="001B0247"/>
    <w:rsid w:val="001B0914"/>
    <w:rsid w:val="001B0E02"/>
    <w:rsid w:val="001B5017"/>
    <w:rsid w:val="001C4FC8"/>
    <w:rsid w:val="001C6F2A"/>
    <w:rsid w:val="001C7617"/>
    <w:rsid w:val="001D44E0"/>
    <w:rsid w:val="001F1A05"/>
    <w:rsid w:val="001F5CFF"/>
    <w:rsid w:val="001F7938"/>
    <w:rsid w:val="002048BC"/>
    <w:rsid w:val="00207417"/>
    <w:rsid w:val="00207C1A"/>
    <w:rsid w:val="00221E17"/>
    <w:rsid w:val="00227DDF"/>
    <w:rsid w:val="002308E5"/>
    <w:rsid w:val="00231D77"/>
    <w:rsid w:val="002340CD"/>
    <w:rsid w:val="002401E2"/>
    <w:rsid w:val="00240F37"/>
    <w:rsid w:val="00241B7A"/>
    <w:rsid w:val="0025173E"/>
    <w:rsid w:val="0027489D"/>
    <w:rsid w:val="002822FB"/>
    <w:rsid w:val="0028397F"/>
    <w:rsid w:val="0029203D"/>
    <w:rsid w:val="00293CEB"/>
    <w:rsid w:val="002A0AFD"/>
    <w:rsid w:val="002A4326"/>
    <w:rsid w:val="002A64EE"/>
    <w:rsid w:val="002B6DB5"/>
    <w:rsid w:val="002C2E21"/>
    <w:rsid w:val="002D2649"/>
    <w:rsid w:val="002D3950"/>
    <w:rsid w:val="002D3C03"/>
    <w:rsid w:val="002E1027"/>
    <w:rsid w:val="002E2C0C"/>
    <w:rsid w:val="002E462A"/>
    <w:rsid w:val="002F075A"/>
    <w:rsid w:val="002F4037"/>
    <w:rsid w:val="002F6AA3"/>
    <w:rsid w:val="00301519"/>
    <w:rsid w:val="0030187E"/>
    <w:rsid w:val="00303445"/>
    <w:rsid w:val="00303AA0"/>
    <w:rsid w:val="0030403D"/>
    <w:rsid w:val="003210C1"/>
    <w:rsid w:val="003223F7"/>
    <w:rsid w:val="003224ED"/>
    <w:rsid w:val="003246C1"/>
    <w:rsid w:val="003313B6"/>
    <w:rsid w:val="00331574"/>
    <w:rsid w:val="0033522E"/>
    <w:rsid w:val="003355F1"/>
    <w:rsid w:val="00344F48"/>
    <w:rsid w:val="00352198"/>
    <w:rsid w:val="0035242B"/>
    <w:rsid w:val="00355A52"/>
    <w:rsid w:val="0035651E"/>
    <w:rsid w:val="00362F2C"/>
    <w:rsid w:val="00363D70"/>
    <w:rsid w:val="00364EBA"/>
    <w:rsid w:val="003650DE"/>
    <w:rsid w:val="00366836"/>
    <w:rsid w:val="00374374"/>
    <w:rsid w:val="0038087B"/>
    <w:rsid w:val="00381E23"/>
    <w:rsid w:val="00384C8F"/>
    <w:rsid w:val="003A19C8"/>
    <w:rsid w:val="003A3C5C"/>
    <w:rsid w:val="003B66EC"/>
    <w:rsid w:val="003B6860"/>
    <w:rsid w:val="003C0C21"/>
    <w:rsid w:val="003C126C"/>
    <w:rsid w:val="003C38A5"/>
    <w:rsid w:val="003C4A66"/>
    <w:rsid w:val="003C7665"/>
    <w:rsid w:val="003D00FC"/>
    <w:rsid w:val="003D27AC"/>
    <w:rsid w:val="003D7182"/>
    <w:rsid w:val="003E107C"/>
    <w:rsid w:val="003E2304"/>
    <w:rsid w:val="003E4567"/>
    <w:rsid w:val="003E67AB"/>
    <w:rsid w:val="003E6C7F"/>
    <w:rsid w:val="003E7911"/>
    <w:rsid w:val="003E7B35"/>
    <w:rsid w:val="003F3D5D"/>
    <w:rsid w:val="003F53CC"/>
    <w:rsid w:val="003F7990"/>
    <w:rsid w:val="00413BEE"/>
    <w:rsid w:val="0041414F"/>
    <w:rsid w:val="0042192D"/>
    <w:rsid w:val="00431135"/>
    <w:rsid w:val="0043114E"/>
    <w:rsid w:val="00435257"/>
    <w:rsid w:val="004411F7"/>
    <w:rsid w:val="00446074"/>
    <w:rsid w:val="0044659B"/>
    <w:rsid w:val="00446DDB"/>
    <w:rsid w:val="004531F7"/>
    <w:rsid w:val="004538AE"/>
    <w:rsid w:val="00460F24"/>
    <w:rsid w:val="00463372"/>
    <w:rsid w:val="004657F4"/>
    <w:rsid w:val="0046719F"/>
    <w:rsid w:val="00470E06"/>
    <w:rsid w:val="004717CF"/>
    <w:rsid w:val="00475F9E"/>
    <w:rsid w:val="00480739"/>
    <w:rsid w:val="004823F6"/>
    <w:rsid w:val="00486D8A"/>
    <w:rsid w:val="00487C88"/>
    <w:rsid w:val="004978C4"/>
    <w:rsid w:val="00497AC9"/>
    <w:rsid w:val="004A12A3"/>
    <w:rsid w:val="004A1F6A"/>
    <w:rsid w:val="004A2078"/>
    <w:rsid w:val="004B3CD2"/>
    <w:rsid w:val="004B3FED"/>
    <w:rsid w:val="004B4015"/>
    <w:rsid w:val="004B443C"/>
    <w:rsid w:val="004B46DF"/>
    <w:rsid w:val="004B6F90"/>
    <w:rsid w:val="004C150C"/>
    <w:rsid w:val="004C56B8"/>
    <w:rsid w:val="004C5CFE"/>
    <w:rsid w:val="004E1067"/>
    <w:rsid w:val="004E3AD6"/>
    <w:rsid w:val="004F547D"/>
    <w:rsid w:val="004F7FDB"/>
    <w:rsid w:val="005053A3"/>
    <w:rsid w:val="00513AF9"/>
    <w:rsid w:val="00522271"/>
    <w:rsid w:val="00526855"/>
    <w:rsid w:val="00526DED"/>
    <w:rsid w:val="0053609A"/>
    <w:rsid w:val="00541BA0"/>
    <w:rsid w:val="0054318F"/>
    <w:rsid w:val="00544122"/>
    <w:rsid w:val="00545626"/>
    <w:rsid w:val="00545B6C"/>
    <w:rsid w:val="00551292"/>
    <w:rsid w:val="00552058"/>
    <w:rsid w:val="00552E7B"/>
    <w:rsid w:val="00561972"/>
    <w:rsid w:val="00562497"/>
    <w:rsid w:val="005634C0"/>
    <w:rsid w:val="005814EC"/>
    <w:rsid w:val="00581780"/>
    <w:rsid w:val="0058338D"/>
    <w:rsid w:val="00596034"/>
    <w:rsid w:val="005A23FD"/>
    <w:rsid w:val="005A38F5"/>
    <w:rsid w:val="005A3B9C"/>
    <w:rsid w:val="005A5C88"/>
    <w:rsid w:val="005B276D"/>
    <w:rsid w:val="005B406E"/>
    <w:rsid w:val="005C319B"/>
    <w:rsid w:val="005D1128"/>
    <w:rsid w:val="005D2C41"/>
    <w:rsid w:val="005E3CCA"/>
    <w:rsid w:val="005E51D0"/>
    <w:rsid w:val="00600A09"/>
    <w:rsid w:val="0061383F"/>
    <w:rsid w:val="00615E3E"/>
    <w:rsid w:val="0061692E"/>
    <w:rsid w:val="0062433C"/>
    <w:rsid w:val="00626AFE"/>
    <w:rsid w:val="0063741D"/>
    <w:rsid w:val="00647AD1"/>
    <w:rsid w:val="006541FF"/>
    <w:rsid w:val="006671AA"/>
    <w:rsid w:val="00670040"/>
    <w:rsid w:val="0067044E"/>
    <w:rsid w:val="00692814"/>
    <w:rsid w:val="00696169"/>
    <w:rsid w:val="006A46B9"/>
    <w:rsid w:val="006B2CE5"/>
    <w:rsid w:val="006B44FB"/>
    <w:rsid w:val="006B75E3"/>
    <w:rsid w:val="006C522B"/>
    <w:rsid w:val="006C61C7"/>
    <w:rsid w:val="006D33F6"/>
    <w:rsid w:val="006E1F55"/>
    <w:rsid w:val="006F31C6"/>
    <w:rsid w:val="006F7EA1"/>
    <w:rsid w:val="00703185"/>
    <w:rsid w:val="007063DA"/>
    <w:rsid w:val="00717DA1"/>
    <w:rsid w:val="007206F9"/>
    <w:rsid w:val="0072633F"/>
    <w:rsid w:val="00727B1D"/>
    <w:rsid w:val="00733257"/>
    <w:rsid w:val="00736734"/>
    <w:rsid w:val="00737A45"/>
    <w:rsid w:val="00744663"/>
    <w:rsid w:val="00755028"/>
    <w:rsid w:val="00757B5D"/>
    <w:rsid w:val="00760340"/>
    <w:rsid w:val="0076441B"/>
    <w:rsid w:val="00780F9A"/>
    <w:rsid w:val="00792A2F"/>
    <w:rsid w:val="00793FFF"/>
    <w:rsid w:val="00796C33"/>
    <w:rsid w:val="007974A6"/>
    <w:rsid w:val="007A019E"/>
    <w:rsid w:val="007A1147"/>
    <w:rsid w:val="007A1615"/>
    <w:rsid w:val="007B0657"/>
    <w:rsid w:val="007C050A"/>
    <w:rsid w:val="007C0810"/>
    <w:rsid w:val="007C0D9D"/>
    <w:rsid w:val="007C2BA0"/>
    <w:rsid w:val="007C514C"/>
    <w:rsid w:val="007C5AF1"/>
    <w:rsid w:val="007C7B08"/>
    <w:rsid w:val="007D1840"/>
    <w:rsid w:val="007E169C"/>
    <w:rsid w:val="007E67AA"/>
    <w:rsid w:val="007F0C41"/>
    <w:rsid w:val="007F360A"/>
    <w:rsid w:val="007F5212"/>
    <w:rsid w:val="00803A3F"/>
    <w:rsid w:val="00804462"/>
    <w:rsid w:val="00806107"/>
    <w:rsid w:val="008114F6"/>
    <w:rsid w:val="00813598"/>
    <w:rsid w:val="00817798"/>
    <w:rsid w:val="00830C45"/>
    <w:rsid w:val="00836D5A"/>
    <w:rsid w:val="00837C6E"/>
    <w:rsid w:val="00844013"/>
    <w:rsid w:val="00856953"/>
    <w:rsid w:val="00857062"/>
    <w:rsid w:val="008717B4"/>
    <w:rsid w:val="00873F47"/>
    <w:rsid w:val="008778C4"/>
    <w:rsid w:val="008811FE"/>
    <w:rsid w:val="0088705C"/>
    <w:rsid w:val="008968BC"/>
    <w:rsid w:val="008A344F"/>
    <w:rsid w:val="008B048F"/>
    <w:rsid w:val="008B29B8"/>
    <w:rsid w:val="008B2C35"/>
    <w:rsid w:val="008B69AD"/>
    <w:rsid w:val="008C2535"/>
    <w:rsid w:val="008C5CA2"/>
    <w:rsid w:val="008C6773"/>
    <w:rsid w:val="008D1798"/>
    <w:rsid w:val="008D4F7F"/>
    <w:rsid w:val="008E5048"/>
    <w:rsid w:val="008E5985"/>
    <w:rsid w:val="008E5D45"/>
    <w:rsid w:val="008F682C"/>
    <w:rsid w:val="00903CE7"/>
    <w:rsid w:val="00906AE5"/>
    <w:rsid w:val="00910ADF"/>
    <w:rsid w:val="00912817"/>
    <w:rsid w:val="00914F7B"/>
    <w:rsid w:val="00916276"/>
    <w:rsid w:val="009179CD"/>
    <w:rsid w:val="00917B3D"/>
    <w:rsid w:val="00917C2D"/>
    <w:rsid w:val="00921506"/>
    <w:rsid w:val="00923D68"/>
    <w:rsid w:val="00932F7F"/>
    <w:rsid w:val="0093586C"/>
    <w:rsid w:val="00940596"/>
    <w:rsid w:val="00940849"/>
    <w:rsid w:val="00942700"/>
    <w:rsid w:val="00943CA3"/>
    <w:rsid w:val="0094571D"/>
    <w:rsid w:val="009459E0"/>
    <w:rsid w:val="009508FD"/>
    <w:rsid w:val="009528CB"/>
    <w:rsid w:val="00953980"/>
    <w:rsid w:val="00957F59"/>
    <w:rsid w:val="00964F8F"/>
    <w:rsid w:val="009709FC"/>
    <w:rsid w:val="00973376"/>
    <w:rsid w:val="00974B43"/>
    <w:rsid w:val="009750E6"/>
    <w:rsid w:val="00984EC4"/>
    <w:rsid w:val="00990242"/>
    <w:rsid w:val="00990D2C"/>
    <w:rsid w:val="00990F3B"/>
    <w:rsid w:val="009968EB"/>
    <w:rsid w:val="00997A69"/>
    <w:rsid w:val="009A1CE1"/>
    <w:rsid w:val="009A5782"/>
    <w:rsid w:val="009A6A9A"/>
    <w:rsid w:val="009B02CA"/>
    <w:rsid w:val="009B2E19"/>
    <w:rsid w:val="009B577A"/>
    <w:rsid w:val="009B5CBD"/>
    <w:rsid w:val="009B7201"/>
    <w:rsid w:val="009C36AF"/>
    <w:rsid w:val="009C3F6C"/>
    <w:rsid w:val="009D0A3B"/>
    <w:rsid w:val="009D28D5"/>
    <w:rsid w:val="009D3D94"/>
    <w:rsid w:val="009D646B"/>
    <w:rsid w:val="009E07D4"/>
    <w:rsid w:val="009E1173"/>
    <w:rsid w:val="009E1BF4"/>
    <w:rsid w:val="009E32CB"/>
    <w:rsid w:val="009E42E7"/>
    <w:rsid w:val="009E5BF6"/>
    <w:rsid w:val="009F224C"/>
    <w:rsid w:val="009F6119"/>
    <w:rsid w:val="009F61E3"/>
    <w:rsid w:val="00A00EA8"/>
    <w:rsid w:val="00A01E9C"/>
    <w:rsid w:val="00A07FA6"/>
    <w:rsid w:val="00A10ABE"/>
    <w:rsid w:val="00A10F25"/>
    <w:rsid w:val="00A1152A"/>
    <w:rsid w:val="00A11A29"/>
    <w:rsid w:val="00A11EF8"/>
    <w:rsid w:val="00A13F24"/>
    <w:rsid w:val="00A22505"/>
    <w:rsid w:val="00A23DDA"/>
    <w:rsid w:val="00A240CB"/>
    <w:rsid w:val="00A24D66"/>
    <w:rsid w:val="00A309EB"/>
    <w:rsid w:val="00A31385"/>
    <w:rsid w:val="00A316E0"/>
    <w:rsid w:val="00A37742"/>
    <w:rsid w:val="00A42503"/>
    <w:rsid w:val="00A44EEB"/>
    <w:rsid w:val="00A4710D"/>
    <w:rsid w:val="00A52C39"/>
    <w:rsid w:val="00A53AAD"/>
    <w:rsid w:val="00A54BA5"/>
    <w:rsid w:val="00A555B2"/>
    <w:rsid w:val="00A60D09"/>
    <w:rsid w:val="00A6715B"/>
    <w:rsid w:val="00A67CD0"/>
    <w:rsid w:val="00A736F4"/>
    <w:rsid w:val="00A8664D"/>
    <w:rsid w:val="00A92D7C"/>
    <w:rsid w:val="00A9308C"/>
    <w:rsid w:val="00A94225"/>
    <w:rsid w:val="00A96B55"/>
    <w:rsid w:val="00AA21DA"/>
    <w:rsid w:val="00AA7D2E"/>
    <w:rsid w:val="00AB0362"/>
    <w:rsid w:val="00AB1599"/>
    <w:rsid w:val="00AB7B44"/>
    <w:rsid w:val="00AC0A88"/>
    <w:rsid w:val="00AC4F4E"/>
    <w:rsid w:val="00AC6247"/>
    <w:rsid w:val="00AD05F3"/>
    <w:rsid w:val="00AD3228"/>
    <w:rsid w:val="00AD37CA"/>
    <w:rsid w:val="00AD4521"/>
    <w:rsid w:val="00AD52C7"/>
    <w:rsid w:val="00AE4DF7"/>
    <w:rsid w:val="00AF3C99"/>
    <w:rsid w:val="00AF3CA5"/>
    <w:rsid w:val="00AF712B"/>
    <w:rsid w:val="00B11515"/>
    <w:rsid w:val="00B1206F"/>
    <w:rsid w:val="00B121F0"/>
    <w:rsid w:val="00B1310E"/>
    <w:rsid w:val="00B21E40"/>
    <w:rsid w:val="00B3068A"/>
    <w:rsid w:val="00B31839"/>
    <w:rsid w:val="00B42580"/>
    <w:rsid w:val="00B4332F"/>
    <w:rsid w:val="00B44685"/>
    <w:rsid w:val="00B4736D"/>
    <w:rsid w:val="00B50BED"/>
    <w:rsid w:val="00B52225"/>
    <w:rsid w:val="00B62D22"/>
    <w:rsid w:val="00B6616B"/>
    <w:rsid w:val="00B732D2"/>
    <w:rsid w:val="00B81DCC"/>
    <w:rsid w:val="00B91315"/>
    <w:rsid w:val="00B94EDC"/>
    <w:rsid w:val="00BA3D51"/>
    <w:rsid w:val="00BB2530"/>
    <w:rsid w:val="00BB333D"/>
    <w:rsid w:val="00BB5F5A"/>
    <w:rsid w:val="00BC4DBC"/>
    <w:rsid w:val="00BD09CE"/>
    <w:rsid w:val="00BD3AA1"/>
    <w:rsid w:val="00BD4013"/>
    <w:rsid w:val="00BD4041"/>
    <w:rsid w:val="00BD5597"/>
    <w:rsid w:val="00BE48BB"/>
    <w:rsid w:val="00BF23EA"/>
    <w:rsid w:val="00BF5495"/>
    <w:rsid w:val="00C01D21"/>
    <w:rsid w:val="00C04524"/>
    <w:rsid w:val="00C117CC"/>
    <w:rsid w:val="00C14053"/>
    <w:rsid w:val="00C159B9"/>
    <w:rsid w:val="00C208F4"/>
    <w:rsid w:val="00C2135C"/>
    <w:rsid w:val="00C2331A"/>
    <w:rsid w:val="00C33A30"/>
    <w:rsid w:val="00C4181F"/>
    <w:rsid w:val="00C42922"/>
    <w:rsid w:val="00C434E8"/>
    <w:rsid w:val="00C5104F"/>
    <w:rsid w:val="00C54180"/>
    <w:rsid w:val="00C66C76"/>
    <w:rsid w:val="00C67C94"/>
    <w:rsid w:val="00C70753"/>
    <w:rsid w:val="00C770A7"/>
    <w:rsid w:val="00C90F59"/>
    <w:rsid w:val="00C95EC2"/>
    <w:rsid w:val="00CA5784"/>
    <w:rsid w:val="00CA67CA"/>
    <w:rsid w:val="00CB10A6"/>
    <w:rsid w:val="00CB30BF"/>
    <w:rsid w:val="00CB51C8"/>
    <w:rsid w:val="00CC6AC7"/>
    <w:rsid w:val="00CD3474"/>
    <w:rsid w:val="00CD58F6"/>
    <w:rsid w:val="00D037C8"/>
    <w:rsid w:val="00D11606"/>
    <w:rsid w:val="00D16A8F"/>
    <w:rsid w:val="00D21C0C"/>
    <w:rsid w:val="00D313A0"/>
    <w:rsid w:val="00D33626"/>
    <w:rsid w:val="00D33F6A"/>
    <w:rsid w:val="00D341E4"/>
    <w:rsid w:val="00D3423F"/>
    <w:rsid w:val="00D433FF"/>
    <w:rsid w:val="00D45554"/>
    <w:rsid w:val="00D46728"/>
    <w:rsid w:val="00D50660"/>
    <w:rsid w:val="00D515B8"/>
    <w:rsid w:val="00D52BD8"/>
    <w:rsid w:val="00D52C55"/>
    <w:rsid w:val="00D64ED2"/>
    <w:rsid w:val="00D6590D"/>
    <w:rsid w:val="00D66D76"/>
    <w:rsid w:val="00D76957"/>
    <w:rsid w:val="00D772AF"/>
    <w:rsid w:val="00D85103"/>
    <w:rsid w:val="00D92252"/>
    <w:rsid w:val="00D92C0D"/>
    <w:rsid w:val="00D94B95"/>
    <w:rsid w:val="00DB22EA"/>
    <w:rsid w:val="00DB5716"/>
    <w:rsid w:val="00DD0317"/>
    <w:rsid w:val="00DE06D1"/>
    <w:rsid w:val="00DF09CF"/>
    <w:rsid w:val="00DF2AD6"/>
    <w:rsid w:val="00E00C62"/>
    <w:rsid w:val="00E00D82"/>
    <w:rsid w:val="00E00F94"/>
    <w:rsid w:val="00E02A03"/>
    <w:rsid w:val="00E03B88"/>
    <w:rsid w:val="00E0506A"/>
    <w:rsid w:val="00E067D7"/>
    <w:rsid w:val="00E10B83"/>
    <w:rsid w:val="00E12180"/>
    <w:rsid w:val="00E1611F"/>
    <w:rsid w:val="00E31348"/>
    <w:rsid w:val="00E3600E"/>
    <w:rsid w:val="00E4123E"/>
    <w:rsid w:val="00E41B07"/>
    <w:rsid w:val="00E67989"/>
    <w:rsid w:val="00E77B94"/>
    <w:rsid w:val="00E812B6"/>
    <w:rsid w:val="00E83685"/>
    <w:rsid w:val="00E83D29"/>
    <w:rsid w:val="00E846CD"/>
    <w:rsid w:val="00E904B6"/>
    <w:rsid w:val="00E91929"/>
    <w:rsid w:val="00E91EFD"/>
    <w:rsid w:val="00EA749E"/>
    <w:rsid w:val="00EB0627"/>
    <w:rsid w:val="00EB25B4"/>
    <w:rsid w:val="00EB6E75"/>
    <w:rsid w:val="00EB717D"/>
    <w:rsid w:val="00EB78C9"/>
    <w:rsid w:val="00EC385B"/>
    <w:rsid w:val="00ED218C"/>
    <w:rsid w:val="00ED6785"/>
    <w:rsid w:val="00ED7896"/>
    <w:rsid w:val="00EE2B0D"/>
    <w:rsid w:val="00F02904"/>
    <w:rsid w:val="00F07477"/>
    <w:rsid w:val="00F10468"/>
    <w:rsid w:val="00F12B21"/>
    <w:rsid w:val="00F20F62"/>
    <w:rsid w:val="00F26DC7"/>
    <w:rsid w:val="00F507D8"/>
    <w:rsid w:val="00F5133A"/>
    <w:rsid w:val="00F5482D"/>
    <w:rsid w:val="00F57FD3"/>
    <w:rsid w:val="00F60051"/>
    <w:rsid w:val="00F6533F"/>
    <w:rsid w:val="00F70C69"/>
    <w:rsid w:val="00F74FDE"/>
    <w:rsid w:val="00F76B14"/>
    <w:rsid w:val="00F8673F"/>
    <w:rsid w:val="00F918FD"/>
    <w:rsid w:val="00F93B77"/>
    <w:rsid w:val="00F96B61"/>
    <w:rsid w:val="00FA18D7"/>
    <w:rsid w:val="00FB3E6A"/>
    <w:rsid w:val="00FD04D5"/>
    <w:rsid w:val="00FD1724"/>
    <w:rsid w:val="00FD55A0"/>
    <w:rsid w:val="00FD5F33"/>
    <w:rsid w:val="00FD7071"/>
    <w:rsid w:val="00FE0E5B"/>
    <w:rsid w:val="00FF37C0"/>
    <w:rsid w:val="00FF424C"/>
    <w:rsid w:val="00FF7E40"/>
    <w:rsid w:val="10AD4B01"/>
    <w:rsid w:val="10C9FC00"/>
    <w:rsid w:val="123F1756"/>
    <w:rsid w:val="12EA9627"/>
    <w:rsid w:val="1599302B"/>
    <w:rsid w:val="17D4EDCB"/>
    <w:rsid w:val="1C6C4158"/>
    <w:rsid w:val="1CC43EB2"/>
    <w:rsid w:val="1DF32C4F"/>
    <w:rsid w:val="20E4C36D"/>
    <w:rsid w:val="28A661EE"/>
    <w:rsid w:val="28DAF8DB"/>
    <w:rsid w:val="2B69DDA9"/>
    <w:rsid w:val="2F69E073"/>
    <w:rsid w:val="37C00D5F"/>
    <w:rsid w:val="3D84229C"/>
    <w:rsid w:val="3E6BB3BD"/>
    <w:rsid w:val="421CED9B"/>
    <w:rsid w:val="47641E82"/>
    <w:rsid w:val="4964E1A3"/>
    <w:rsid w:val="4A3EA2E5"/>
    <w:rsid w:val="4AB5A853"/>
    <w:rsid w:val="4C8F7422"/>
    <w:rsid w:val="4DA48707"/>
    <w:rsid w:val="521BB5CC"/>
    <w:rsid w:val="5B0F0A58"/>
    <w:rsid w:val="5C210BA2"/>
    <w:rsid w:val="5E4534BA"/>
    <w:rsid w:val="649E8665"/>
    <w:rsid w:val="650FAF45"/>
    <w:rsid w:val="69C28231"/>
    <w:rsid w:val="6AF8729B"/>
    <w:rsid w:val="70ED46E7"/>
    <w:rsid w:val="724C90E3"/>
    <w:rsid w:val="77F2033C"/>
    <w:rsid w:val="7D87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5ACD4A62-D591-4C0D-87E9-9E95A1E8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uiPriority="8" w:semiHidden="1"/>
    <w:lsdException w:name="endnote reference" w:uiPriority="3" w:semiHidden="1"/>
    <w:lsdException w:name="endnote text" w:uiPriority="3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uiPriority="8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hAnsiTheme="majorHAnsi" w:eastAsiaTheme="majorEastAsia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character" w:styleId="TitleChar" w:customStyle="1">
    <w:name w:val="Title Char"/>
    <w:basedOn w:val="DefaultParagraphFont"/>
    <w:link w:val="Title"/>
    <w:uiPriority w:val="8"/>
    <w:semiHidden/>
    <w:rsid w:val="00F507D8"/>
    <w:rPr>
      <w:rFonts w:asciiTheme="majorHAnsi" w:hAnsiTheme="majorHAnsi" w:eastAsiaTheme="majorEastAsia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hAnsiTheme="majorHAnsi" w:eastAsiaTheme="minorEastAsia"/>
      <w:b/>
      <w:color w:val="1D609D" w:themeColor="accent1"/>
      <w:sz w:val="48"/>
    </w:rPr>
  </w:style>
  <w:style w:type="character" w:styleId="SubtitleChar" w:customStyle="1">
    <w:name w:val="Subtitle Char"/>
    <w:basedOn w:val="DefaultParagraphFont"/>
    <w:link w:val="Subtitle"/>
    <w:uiPriority w:val="8"/>
    <w:semiHidden/>
    <w:rsid w:val="00F507D8"/>
    <w:rPr>
      <w:rFonts w:asciiTheme="majorHAnsi" w:hAnsiTheme="majorHAnsi" w:eastAsiaTheme="minorEastAsia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styleId="Heading1Char" w:customStyle="1">
    <w:name w:val="Heading 1 Char"/>
    <w:basedOn w:val="DefaultParagraphFont"/>
    <w:link w:val="Heading1"/>
    <w:rsid w:val="002A0AFD"/>
    <w:rPr>
      <w:rFonts w:asciiTheme="majorHAnsi" w:hAnsiTheme="majorHAnsi" w:eastAsiaTheme="majorEastAsia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styleId="Heading2Char" w:customStyle="1">
    <w:name w:val="Heading 2 Char"/>
    <w:basedOn w:val="DefaultParagraphFont"/>
    <w:link w:val="Heading2"/>
    <w:rsid w:val="00F507D8"/>
    <w:rPr>
      <w:rFonts w:asciiTheme="majorHAnsi" w:hAnsiTheme="majorHAnsi" w:eastAsiaTheme="majorEastAsia" w:cstheme="majorBidi"/>
      <w:b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2F075A"/>
    <w:rPr>
      <w:rFonts w:asciiTheme="majorHAnsi" w:hAnsiTheme="majorHAnsi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2F075A"/>
    <w:rPr>
      <w:rFonts w:asciiTheme="majorHAnsi" w:hAnsiTheme="majorHAnsi" w:eastAsiaTheme="majorEastAsia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styleId="FooterChar" w:customStyle="1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styleId="EmphasisHeading" w:customStyle="1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spacing w:before="240"/>
      <w:ind w:left="199"/>
    </w:pPr>
    <w:rPr>
      <w:b/>
    </w:rPr>
  </w:style>
  <w:style w:type="paragraph" w:styleId="EmphasisText" w:customStyle="1">
    <w:name w:val="Emphasis Text"/>
    <w:basedOn w:val="BodyText"/>
    <w:uiPriority w:val="3"/>
    <w:qFormat/>
    <w:rsid w:val="002A0AFD"/>
    <w:pPr>
      <w:keepLines/>
      <w:pBdr>
        <w:top w:val="single" w:color="EEF3DA" w:sz="48" w:space="6"/>
        <w:left w:val="single" w:color="EEF3DA" w:sz="48" w:space="4"/>
        <w:bottom w:val="single" w:color="EEF3DA" w:sz="48" w:space="6"/>
        <w:right w:val="single" w:color="EEF3DA" w:sz="48" w:space="4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color="006D55" w:sz="4" w:space="0"/>
        <w:left w:val="single" w:color="006D55" w:sz="4" w:space="0"/>
        <w:bottom w:val="single" w:color="006D55" w:sz="4" w:space="0"/>
        <w:right w:val="single" w:color="006D55" w:sz="4" w:space="0"/>
        <w:insideH w:val="single" w:color="006D55" w:sz="4" w:space="0"/>
        <w:insideV w:val="single" w:color="006D55" w:sz="4" w:space="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styleId="Covertext" w:customStyle="1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styleId="normaltextrun" w:customStyle="1">
    <w:name w:val="normaltextrun"/>
    <w:basedOn w:val="DefaultParagraphFont"/>
    <w:rsid w:val="008C2535"/>
  </w:style>
  <w:style w:type="character" w:styleId="eop" w:customStyle="1">
    <w:name w:val="eop"/>
    <w:basedOn w:val="DefaultParagraphFont"/>
    <w:rsid w:val="008C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assets.publishing.service.gov.uk/media/65844ff9ed3c3400133bfd6f/2018_Standard_Civil_Contract_catergory_specific_rules_Immigration_and_Asylum__January_2024_.pdf" TargetMode="External" Id="rId1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22" /><Relationship Type="http://schemas.openxmlformats.org/officeDocument/2006/relationships/hyperlink" Target="https://assets.publishing.service.gov.uk/media/696a1b7d0c654a0ec44022e5/Fees_Uplift_Guidance.pdf" TargetMode="External" Id="R010354a1962e4d65" /><Relationship Type="http://schemas.openxmlformats.org/officeDocument/2006/relationships/hyperlink" Target="https://view.officeapps.live.com/op/view.aspx?src=https%3A%2F%2Fassets.publishing.service.gov.uk%2Fmedia%2F696a1ead448fedc1eb4248ac%2FSubmit_a_Bulk_Claim_User_Guide_V1.1.docx&amp;wdOrigin=BROWSELINK" TargetMode="External" Id="R519ce0e9ab164626" /><Relationship Type="http://schemas.openxmlformats.org/officeDocument/2006/relationships/hyperlink" Target="https://legalaidlearning.justice.gov.uk/totara/dashboard/index.php?id=74" TargetMode="External" Id="Rff1cd401ace64395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D448B-9521-4AC2-966C-B0C3A2C7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ff1f9-9da8-4d1d-b303-31e42bde3bc9"/>
    <ds:schemaRef ds:uri="d7a46744-1f95-421d-b878-d0a1fa3e6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913D8-45CE-4536-BC92-083ECD9AE646}">
  <ds:schemaRefs>
    <ds:schemaRef ds:uri="http://schemas.microsoft.com/office/2006/metadata/properties"/>
    <ds:schemaRef ds:uri="http://schemas.microsoft.com/office/infopath/2007/PartnerControls"/>
    <ds:schemaRef ds:uri="20aff1f9-9da8-4d1d-b303-31e42bde3bc9"/>
    <ds:schemaRef ds:uri="d7a46744-1f95-421d-b878-d0a1fa3e6555"/>
  </ds:schemaRefs>
</ds:datastoreItem>
</file>

<file path=customXml/itemProps3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D3A1B-971B-4836-85FC-4BEF986A26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LAA</ap:Manager>
  <ap:Company>LAA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[Title]</dc:title>
  <dc:subject>[Subtitle or description]</dc:subject>
  <dc:creator>Bond, Catherine (LAA)</dc:creator>
  <keywords>[Key words for search engines, separated by commas]</keywords>
  <dc:description/>
  <lastModifiedBy>Sharp, Catherine | She/Hers</lastModifiedBy>
  <revision>49</revision>
  <dcterms:created xsi:type="dcterms:W3CDTF">2024-06-29T03:45:00.0000000Z</dcterms:created>
  <dcterms:modified xsi:type="dcterms:W3CDTF">2026-03-09T13:28:44.8793891Z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2024-07-01T18:14:26Z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28604d9a-cce8-465b-83b5-75c8354ae22b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  <property fmtid="{D5CDD505-2E9C-101B-9397-08002B2CF9AE}" pid="18" name="docLang">
    <vt:lpwstr>en</vt:lpwstr>
  </property>
</Properties>
</file>