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A6AE1" w14:textId="77777777" w:rsidR="00A92BBE" w:rsidRDefault="00C755F2" w:rsidP="00D82D2E">
      <w:pPr>
        <w:pStyle w:val="BodyText"/>
        <w:spacing w:after="1120"/>
      </w:pPr>
      <w:r>
        <w:rPr>
          <w:noProof/>
        </w:rPr>
        <w:drawing>
          <wp:inline distT="0" distB="0" distL="0" distR="0" wp14:anchorId="22FAFA2D" wp14:editId="68ACCCA1">
            <wp:extent cx="1226511" cy="1071000"/>
            <wp:effectExtent l="0" t="0" r="0" b="0"/>
            <wp:docPr id="4" name="Picture 4" descr="LA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AA logo "/>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26511" cy="1071000"/>
                    </a:xfrm>
                    <a:prstGeom prst="rect">
                      <a:avLst/>
                    </a:prstGeom>
                    <a:noFill/>
                    <a:ln>
                      <a:noFill/>
                    </a:ln>
                  </pic:spPr>
                </pic:pic>
              </a:graphicData>
            </a:graphic>
          </wp:inline>
        </w:drawing>
      </w:r>
    </w:p>
    <w:p w14:paraId="5D39EDF7" w14:textId="6EF210C1" w:rsidR="00A92BBE" w:rsidRPr="002262BD" w:rsidRDefault="00A92BBE" w:rsidP="00A92BBE">
      <w:pPr>
        <w:pStyle w:val="Heading1"/>
        <w:jc w:val="center"/>
        <w:rPr>
          <w:rFonts w:asciiTheme="minorHAnsi" w:hAnsiTheme="minorHAnsi" w:cstheme="minorHAnsi"/>
          <w:sz w:val="72"/>
          <w:szCs w:val="72"/>
        </w:rPr>
      </w:pPr>
      <w:r w:rsidRPr="002262BD">
        <w:rPr>
          <w:rFonts w:asciiTheme="minorHAnsi" w:hAnsiTheme="minorHAnsi" w:cstheme="minorHAnsi"/>
          <w:sz w:val="72"/>
          <w:szCs w:val="72"/>
        </w:rPr>
        <w:t xml:space="preserve">Immigration </w:t>
      </w:r>
      <w:r w:rsidR="00CC2210">
        <w:rPr>
          <w:rFonts w:asciiTheme="minorHAnsi" w:hAnsiTheme="minorHAnsi" w:cstheme="minorHAnsi"/>
          <w:sz w:val="72"/>
          <w:szCs w:val="72"/>
        </w:rPr>
        <w:t>and</w:t>
      </w:r>
      <w:r w:rsidRPr="002262BD">
        <w:rPr>
          <w:rFonts w:asciiTheme="minorHAnsi" w:hAnsiTheme="minorHAnsi" w:cstheme="minorHAnsi"/>
          <w:sz w:val="72"/>
          <w:szCs w:val="72"/>
        </w:rPr>
        <w:t xml:space="preserve"> Asylum Key</w:t>
      </w:r>
      <w:r w:rsidR="004E064D">
        <w:rPr>
          <w:rFonts w:asciiTheme="minorHAnsi" w:hAnsiTheme="minorHAnsi" w:cstheme="minorHAnsi"/>
          <w:sz w:val="72"/>
          <w:szCs w:val="72"/>
        </w:rPr>
        <w:t>c</w:t>
      </w:r>
      <w:r w:rsidRPr="002262BD">
        <w:rPr>
          <w:rFonts w:asciiTheme="minorHAnsi" w:hAnsiTheme="minorHAnsi" w:cstheme="minorHAnsi"/>
          <w:sz w:val="72"/>
          <w:szCs w:val="72"/>
        </w:rPr>
        <w:t xml:space="preserve">ard </w:t>
      </w:r>
      <w:r>
        <w:rPr>
          <w:rFonts w:asciiTheme="minorHAnsi" w:hAnsiTheme="minorHAnsi" w:cstheme="minorHAnsi"/>
          <w:sz w:val="72"/>
          <w:szCs w:val="72"/>
        </w:rPr>
        <w:t>1</w:t>
      </w:r>
      <w:r w:rsidR="00B43BDD">
        <w:rPr>
          <w:rFonts w:asciiTheme="minorHAnsi" w:hAnsiTheme="minorHAnsi" w:cstheme="minorHAnsi"/>
          <w:sz w:val="72"/>
          <w:szCs w:val="72"/>
        </w:rPr>
        <w:t>1</w:t>
      </w:r>
    </w:p>
    <w:p w14:paraId="6A05959F" w14:textId="17A99EEE" w:rsidR="001031CB" w:rsidRPr="001031CB" w:rsidRDefault="00080EEE" w:rsidP="001031CB">
      <w:pPr>
        <w:keepNext/>
        <w:keepLines/>
        <w:spacing w:before="480" w:after="480" w:line="240" w:lineRule="auto"/>
        <w:jc w:val="center"/>
        <w:outlineLvl w:val="0"/>
        <w:rPr>
          <w:rFonts w:asciiTheme="majorHAnsi" w:eastAsiaTheme="minorEastAsia" w:hAnsiTheme="majorHAnsi" w:cstheme="majorBidi"/>
          <w:b/>
          <w:color w:val="214A35"/>
          <w:sz w:val="48"/>
          <w:szCs w:val="32"/>
        </w:rPr>
      </w:pPr>
      <w:bookmarkStart w:id="0" w:name="_Toc145585450"/>
      <w:r>
        <w:rPr>
          <w:rFonts w:asciiTheme="majorHAnsi" w:eastAsiaTheme="minorEastAsia" w:hAnsiTheme="majorHAnsi" w:cstheme="majorBidi"/>
          <w:b/>
          <w:color w:val="214A35"/>
          <w:sz w:val="48"/>
          <w:szCs w:val="32"/>
        </w:rPr>
        <w:t>Self-Grant Scheme</w:t>
      </w:r>
    </w:p>
    <w:bookmarkEnd w:id="0"/>
    <w:p w14:paraId="15B704A0" w14:textId="77777777" w:rsidR="00A92BBE" w:rsidRDefault="00A92BBE" w:rsidP="00D82D2E">
      <w:pPr>
        <w:pStyle w:val="BodyText"/>
        <w:spacing w:after="1120"/>
      </w:pPr>
    </w:p>
    <w:tbl>
      <w:tblPr>
        <w:tblStyle w:val="TableGrid"/>
        <w:tblpPr w:leftFromText="180" w:rightFromText="180" w:vertAnchor="text" w:horzAnchor="margin" w:tblpY="1266"/>
        <w:tblW w:w="0" w:type="auto"/>
        <w:tblLook w:val="04A0" w:firstRow="1" w:lastRow="0" w:firstColumn="1" w:lastColumn="0" w:noHBand="0" w:noVBand="1"/>
      </w:tblPr>
      <w:tblGrid>
        <w:gridCol w:w="1920"/>
        <w:gridCol w:w="1923"/>
        <w:gridCol w:w="1924"/>
        <w:gridCol w:w="1925"/>
        <w:gridCol w:w="1926"/>
      </w:tblGrid>
      <w:tr w:rsidR="00A92BBE" w14:paraId="5246A4CB" w14:textId="77777777" w:rsidTr="7A1A60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0" w:type="dxa"/>
          </w:tcPr>
          <w:p w14:paraId="6A84045E" w14:textId="77777777" w:rsidR="00A92BBE" w:rsidRDefault="00A92BBE" w:rsidP="00090C5D">
            <w:pPr>
              <w:pStyle w:val="BodyText"/>
              <w:spacing w:after="0"/>
            </w:pPr>
            <w:r>
              <w:t>Version</w:t>
            </w:r>
          </w:p>
        </w:tc>
        <w:tc>
          <w:tcPr>
            <w:tcW w:w="1923" w:type="dxa"/>
          </w:tcPr>
          <w:p w14:paraId="65A888DA" w14:textId="77777777" w:rsidR="00A92BBE" w:rsidRDefault="00A92BBE" w:rsidP="00090C5D">
            <w:pPr>
              <w:pStyle w:val="BodyText"/>
              <w:spacing w:after="0"/>
              <w:cnfStyle w:val="100000000000" w:firstRow="1" w:lastRow="0" w:firstColumn="0" w:lastColumn="0" w:oddVBand="0" w:evenVBand="0" w:oddHBand="0" w:evenHBand="0" w:firstRowFirstColumn="0" w:firstRowLastColumn="0" w:lastRowFirstColumn="0" w:lastRowLastColumn="0"/>
            </w:pPr>
            <w:r>
              <w:t>Issue date</w:t>
            </w:r>
          </w:p>
        </w:tc>
        <w:tc>
          <w:tcPr>
            <w:tcW w:w="1924" w:type="dxa"/>
          </w:tcPr>
          <w:p w14:paraId="0D96F2F5" w14:textId="77777777" w:rsidR="00A92BBE" w:rsidRDefault="00A92BBE" w:rsidP="00090C5D">
            <w:pPr>
              <w:pStyle w:val="BodyText"/>
              <w:spacing w:after="0"/>
              <w:cnfStyle w:val="100000000000" w:firstRow="1" w:lastRow="0" w:firstColumn="0" w:lastColumn="0" w:oddVBand="0" w:evenVBand="0" w:oddHBand="0" w:evenHBand="0" w:firstRowFirstColumn="0" w:firstRowLastColumn="0" w:lastRowFirstColumn="0" w:lastRowLastColumn="0"/>
            </w:pPr>
            <w:r>
              <w:t>Last review date</w:t>
            </w:r>
          </w:p>
        </w:tc>
        <w:tc>
          <w:tcPr>
            <w:tcW w:w="1925" w:type="dxa"/>
          </w:tcPr>
          <w:p w14:paraId="72F359B9" w14:textId="77777777" w:rsidR="00A92BBE" w:rsidRDefault="00A92BBE" w:rsidP="00090C5D">
            <w:pPr>
              <w:pStyle w:val="BodyText"/>
              <w:spacing w:after="0"/>
              <w:cnfStyle w:val="100000000000" w:firstRow="1" w:lastRow="0" w:firstColumn="0" w:lastColumn="0" w:oddVBand="0" w:evenVBand="0" w:oddHBand="0" w:evenHBand="0" w:firstRowFirstColumn="0" w:firstRowLastColumn="0" w:lastRowFirstColumn="0" w:lastRowLastColumn="0"/>
            </w:pPr>
            <w:r>
              <w:t>Owned by</w:t>
            </w:r>
          </w:p>
        </w:tc>
        <w:tc>
          <w:tcPr>
            <w:tcW w:w="1926" w:type="dxa"/>
          </w:tcPr>
          <w:p w14:paraId="7CC5FB4D" w14:textId="77777777" w:rsidR="00A92BBE" w:rsidRDefault="00A92BBE" w:rsidP="00090C5D">
            <w:pPr>
              <w:pStyle w:val="BodyText"/>
              <w:spacing w:after="0"/>
              <w:cnfStyle w:val="100000000000" w:firstRow="1" w:lastRow="0" w:firstColumn="0" w:lastColumn="0" w:oddVBand="0" w:evenVBand="0" w:oddHBand="0" w:evenHBand="0" w:firstRowFirstColumn="0" w:firstRowLastColumn="0" w:lastRowFirstColumn="0" w:lastRowLastColumn="0"/>
            </w:pPr>
            <w:r>
              <w:t>Reviewed by</w:t>
            </w:r>
          </w:p>
        </w:tc>
      </w:tr>
      <w:tr w:rsidR="00A92BBE" w14:paraId="448366F1" w14:textId="77777777" w:rsidTr="7A1A60A0">
        <w:tc>
          <w:tcPr>
            <w:cnfStyle w:val="001000000000" w:firstRow="0" w:lastRow="0" w:firstColumn="1" w:lastColumn="0" w:oddVBand="0" w:evenVBand="0" w:oddHBand="0" w:evenHBand="0" w:firstRowFirstColumn="0" w:firstRowLastColumn="0" w:lastRowFirstColumn="0" w:lastRowLastColumn="0"/>
            <w:tcW w:w="1920" w:type="dxa"/>
          </w:tcPr>
          <w:p w14:paraId="7B2CE845" w14:textId="77777777" w:rsidR="00A92BBE" w:rsidRDefault="00A92BBE" w:rsidP="00090C5D">
            <w:pPr>
              <w:pStyle w:val="BodyText"/>
              <w:spacing w:after="0"/>
            </w:pPr>
            <w:r>
              <w:t>1.0</w:t>
            </w:r>
          </w:p>
        </w:tc>
        <w:tc>
          <w:tcPr>
            <w:tcW w:w="1923" w:type="dxa"/>
          </w:tcPr>
          <w:p w14:paraId="04D787D2" w14:textId="639A333E" w:rsidR="00A92BBE" w:rsidRPr="000A2C27" w:rsidRDefault="0024340D" w:rsidP="00090C5D">
            <w:pPr>
              <w:pStyle w:val="BodyText"/>
              <w:spacing w:after="0"/>
              <w:cnfStyle w:val="000000000000" w:firstRow="0" w:lastRow="0" w:firstColumn="0" w:lastColumn="0" w:oddVBand="0" w:evenVBand="0" w:oddHBand="0" w:evenHBand="0" w:firstRowFirstColumn="0" w:firstRowLastColumn="0" w:lastRowFirstColumn="0" w:lastRowLastColumn="0"/>
            </w:pPr>
            <w:r>
              <w:t>01/10</w:t>
            </w:r>
            <w:r w:rsidR="00A92BBE" w:rsidRPr="000A2C27">
              <w:t>/2025</w:t>
            </w:r>
          </w:p>
        </w:tc>
        <w:tc>
          <w:tcPr>
            <w:tcW w:w="1924" w:type="dxa"/>
          </w:tcPr>
          <w:p w14:paraId="5B82345E" w14:textId="6D7654BB" w:rsidR="00A92BBE" w:rsidRPr="000A2C27" w:rsidRDefault="00A92BBE" w:rsidP="00090C5D">
            <w:pPr>
              <w:pStyle w:val="BodyText"/>
              <w:spacing w:after="0"/>
              <w:cnfStyle w:val="000000000000" w:firstRow="0" w:lastRow="0" w:firstColumn="0" w:lastColumn="0" w:oddVBand="0" w:evenVBand="0" w:oddHBand="0" w:evenHBand="0" w:firstRowFirstColumn="0" w:firstRowLastColumn="0" w:lastRowFirstColumn="0" w:lastRowLastColumn="0"/>
            </w:pPr>
            <w:r w:rsidRPr="000A2C27">
              <w:t xml:space="preserve"> </w:t>
            </w:r>
            <w:r w:rsidR="00B816BC">
              <w:t>18/09</w:t>
            </w:r>
            <w:r w:rsidRPr="000A2C27">
              <w:t>/2025</w:t>
            </w:r>
          </w:p>
        </w:tc>
        <w:tc>
          <w:tcPr>
            <w:tcW w:w="1925" w:type="dxa"/>
          </w:tcPr>
          <w:p w14:paraId="2D1FD304" w14:textId="6427698B" w:rsidR="00A92BBE" w:rsidRDefault="00A92BBE" w:rsidP="00090C5D">
            <w:pPr>
              <w:pStyle w:val="BodyText"/>
              <w:spacing w:after="0"/>
              <w:cnfStyle w:val="000000000000" w:firstRow="0" w:lastRow="0" w:firstColumn="0" w:lastColumn="0" w:oddVBand="0" w:evenVBand="0" w:oddHBand="0" w:evenHBand="0" w:firstRowFirstColumn="0" w:firstRowLastColumn="0" w:lastRowFirstColumn="0" w:lastRowLastColumn="0"/>
            </w:pPr>
            <w:r>
              <w:t xml:space="preserve">Contract </w:t>
            </w:r>
            <w:r w:rsidR="00602471">
              <w:t>m</w:t>
            </w:r>
            <w:r>
              <w:t xml:space="preserve">anagement </w:t>
            </w:r>
            <w:r w:rsidR="002D57F7">
              <w:t>and</w:t>
            </w:r>
            <w:r>
              <w:t xml:space="preserve"> </w:t>
            </w:r>
            <w:r w:rsidR="255F885E">
              <w:t>A</w:t>
            </w:r>
            <w:r>
              <w:t>ssurance (CMA)</w:t>
            </w:r>
          </w:p>
        </w:tc>
        <w:tc>
          <w:tcPr>
            <w:tcW w:w="1926" w:type="dxa"/>
          </w:tcPr>
          <w:p w14:paraId="38EF0444" w14:textId="07A7A683" w:rsidR="00A92BBE" w:rsidRDefault="00A92BBE" w:rsidP="00090C5D">
            <w:pPr>
              <w:pStyle w:val="BodyText"/>
              <w:spacing w:after="0"/>
              <w:cnfStyle w:val="000000000000" w:firstRow="0" w:lastRow="0" w:firstColumn="0" w:lastColumn="0" w:oddVBand="0" w:evenVBand="0" w:oddHBand="0" w:evenHBand="0" w:firstRowFirstColumn="0" w:firstRowLastColumn="0" w:lastRowFirstColumn="0" w:lastRowLastColumn="0"/>
            </w:pPr>
            <w:r>
              <w:t>CMA</w:t>
            </w:r>
            <w:r w:rsidR="002D57F7">
              <w:t xml:space="preserve"> </w:t>
            </w:r>
            <w:r w:rsidR="00E2484B">
              <w:t>and</w:t>
            </w:r>
            <w:r>
              <w:t xml:space="preserve"> </w:t>
            </w:r>
            <w:r w:rsidR="00225EBE">
              <w:t>s</w:t>
            </w:r>
            <w:r>
              <w:t xml:space="preserve">ervice </w:t>
            </w:r>
            <w:r w:rsidR="00E2484B">
              <w:t>d</w:t>
            </w:r>
            <w:r>
              <w:t>evelopment</w:t>
            </w:r>
          </w:p>
        </w:tc>
      </w:tr>
      <w:tr w:rsidR="3BE836D9" w14:paraId="05AC77CE" w14:textId="77777777" w:rsidTr="7A1A60A0">
        <w:trPr>
          <w:trHeight w:val="300"/>
        </w:trPr>
        <w:tc>
          <w:tcPr>
            <w:cnfStyle w:val="001000000000" w:firstRow="0" w:lastRow="0" w:firstColumn="1" w:lastColumn="0" w:oddVBand="0" w:evenVBand="0" w:oddHBand="0" w:evenHBand="0" w:firstRowFirstColumn="0" w:firstRowLastColumn="0" w:lastRowFirstColumn="0" w:lastRowLastColumn="0"/>
            <w:tcW w:w="1920" w:type="dxa"/>
          </w:tcPr>
          <w:p w14:paraId="03DF92A7" w14:textId="3CC4746E" w:rsidR="27FF2BA5" w:rsidRDefault="27FF2BA5" w:rsidP="3BE836D9">
            <w:pPr>
              <w:pStyle w:val="BodyText"/>
            </w:pPr>
            <w:r>
              <w:t>2.0</w:t>
            </w:r>
          </w:p>
        </w:tc>
        <w:tc>
          <w:tcPr>
            <w:tcW w:w="1923" w:type="dxa"/>
          </w:tcPr>
          <w:p w14:paraId="1AF85C41" w14:textId="40AB6E6D" w:rsidR="27FF2BA5" w:rsidRDefault="50C3A02A" w:rsidP="7A1A60A0">
            <w:pPr>
              <w:pStyle w:val="BodyText"/>
              <w:cnfStyle w:val="000000000000" w:firstRow="0" w:lastRow="0" w:firstColumn="0" w:lastColumn="0" w:oddVBand="0" w:evenVBand="0" w:oddHBand="0" w:evenHBand="0" w:firstRowFirstColumn="0" w:firstRowLastColumn="0" w:lastRowFirstColumn="0" w:lastRowLastColumn="0"/>
            </w:pPr>
            <w:r>
              <w:t>09/03/2026</w:t>
            </w:r>
          </w:p>
        </w:tc>
        <w:tc>
          <w:tcPr>
            <w:tcW w:w="1924" w:type="dxa"/>
          </w:tcPr>
          <w:p w14:paraId="4CC3F5F1" w14:textId="475AEBD9" w:rsidR="27FF2BA5" w:rsidRDefault="50C3A02A" w:rsidP="3BE836D9">
            <w:pPr>
              <w:pStyle w:val="BodyText"/>
              <w:cnfStyle w:val="000000000000" w:firstRow="0" w:lastRow="0" w:firstColumn="0" w:lastColumn="0" w:oddVBand="0" w:evenVBand="0" w:oddHBand="0" w:evenHBand="0" w:firstRowFirstColumn="0" w:firstRowLastColumn="0" w:lastRowFirstColumn="0" w:lastRowLastColumn="0"/>
            </w:pPr>
            <w:r>
              <w:t>06/03</w:t>
            </w:r>
            <w:r w:rsidR="27FF2BA5">
              <w:t>/2026</w:t>
            </w:r>
          </w:p>
        </w:tc>
        <w:tc>
          <w:tcPr>
            <w:tcW w:w="1925" w:type="dxa"/>
          </w:tcPr>
          <w:p w14:paraId="183FEE5C" w14:textId="56AB4C6A" w:rsidR="27FF2BA5" w:rsidRDefault="27FF2BA5" w:rsidP="3BE836D9">
            <w:pPr>
              <w:pStyle w:val="BodyText"/>
              <w:cnfStyle w:val="000000000000" w:firstRow="0" w:lastRow="0" w:firstColumn="0" w:lastColumn="0" w:oddVBand="0" w:evenVBand="0" w:oddHBand="0" w:evenHBand="0" w:firstRowFirstColumn="0" w:firstRowLastColumn="0" w:lastRowFirstColumn="0" w:lastRowLastColumn="0"/>
            </w:pPr>
            <w:r>
              <w:t>Contract Management and Assurance (CMA)</w:t>
            </w:r>
          </w:p>
        </w:tc>
        <w:tc>
          <w:tcPr>
            <w:tcW w:w="1926" w:type="dxa"/>
          </w:tcPr>
          <w:p w14:paraId="6FE45DBC" w14:textId="36F4E1C5" w:rsidR="27FF2BA5" w:rsidRDefault="27FF2BA5" w:rsidP="3BE836D9">
            <w:pPr>
              <w:pStyle w:val="BodyText"/>
              <w:cnfStyle w:val="000000000000" w:firstRow="0" w:lastRow="0" w:firstColumn="0" w:lastColumn="0" w:oddVBand="0" w:evenVBand="0" w:oddHBand="0" w:evenHBand="0" w:firstRowFirstColumn="0" w:firstRowLastColumn="0" w:lastRowFirstColumn="0" w:lastRowLastColumn="0"/>
            </w:pPr>
            <w:r>
              <w:t>CMA</w:t>
            </w:r>
          </w:p>
        </w:tc>
      </w:tr>
    </w:tbl>
    <w:p w14:paraId="285040AE" w14:textId="7805724A" w:rsidR="00962710" w:rsidRPr="002221B6" w:rsidRDefault="00962710" w:rsidP="3BE836D9">
      <w:pPr>
        <w:pStyle w:val="Heading1"/>
        <w:rPr>
          <w:sz w:val="32"/>
        </w:rPr>
      </w:pPr>
      <w:r w:rsidRPr="3BE836D9">
        <w:rPr>
          <w:sz w:val="32"/>
        </w:rPr>
        <w:lastRenderedPageBreak/>
        <w:t>Scope and purpose</w:t>
      </w:r>
    </w:p>
    <w:p w14:paraId="482893AE" w14:textId="77777777" w:rsidR="006F1AE4" w:rsidRPr="006F1AE4" w:rsidRDefault="006F1AE4" w:rsidP="006F1AE4">
      <w:pPr>
        <w:pStyle w:val="BodyText"/>
      </w:pPr>
      <w:r w:rsidRPr="006F1AE4">
        <w:t>This key card summarises important information from existing regulations, contract terms, and guidance. Its purpose is to clarify and highlight key points.</w:t>
      </w:r>
    </w:p>
    <w:p w14:paraId="57B66309" w14:textId="77777777" w:rsidR="006F1AE4" w:rsidRPr="006F1AE4" w:rsidRDefault="006F1AE4" w:rsidP="006F1AE4">
      <w:pPr>
        <w:pStyle w:val="BodyText"/>
      </w:pPr>
      <w:r w:rsidRPr="006F1AE4">
        <w:t>It does not replace the requirement for providers to understand and comply with the relevant regulations, contract terms, or guidance.</w:t>
      </w:r>
    </w:p>
    <w:p w14:paraId="0B022E88" w14:textId="0E6BAF44" w:rsidR="006F1AE4" w:rsidRPr="006F1AE4" w:rsidRDefault="006F1AE4" w:rsidP="006F1AE4">
      <w:pPr>
        <w:pStyle w:val="BodyText"/>
      </w:pPr>
      <w:r w:rsidRPr="006F1AE4">
        <w:t xml:space="preserve">If providers have questions about using the self-grant scheme that are not addressed in this document, they should contact the </w:t>
      </w:r>
      <w:r w:rsidR="00BD5A3A">
        <w:t>M</w:t>
      </w:r>
      <w:r w:rsidR="00BD5A3A" w:rsidRPr="006F1AE4">
        <w:t xml:space="preserve">ental </w:t>
      </w:r>
      <w:r w:rsidR="00BD5A3A">
        <w:t>H</w:t>
      </w:r>
      <w:r w:rsidR="00BD5A3A" w:rsidRPr="006F1AE4">
        <w:t xml:space="preserve">ealth </w:t>
      </w:r>
      <w:r w:rsidRPr="006F1AE4">
        <w:t xml:space="preserve">and </w:t>
      </w:r>
      <w:r w:rsidR="00BD5A3A">
        <w:t>E</w:t>
      </w:r>
      <w:r w:rsidRPr="006F1AE4">
        <w:t xml:space="preserve">scape </w:t>
      </w:r>
      <w:r w:rsidR="00BD5A3A">
        <w:t>C</w:t>
      </w:r>
      <w:r w:rsidRPr="006F1AE4">
        <w:t xml:space="preserve">ases </w:t>
      </w:r>
      <w:r w:rsidR="00BD5A3A">
        <w:t>T</w:t>
      </w:r>
      <w:r w:rsidRPr="006F1AE4">
        <w:t>eam</w:t>
      </w:r>
      <w:r w:rsidR="00BD5A3A">
        <w:t xml:space="preserve"> </w:t>
      </w:r>
      <w:r w:rsidRPr="006F1AE4">
        <w:t>by email using the contact details below</w:t>
      </w:r>
      <w:r w:rsidR="001B7ED0">
        <w:t>:</w:t>
      </w:r>
    </w:p>
    <w:p w14:paraId="2B1FCCE5" w14:textId="2A78E235" w:rsidR="004F53F4" w:rsidRPr="004F53F4" w:rsidRDefault="004F53F4" w:rsidP="004F53F4">
      <w:pPr>
        <w:pStyle w:val="BodyText"/>
      </w:pPr>
      <w:r w:rsidRPr="004F53F4">
        <w:t xml:space="preserve">Email: </w:t>
      </w:r>
      <w:hyperlink r:id="rId12" w:history="1">
        <w:r w:rsidR="00171644" w:rsidRPr="004F53F4">
          <w:rPr>
            <w:rStyle w:val="Hyperlink"/>
          </w:rPr>
          <w:t>cw3@justice.gov.uk</w:t>
        </w:r>
      </w:hyperlink>
      <w:r w:rsidR="00171644">
        <w:t xml:space="preserve"> </w:t>
      </w:r>
    </w:p>
    <w:p w14:paraId="753B9FE6" w14:textId="1BF5EA5A" w:rsidR="00962710" w:rsidRDefault="00962710" w:rsidP="00962710">
      <w:pPr>
        <w:pStyle w:val="Heading1"/>
        <w:rPr>
          <w:sz w:val="32"/>
        </w:rPr>
      </w:pPr>
      <w:r w:rsidRPr="002221B6">
        <w:rPr>
          <w:sz w:val="32"/>
        </w:rPr>
        <w:t xml:space="preserve">Background </w:t>
      </w:r>
    </w:p>
    <w:p w14:paraId="14C252F7" w14:textId="45B75A2D" w:rsidR="008B5D5D" w:rsidRPr="008B5D5D" w:rsidRDefault="008B5D5D" w:rsidP="008B5D5D">
      <w:pPr>
        <w:pStyle w:val="BodyText"/>
      </w:pPr>
      <w:r w:rsidRPr="008B5D5D">
        <w:t xml:space="preserve">The CW3 </w:t>
      </w:r>
      <w:r>
        <w:t>s</w:t>
      </w:r>
      <w:r w:rsidRPr="008B5D5D">
        <w:t>elf-</w:t>
      </w:r>
      <w:r>
        <w:t>g</w:t>
      </w:r>
      <w:r w:rsidRPr="008B5D5D">
        <w:t xml:space="preserve">rant </w:t>
      </w:r>
      <w:r>
        <w:t>s</w:t>
      </w:r>
      <w:r w:rsidRPr="008B5D5D">
        <w:t xml:space="preserve">cheme has been developed to streamline the process for providers seeking extensions to claim profit costs and disbursements beyond the standard limits set out in the Immigration and </w:t>
      </w:r>
      <w:r w:rsidR="00291428">
        <w:t>a</w:t>
      </w:r>
      <w:r w:rsidRPr="008B5D5D">
        <w:t xml:space="preserve">sylum </w:t>
      </w:r>
      <w:r w:rsidR="00291428">
        <w:t>s</w:t>
      </w:r>
      <w:r w:rsidRPr="008B5D5D">
        <w:t xml:space="preserve">pecification under the </w:t>
      </w:r>
      <w:r w:rsidR="00BD5A3A">
        <w:t>S</w:t>
      </w:r>
      <w:r w:rsidR="00BD5A3A" w:rsidRPr="008B5D5D">
        <w:t xml:space="preserve">tandard </w:t>
      </w:r>
      <w:r w:rsidR="00BD5A3A">
        <w:t>C</w:t>
      </w:r>
      <w:r w:rsidR="00BD5A3A" w:rsidRPr="008B5D5D">
        <w:t xml:space="preserve">ivil </w:t>
      </w:r>
      <w:r w:rsidR="00BD5A3A">
        <w:t>C</w:t>
      </w:r>
      <w:r w:rsidR="00BD5A3A" w:rsidRPr="008B5D5D">
        <w:t>ontract</w:t>
      </w:r>
      <w:r w:rsidRPr="008B5D5D">
        <w:t>.</w:t>
      </w:r>
    </w:p>
    <w:p w14:paraId="7DF577C3" w14:textId="2CD035BC" w:rsidR="008B5D5D" w:rsidRPr="008B5D5D" w:rsidRDefault="008B5D5D" w:rsidP="008B5D5D">
      <w:pPr>
        <w:pStyle w:val="BodyText"/>
      </w:pPr>
      <w:r w:rsidRPr="008B5D5D">
        <w:t xml:space="preserve">It is available to providers who have shown a strong track record of successful applications to </w:t>
      </w:r>
      <w:r w:rsidR="00624FC7">
        <w:t xml:space="preserve">the </w:t>
      </w:r>
      <w:r w:rsidRPr="008B5D5D">
        <w:t>LAA.</w:t>
      </w:r>
    </w:p>
    <w:p w14:paraId="4D007038" w14:textId="77777777" w:rsidR="008B5D5D" w:rsidRPr="008B5D5D" w:rsidRDefault="008B5D5D" w:rsidP="008B5D5D">
      <w:pPr>
        <w:pStyle w:val="BodyText"/>
      </w:pPr>
      <w:r w:rsidRPr="008B5D5D">
        <w:t>In many cases, the scheme allows the provider firm to make the decision to grant the extension themselves. This removes the need to complete and submit the CW3 form to the LAA for routine matters that are necessary to progress the client’s case.</w:t>
      </w:r>
    </w:p>
    <w:p w14:paraId="24DE0244" w14:textId="6AF6FD20" w:rsidR="008B5D5D" w:rsidRPr="008B5D5D" w:rsidRDefault="008B5D5D" w:rsidP="008B5D5D">
      <w:pPr>
        <w:pStyle w:val="BodyText"/>
      </w:pPr>
      <w:r w:rsidRPr="008B5D5D">
        <w:t xml:space="preserve">The scheme applies to all </w:t>
      </w:r>
      <w:r w:rsidR="00AB5F20">
        <w:t>in</w:t>
      </w:r>
      <w:r w:rsidR="00533DD1">
        <w:t>-scope</w:t>
      </w:r>
      <w:r w:rsidRPr="008B5D5D">
        <w:t xml:space="preserve"> matters carried out as </w:t>
      </w:r>
      <w:r w:rsidR="00533DD1">
        <w:t>c</w:t>
      </w:r>
      <w:r w:rsidRPr="008B5D5D">
        <w:t xml:space="preserve">ontrolled </w:t>
      </w:r>
      <w:r w:rsidR="00533DD1">
        <w:t>w</w:t>
      </w:r>
      <w:r w:rsidRPr="008B5D5D">
        <w:t>ork within the category.</w:t>
      </w:r>
    </w:p>
    <w:p w14:paraId="7409B015" w14:textId="0925E634" w:rsidR="008B5D5D" w:rsidRPr="008B5D5D" w:rsidRDefault="008B5D5D" w:rsidP="008B5D5D">
      <w:pPr>
        <w:pStyle w:val="BodyText"/>
      </w:pPr>
      <w:r w:rsidRPr="008B5D5D">
        <w:t xml:space="preserve">The CW3 form only needs to be completed and sent to the LAA for </w:t>
      </w:r>
      <w:r w:rsidR="00491C53">
        <w:t>matters</w:t>
      </w:r>
      <w:r w:rsidRPr="008B5D5D">
        <w:t xml:space="preserve"> </w:t>
      </w:r>
      <w:r w:rsidR="00491C53">
        <w:t>which</w:t>
      </w:r>
      <w:r w:rsidRPr="008B5D5D">
        <w:t xml:space="preserve"> fall outside the self-grant criteria, such as those that are less routine.</w:t>
      </w:r>
    </w:p>
    <w:p w14:paraId="32B51D7A" w14:textId="77777777" w:rsidR="008B5D5D" w:rsidRPr="008B5D5D" w:rsidRDefault="008B5D5D" w:rsidP="008B5D5D">
      <w:pPr>
        <w:pStyle w:val="BodyText"/>
      </w:pPr>
      <w:r w:rsidRPr="008B5D5D">
        <w:t>The rules of the scheme are explained in a desk aid included as an appendix to this document. The self-grant pro forma, which must be used as part of the scheme, is also provided in the appendix.</w:t>
      </w:r>
    </w:p>
    <w:p w14:paraId="539D8644" w14:textId="77777777" w:rsidR="008B5D5D" w:rsidRPr="00265918" w:rsidRDefault="008B5D5D" w:rsidP="00265918">
      <w:pPr>
        <w:pStyle w:val="BodyText"/>
      </w:pPr>
    </w:p>
    <w:p w14:paraId="3B93534F" w14:textId="321A5BC7" w:rsidR="003D2242" w:rsidRDefault="00EA47C4" w:rsidP="003D2242">
      <w:pPr>
        <w:pStyle w:val="Heading1"/>
        <w:rPr>
          <w:sz w:val="36"/>
          <w:szCs w:val="36"/>
        </w:rPr>
      </w:pPr>
      <w:r>
        <w:rPr>
          <w:sz w:val="36"/>
          <w:szCs w:val="36"/>
        </w:rPr>
        <w:t>Joining the scheme</w:t>
      </w:r>
    </w:p>
    <w:p w14:paraId="43C2EDDD" w14:textId="1FD84125" w:rsidR="00A557BA" w:rsidRDefault="00A557BA" w:rsidP="00A557BA">
      <w:r>
        <w:t xml:space="preserve">The </w:t>
      </w:r>
      <w:r w:rsidR="002D6C6D">
        <w:t>contractual</w:t>
      </w:r>
      <w:r>
        <w:t xml:space="preserve"> rules for the scheme are set out in paragraphs 8.116 to 8.134 of the 2024 </w:t>
      </w:r>
      <w:r w:rsidR="00F91050">
        <w:t xml:space="preserve">Standard Civil Contract </w:t>
      </w:r>
      <w:r>
        <w:t>(2024 SCC).</w:t>
      </w:r>
    </w:p>
    <w:p w14:paraId="288C2ADD" w14:textId="629AF431" w:rsidR="3BE836D9" w:rsidRDefault="3BE836D9"/>
    <w:p w14:paraId="12689A80" w14:textId="0B202318" w:rsidR="3BE836D9" w:rsidRDefault="3BE836D9"/>
    <w:p w14:paraId="3AA52532" w14:textId="77777777" w:rsidR="00A557BA" w:rsidRDefault="00A557BA" w:rsidP="00A557BA">
      <w:r w:rsidRPr="00A557BA">
        <w:lastRenderedPageBreak/>
        <w:t>Paragraph 8.118 outlines the eligibility requirements for joining the scheme. Providers must continue to meet these criteria after joining, and compliance may be reviewed at any time.</w:t>
      </w:r>
    </w:p>
    <w:p w14:paraId="03BEAA09" w14:textId="13850A15" w:rsidR="00A557BA" w:rsidRDefault="00A557BA" w:rsidP="00A557BA">
      <w:r w:rsidRPr="00A557BA">
        <w:t xml:space="preserve">To apply, providers should email the </w:t>
      </w:r>
      <w:r w:rsidR="00052E54">
        <w:t>M</w:t>
      </w:r>
      <w:r w:rsidR="00052E54" w:rsidRPr="006F1AE4">
        <w:t xml:space="preserve">ental </w:t>
      </w:r>
      <w:r w:rsidR="00052E54">
        <w:t>H</w:t>
      </w:r>
      <w:r w:rsidR="00052E54" w:rsidRPr="006F1AE4">
        <w:t xml:space="preserve">ealth and </w:t>
      </w:r>
      <w:r w:rsidR="00052E54">
        <w:t>E</w:t>
      </w:r>
      <w:r w:rsidR="00052E54" w:rsidRPr="006F1AE4">
        <w:t xml:space="preserve">scape </w:t>
      </w:r>
      <w:r w:rsidR="00052E54">
        <w:t>C</w:t>
      </w:r>
      <w:r w:rsidR="00052E54" w:rsidRPr="006F1AE4">
        <w:t xml:space="preserve">ases </w:t>
      </w:r>
      <w:r w:rsidR="00052E54">
        <w:t>T</w:t>
      </w:r>
      <w:r w:rsidR="00052E54" w:rsidRPr="006F1AE4">
        <w:t>eam</w:t>
      </w:r>
      <w:r w:rsidR="00052E54">
        <w:t xml:space="preserve"> </w:t>
      </w:r>
      <w:r w:rsidRPr="00A557BA">
        <w:t xml:space="preserve">at </w:t>
      </w:r>
      <w:hyperlink r:id="rId13" w:history="1">
        <w:r w:rsidR="00591A2A" w:rsidRPr="00840A14">
          <w:rPr>
            <w:rStyle w:val="Hyperlink"/>
          </w:rPr>
          <w:t>cw3@justice.gov.uk</w:t>
        </w:r>
      </w:hyperlink>
      <w:r w:rsidR="00591A2A">
        <w:t xml:space="preserve"> </w:t>
      </w:r>
      <w:r w:rsidRPr="00A557BA">
        <w:t>explaining and providing evidence of how they meet the criteria.</w:t>
      </w:r>
    </w:p>
    <w:p w14:paraId="3882920D" w14:textId="28EC13C1" w:rsidR="00015B68" w:rsidRPr="00015B68" w:rsidRDefault="00A557BA" w:rsidP="00A557BA">
      <w:r w:rsidRPr="00A557BA">
        <w:t>Once accepted onto the scheme, providers can use the self-grant provisions for any existing or new matters, as long as they remain eligible under the scheme.</w:t>
      </w:r>
    </w:p>
    <w:p w14:paraId="26B0AE4D" w14:textId="3109B86C" w:rsidR="00314F84" w:rsidRDefault="00DA1451" w:rsidP="00015B68">
      <w:pPr>
        <w:pStyle w:val="Heading1"/>
        <w:rPr>
          <w:sz w:val="36"/>
          <w:szCs w:val="36"/>
        </w:rPr>
      </w:pPr>
      <w:r w:rsidRPr="00015B68">
        <w:rPr>
          <w:sz w:val="36"/>
          <w:szCs w:val="36"/>
        </w:rPr>
        <w:t xml:space="preserve">The </w:t>
      </w:r>
      <w:r w:rsidR="00015B68">
        <w:rPr>
          <w:sz w:val="36"/>
          <w:szCs w:val="36"/>
        </w:rPr>
        <w:t>contractual authority to self-grant</w:t>
      </w:r>
    </w:p>
    <w:p w14:paraId="3283AAEF" w14:textId="77777777" w:rsidR="00E761B4" w:rsidRPr="00622919" w:rsidRDefault="00E761B4" w:rsidP="00015B68">
      <w:pPr>
        <w:pStyle w:val="BodyText"/>
        <w:rPr>
          <w:rFonts w:asciiTheme="majorHAnsi" w:eastAsiaTheme="majorEastAsia" w:hAnsiTheme="majorHAnsi" w:cstheme="majorBidi"/>
          <w:b/>
          <w:color w:val="00513F" w:themeColor="accent1" w:themeShade="BF"/>
          <w:szCs w:val="24"/>
        </w:rPr>
      </w:pPr>
      <w:r w:rsidRPr="00622919">
        <w:rPr>
          <w:rFonts w:asciiTheme="majorHAnsi" w:eastAsiaTheme="majorEastAsia" w:hAnsiTheme="majorHAnsi" w:cstheme="majorBidi"/>
          <w:b/>
          <w:color w:val="00513F" w:themeColor="accent1" w:themeShade="BF"/>
          <w:szCs w:val="24"/>
        </w:rPr>
        <w:t>Profit costs:</w:t>
      </w:r>
    </w:p>
    <w:p w14:paraId="306F5EB3" w14:textId="04232BCE" w:rsidR="00190638" w:rsidRDefault="00190638" w:rsidP="002F01F5">
      <w:r>
        <w:t xml:space="preserve">The </w:t>
      </w:r>
      <w:r w:rsidR="00CC4A4C">
        <w:t>£4</w:t>
      </w:r>
      <w:r w:rsidR="75305DEF">
        <w:t>,</w:t>
      </w:r>
      <w:r w:rsidR="00CC4A4C">
        <w:t xml:space="preserve">200 for Matters opened on or after 22 December 2025 or £3,000 for a Matter opened on or earlier than 21 December 2025 </w:t>
      </w:r>
      <w:r>
        <w:t>appl</w:t>
      </w:r>
      <w:r w:rsidR="4F5EC841">
        <w:t>y</w:t>
      </w:r>
      <w:r>
        <w:t xml:space="preserve"> only to profit costs and does not cover disbursements. Disbursements made under Legal Help and </w:t>
      </w:r>
      <w:r w:rsidR="00B319EE">
        <w:t xml:space="preserve">Controlled Legal Representation </w:t>
      </w:r>
      <w:r w:rsidR="003B0B96">
        <w:t>(CLR)</w:t>
      </w:r>
      <w:r>
        <w:t xml:space="preserve"> are considered separately</w:t>
      </w:r>
      <w:r w:rsidR="39E6BB05">
        <w:t>.</w:t>
      </w:r>
    </w:p>
    <w:p w14:paraId="21DA1295" w14:textId="0B4C83BD" w:rsidR="00C63991" w:rsidRDefault="00C63991" w:rsidP="00190638">
      <w:r>
        <w:t xml:space="preserve">For matters </w:t>
      </w:r>
      <w:r w:rsidR="00190638" w:rsidRPr="00190638">
        <w:t>paid</w:t>
      </w:r>
      <w:r>
        <w:t xml:space="preserve"> under the </w:t>
      </w:r>
      <w:r w:rsidR="00B556BA">
        <w:t>s</w:t>
      </w:r>
      <w:r w:rsidR="00190638" w:rsidRPr="00190638">
        <w:t xml:space="preserve">tandard </w:t>
      </w:r>
      <w:r w:rsidR="0037145E">
        <w:t>f</w:t>
      </w:r>
      <w:r w:rsidR="00190638" w:rsidRPr="00190638">
        <w:t xml:space="preserve">ee </w:t>
      </w:r>
      <w:r w:rsidR="0037145E">
        <w:t>s</w:t>
      </w:r>
      <w:r w:rsidR="00190638" w:rsidRPr="00190638">
        <w:t>cheme</w:t>
      </w:r>
      <w:r>
        <w:t xml:space="preserve">, there is no </w:t>
      </w:r>
      <w:r w:rsidR="00190638" w:rsidRPr="00190638">
        <w:t xml:space="preserve">profit costs or </w:t>
      </w:r>
      <w:r>
        <w:t xml:space="preserve">counsel fees </w:t>
      </w:r>
      <w:r w:rsidR="00190638" w:rsidRPr="00190638">
        <w:t>limit, but</w:t>
      </w:r>
      <w:r>
        <w:t xml:space="preserve"> there is a cost limit that applies to disbursements</w:t>
      </w:r>
      <w:r w:rsidR="00F352F1">
        <w:t>.</w:t>
      </w:r>
    </w:p>
    <w:p w14:paraId="3E6DF56F" w14:textId="683B1CC8" w:rsidR="00C63991" w:rsidRPr="00622919" w:rsidRDefault="33AB5752" w:rsidP="00C63991">
      <w:pPr>
        <w:pStyle w:val="BodyText"/>
        <w:rPr>
          <w:rFonts w:asciiTheme="majorHAnsi" w:eastAsiaTheme="majorEastAsia" w:hAnsiTheme="majorHAnsi" w:cstheme="majorBidi"/>
          <w:b/>
          <w:color w:val="00513F" w:themeColor="accent1" w:themeShade="BF"/>
          <w:szCs w:val="24"/>
        </w:rPr>
      </w:pPr>
      <w:r w:rsidRPr="0024340D">
        <w:rPr>
          <w:rFonts w:asciiTheme="majorHAnsi" w:eastAsiaTheme="majorEastAsia" w:hAnsiTheme="majorHAnsi" w:cstheme="majorBidi"/>
          <w:b/>
          <w:color w:val="00513F" w:themeColor="accent1" w:themeShade="BF"/>
          <w:szCs w:val="24"/>
        </w:rPr>
        <w:t>Disbursements:</w:t>
      </w:r>
    </w:p>
    <w:p w14:paraId="1A303DE1" w14:textId="1BB65BF3" w:rsidR="00DA5160" w:rsidRPr="00DA5160" w:rsidRDefault="00DA5160" w:rsidP="00DA5160">
      <w:pPr>
        <w:pStyle w:val="BodyText"/>
      </w:pPr>
      <w:r w:rsidRPr="00DA5160">
        <w:t xml:space="preserve">The initial cost limits for disbursements are outlined in paragraphs 8.88 and 8.110 of the 2024 </w:t>
      </w:r>
      <w:r w:rsidR="00905CCA">
        <w:t>SCC</w:t>
      </w:r>
      <w:r w:rsidRPr="00DA5160">
        <w:t>. Paragraph 8.112 sets out the cost limits for CLR</w:t>
      </w:r>
      <w:r w:rsidR="00905CCA">
        <w:t>,</w:t>
      </w:r>
      <w:r w:rsidRPr="00DA5160">
        <w:t xml:space="preserve"> which apply to the total combined amount of profit costs, disbursements, and counsel fees.</w:t>
      </w:r>
    </w:p>
    <w:p w14:paraId="47C292DD" w14:textId="1C6AF258" w:rsidR="00DA5160" w:rsidRPr="00DA5160" w:rsidRDefault="00DA5160" w:rsidP="00DA5160">
      <w:pPr>
        <w:pStyle w:val="BodyText"/>
      </w:pPr>
      <w:r w:rsidRPr="00DA5160">
        <w:t xml:space="preserve">The </w:t>
      </w:r>
      <w:r w:rsidR="00905CCA">
        <w:t>s</w:t>
      </w:r>
      <w:r w:rsidRPr="00DA5160">
        <w:t>elf-</w:t>
      </w:r>
      <w:r w:rsidR="00905CCA">
        <w:t>g</w:t>
      </w:r>
      <w:r w:rsidRPr="00DA5160">
        <w:t xml:space="preserve">rant </w:t>
      </w:r>
      <w:r w:rsidR="00905CCA">
        <w:t>s</w:t>
      </w:r>
      <w:r w:rsidRPr="00DA5160">
        <w:t>cheme enables providers to incur additional disbursements beyond the standard limits in cases where a CW3 application would normally be required. Once the initial disbursement limit has been reached, and the proposed disbursement meets the relevant criteria, the provider may approve the extension under the self-grant provisions without submitting a CW3 application to the LAA.</w:t>
      </w:r>
    </w:p>
    <w:p w14:paraId="07E2521C" w14:textId="701170AC" w:rsidR="00960007" w:rsidRDefault="00960007" w:rsidP="00960007">
      <w:r>
        <w:t xml:space="preserve">This applies </w:t>
      </w:r>
      <w:r w:rsidR="43A67DA7">
        <w:t>whether</w:t>
      </w:r>
      <w:r>
        <w:t xml:space="preserve"> the initial disbursement limit has already been exceeded, as long as the self-grant criteria are satisfied.</w:t>
      </w:r>
    </w:p>
    <w:p w14:paraId="3B74DB6E" w14:textId="77777777" w:rsidR="008B4265" w:rsidRDefault="008B4265" w:rsidP="008B4265">
      <w:r w:rsidRPr="00777C79">
        <w:t xml:space="preserve">Providers may use the scheme for disbursements as many times as required, as long as each disbursement is reasonable and meets the self-grant requirements. There is no limit on how many times the scheme can be used for a single </w:t>
      </w:r>
      <w:r>
        <w:t>matter start</w:t>
      </w:r>
      <w:r w:rsidRPr="00777C79">
        <w:t>.</w:t>
      </w:r>
    </w:p>
    <w:p w14:paraId="387B1FEC" w14:textId="72389617" w:rsidR="00C63991" w:rsidRPr="00F9074A" w:rsidRDefault="00777C79" w:rsidP="00777C79">
      <w:r w:rsidRPr="00777C79">
        <w:t xml:space="preserve">The self-grant scheme covers any disbursement that is both reasonable and necessary, unless specifically excluded by the 2024 </w:t>
      </w:r>
      <w:r w:rsidR="00CB0424">
        <w:t>SCC</w:t>
      </w:r>
      <w:r w:rsidRPr="00777C79">
        <w:t xml:space="preserve"> or the costs assessment guidance.</w:t>
      </w:r>
    </w:p>
    <w:p w14:paraId="70BEB747" w14:textId="104BE483" w:rsidR="24AE97D4" w:rsidRDefault="24AE97D4" w:rsidP="3BE836D9">
      <w:pPr>
        <w:pStyle w:val="BodyText"/>
        <w:rPr>
          <w:rFonts w:asciiTheme="majorHAnsi" w:eastAsiaTheme="majorEastAsia" w:hAnsiTheme="majorHAnsi" w:cstheme="majorBidi"/>
          <w:b/>
          <w:bCs/>
          <w:color w:val="00513F" w:themeColor="accent1" w:themeShade="BF"/>
          <w:sz w:val="36"/>
          <w:szCs w:val="36"/>
        </w:rPr>
      </w:pPr>
    </w:p>
    <w:p w14:paraId="7206DF0B" w14:textId="0EFAE37C" w:rsidR="3BE836D9" w:rsidRDefault="3BE836D9" w:rsidP="3BE836D9">
      <w:pPr>
        <w:pStyle w:val="BodyText"/>
        <w:rPr>
          <w:rFonts w:asciiTheme="majorHAnsi" w:eastAsiaTheme="majorEastAsia" w:hAnsiTheme="majorHAnsi" w:cstheme="majorBidi"/>
          <w:b/>
          <w:bCs/>
          <w:color w:val="00513F" w:themeColor="accent1" w:themeShade="BF"/>
          <w:sz w:val="36"/>
          <w:szCs w:val="36"/>
        </w:rPr>
      </w:pPr>
    </w:p>
    <w:p w14:paraId="1A7DC990" w14:textId="2F8BED1B" w:rsidR="00C84888" w:rsidRDefault="00C84888" w:rsidP="00015B68">
      <w:pPr>
        <w:pStyle w:val="BodyText"/>
        <w:rPr>
          <w:rFonts w:asciiTheme="majorHAnsi" w:eastAsiaTheme="majorEastAsia" w:hAnsiTheme="majorHAnsi" w:cstheme="majorBidi"/>
          <w:b/>
          <w:color w:val="00513F" w:themeColor="accent1" w:themeShade="BF"/>
          <w:sz w:val="36"/>
          <w:szCs w:val="36"/>
        </w:rPr>
      </w:pPr>
      <w:r w:rsidRPr="00C84888">
        <w:rPr>
          <w:rFonts w:asciiTheme="majorHAnsi" w:eastAsiaTheme="majorEastAsia" w:hAnsiTheme="majorHAnsi" w:cstheme="majorBidi"/>
          <w:b/>
          <w:color w:val="00513F" w:themeColor="accent1" w:themeShade="BF"/>
          <w:sz w:val="36"/>
          <w:szCs w:val="36"/>
        </w:rPr>
        <w:lastRenderedPageBreak/>
        <w:t xml:space="preserve">Exclusions from the </w:t>
      </w:r>
      <w:r w:rsidR="00E607D6">
        <w:rPr>
          <w:rFonts w:asciiTheme="majorHAnsi" w:eastAsiaTheme="majorEastAsia" w:hAnsiTheme="majorHAnsi" w:cstheme="majorBidi"/>
          <w:b/>
          <w:color w:val="00513F" w:themeColor="accent1" w:themeShade="BF"/>
          <w:sz w:val="36"/>
          <w:szCs w:val="36"/>
        </w:rPr>
        <w:t>s</w:t>
      </w:r>
      <w:r w:rsidR="00080EEE">
        <w:rPr>
          <w:rFonts w:asciiTheme="majorHAnsi" w:eastAsiaTheme="majorEastAsia" w:hAnsiTheme="majorHAnsi" w:cstheme="majorBidi"/>
          <w:b/>
          <w:color w:val="00513F" w:themeColor="accent1" w:themeShade="BF"/>
          <w:sz w:val="36"/>
          <w:szCs w:val="36"/>
        </w:rPr>
        <w:t>elf-</w:t>
      </w:r>
      <w:r w:rsidR="00E607D6">
        <w:rPr>
          <w:rFonts w:asciiTheme="majorHAnsi" w:eastAsiaTheme="majorEastAsia" w:hAnsiTheme="majorHAnsi" w:cstheme="majorBidi"/>
          <w:b/>
          <w:color w:val="00513F" w:themeColor="accent1" w:themeShade="BF"/>
          <w:sz w:val="36"/>
          <w:szCs w:val="36"/>
        </w:rPr>
        <w:t>g</w:t>
      </w:r>
      <w:r w:rsidR="00080EEE">
        <w:rPr>
          <w:rFonts w:asciiTheme="majorHAnsi" w:eastAsiaTheme="majorEastAsia" w:hAnsiTheme="majorHAnsi" w:cstheme="majorBidi"/>
          <w:b/>
          <w:color w:val="00513F" w:themeColor="accent1" w:themeShade="BF"/>
          <w:sz w:val="36"/>
          <w:szCs w:val="36"/>
        </w:rPr>
        <w:t xml:space="preserve">rant </w:t>
      </w:r>
      <w:r w:rsidR="00E607D6">
        <w:rPr>
          <w:rFonts w:asciiTheme="majorHAnsi" w:eastAsiaTheme="majorEastAsia" w:hAnsiTheme="majorHAnsi" w:cstheme="majorBidi"/>
          <w:b/>
          <w:color w:val="00513F" w:themeColor="accent1" w:themeShade="BF"/>
          <w:sz w:val="36"/>
          <w:szCs w:val="36"/>
        </w:rPr>
        <w:t>s</w:t>
      </w:r>
      <w:r w:rsidR="00080EEE">
        <w:rPr>
          <w:rFonts w:asciiTheme="majorHAnsi" w:eastAsiaTheme="majorEastAsia" w:hAnsiTheme="majorHAnsi" w:cstheme="majorBidi"/>
          <w:b/>
          <w:color w:val="00513F" w:themeColor="accent1" w:themeShade="BF"/>
          <w:sz w:val="36"/>
          <w:szCs w:val="36"/>
        </w:rPr>
        <w:t>cheme</w:t>
      </w:r>
    </w:p>
    <w:p w14:paraId="613E5FCE" w14:textId="19634ABF" w:rsidR="00941102" w:rsidRPr="00941102" w:rsidRDefault="009743E8" w:rsidP="002612EB">
      <w:r>
        <w:t>Matters</w:t>
      </w:r>
      <w:r w:rsidR="002612EB" w:rsidRPr="002612EB">
        <w:t xml:space="preserve"> that require </w:t>
      </w:r>
      <w:r>
        <w:t>e</w:t>
      </w:r>
      <w:r w:rsidR="002612EB" w:rsidRPr="002612EB">
        <w:t xml:space="preserve">xceptional </w:t>
      </w:r>
      <w:r>
        <w:t>c</w:t>
      </w:r>
      <w:r w:rsidR="002612EB" w:rsidRPr="002612EB">
        <w:t xml:space="preserve">ase </w:t>
      </w:r>
      <w:r>
        <w:t>f</w:t>
      </w:r>
      <w:r w:rsidR="002612EB" w:rsidRPr="002612EB">
        <w:t xml:space="preserve">unding (ECF) are not covered by the self-grant scheme. The standard contractual rules must be followed for these </w:t>
      </w:r>
      <w:r>
        <w:t>matters</w:t>
      </w:r>
      <w:r w:rsidR="002612EB" w:rsidRPr="002612EB">
        <w:t>.</w:t>
      </w:r>
    </w:p>
    <w:p w14:paraId="2A792576" w14:textId="782D4567" w:rsidR="00D05841" w:rsidRPr="00314F84" w:rsidRDefault="00DA1451" w:rsidP="00314F84">
      <w:pPr>
        <w:pStyle w:val="Heading1"/>
        <w:rPr>
          <w:sz w:val="36"/>
          <w:szCs w:val="36"/>
        </w:rPr>
      </w:pPr>
      <w:r>
        <w:rPr>
          <w:sz w:val="36"/>
          <w:szCs w:val="36"/>
        </w:rPr>
        <w:t xml:space="preserve">Recording the exercising of </w:t>
      </w:r>
      <w:r w:rsidR="00314F84" w:rsidRPr="00314F84">
        <w:rPr>
          <w:sz w:val="36"/>
          <w:szCs w:val="36"/>
        </w:rPr>
        <w:t>self-grant powers</w:t>
      </w:r>
    </w:p>
    <w:p w14:paraId="253F3FF9" w14:textId="77777777" w:rsidR="00E17DF9" w:rsidRDefault="00E17DF9" w:rsidP="00E17DF9">
      <w:r w:rsidRPr="00E17DF9">
        <w:t>All self-granted extensions must be made reasonably and in line with the relevant contracts, regulations, and guidance. If, during an audit or review, any extensions are found to be unreasonable, they will be subject to the usual audit, assessment, and appeal processes.</w:t>
      </w:r>
    </w:p>
    <w:p w14:paraId="5576D6C7" w14:textId="2741DC85" w:rsidR="00E17DF9" w:rsidRDefault="00E17DF9" w:rsidP="00E17DF9">
      <w:r w:rsidRPr="00E17DF9">
        <w:t xml:space="preserve">The client’s file must clearly show when the self-grant provisions have been used, using the self-grant pro forma (see </w:t>
      </w:r>
      <w:hyperlink w:anchor="_Appendix_2:_CW3" w:history="1">
        <w:r w:rsidR="4CE9DB35" w:rsidRPr="00973919">
          <w:rPr>
            <w:rStyle w:val="Hyperlink"/>
          </w:rPr>
          <w:t>Appendix 2</w:t>
        </w:r>
      </w:hyperlink>
      <w:r w:rsidRPr="00E17DF9">
        <w:t>), which serves as the decision authority instead of the CW3 form.</w:t>
      </w:r>
    </w:p>
    <w:p w14:paraId="3B5B330C" w14:textId="77777777" w:rsidR="00E17DF9" w:rsidRDefault="00E17DF9" w:rsidP="00E17DF9">
      <w:r w:rsidRPr="00E17DF9">
        <w:t>The self-grant pro forma should confirm the total costs incurred so far and the new profit costs limit, but you do not need to provide a detailed breakdown of the costs to date. Actual costs incurred should be accurately recorded on the ledger or running record kept on the file and will be reviewed or audited as usual.</w:t>
      </w:r>
    </w:p>
    <w:p w14:paraId="4ACEB43E" w14:textId="654C4E0D" w:rsidR="00713B2F" w:rsidRDefault="00E17DF9" w:rsidP="00E17DF9">
      <w:r w:rsidRPr="00E17DF9">
        <w:t>The completed scheme form must be kept on the client’s file, as required by paragraph 8.122 of the 2024 SCC.</w:t>
      </w:r>
    </w:p>
    <w:p w14:paraId="112CA269" w14:textId="77777777" w:rsidR="00910645" w:rsidRDefault="00910645" w:rsidP="00C63991">
      <w:pPr>
        <w:pStyle w:val="BodyText"/>
      </w:pPr>
    </w:p>
    <w:p w14:paraId="2AED28ED" w14:textId="6E0B78EA" w:rsidR="00910645" w:rsidRPr="00910645" w:rsidRDefault="1EB1C464" w:rsidP="24AE97D4">
      <w:pPr>
        <w:pStyle w:val="BodyText"/>
        <w:rPr>
          <w:rFonts w:asciiTheme="majorHAnsi" w:eastAsiaTheme="majorEastAsia" w:hAnsiTheme="majorHAnsi" w:cstheme="majorBidi"/>
          <w:b/>
          <w:bCs/>
          <w:color w:val="00513F" w:themeColor="accent1" w:themeShade="BF"/>
          <w:sz w:val="36"/>
          <w:szCs w:val="36"/>
        </w:rPr>
      </w:pPr>
      <w:r w:rsidRPr="24AE97D4">
        <w:rPr>
          <w:rFonts w:asciiTheme="majorHAnsi" w:eastAsiaTheme="majorEastAsia" w:hAnsiTheme="majorHAnsi" w:cstheme="majorBidi"/>
          <w:b/>
          <w:bCs/>
          <w:color w:val="00513F" w:themeColor="accent1" w:themeShade="BF"/>
          <w:sz w:val="36"/>
          <w:szCs w:val="36"/>
        </w:rPr>
        <w:t xml:space="preserve">Prior </w:t>
      </w:r>
      <w:r w:rsidR="00871D1A">
        <w:rPr>
          <w:rFonts w:asciiTheme="majorHAnsi" w:eastAsiaTheme="majorEastAsia" w:hAnsiTheme="majorHAnsi" w:cstheme="majorBidi"/>
          <w:b/>
          <w:bCs/>
          <w:color w:val="00513F" w:themeColor="accent1" w:themeShade="BF"/>
          <w:sz w:val="36"/>
          <w:szCs w:val="36"/>
        </w:rPr>
        <w:t>a</w:t>
      </w:r>
      <w:r w:rsidRPr="24AE97D4">
        <w:rPr>
          <w:rFonts w:asciiTheme="majorHAnsi" w:eastAsiaTheme="majorEastAsia" w:hAnsiTheme="majorHAnsi" w:cstheme="majorBidi"/>
          <w:b/>
          <w:bCs/>
          <w:color w:val="00513F" w:themeColor="accent1" w:themeShade="BF"/>
          <w:sz w:val="36"/>
          <w:szCs w:val="36"/>
        </w:rPr>
        <w:t xml:space="preserve">uthority </w:t>
      </w:r>
      <w:r w:rsidR="00871D1A">
        <w:rPr>
          <w:rFonts w:asciiTheme="majorHAnsi" w:eastAsiaTheme="majorEastAsia" w:hAnsiTheme="majorHAnsi" w:cstheme="majorBidi"/>
          <w:b/>
          <w:bCs/>
          <w:color w:val="00513F" w:themeColor="accent1" w:themeShade="BF"/>
          <w:sz w:val="36"/>
          <w:szCs w:val="36"/>
        </w:rPr>
        <w:t>n</w:t>
      </w:r>
      <w:r w:rsidRPr="24AE97D4">
        <w:rPr>
          <w:rFonts w:asciiTheme="majorHAnsi" w:eastAsiaTheme="majorEastAsia" w:hAnsiTheme="majorHAnsi" w:cstheme="majorBidi"/>
          <w:b/>
          <w:bCs/>
          <w:color w:val="00513F" w:themeColor="accent1" w:themeShade="BF"/>
          <w:sz w:val="36"/>
          <w:szCs w:val="36"/>
        </w:rPr>
        <w:t>umbers</w:t>
      </w:r>
    </w:p>
    <w:p w14:paraId="2D183772" w14:textId="0EA90A85" w:rsidR="000510BF" w:rsidRDefault="000510BF" w:rsidP="000510BF">
      <w:r w:rsidRPr="000510BF">
        <w:t xml:space="preserve">When </w:t>
      </w:r>
      <w:r w:rsidR="00391C54">
        <w:t>granting</w:t>
      </w:r>
      <w:r w:rsidRPr="000510BF">
        <w:t xml:space="preserve"> a disbursement for a case, providers should assign a sequential number specific to that case each time the scheme is used for that matter start. The numbering format should be:</w:t>
      </w:r>
    </w:p>
    <w:p w14:paraId="20FBC814" w14:textId="77777777" w:rsidR="00A9660D" w:rsidRDefault="00D645D9" w:rsidP="000510BF">
      <w:r w:rsidRPr="000510BF">
        <w:t>ANNNNN</w:t>
      </w:r>
      <w:r w:rsidR="00A9660D" w:rsidRPr="000510BF">
        <w:t>N</w:t>
      </w:r>
    </w:p>
    <w:p w14:paraId="69A9DD61" w14:textId="32BD9BF4" w:rsidR="000510BF" w:rsidRDefault="000510BF" w:rsidP="000510BF">
      <w:r w:rsidRPr="000510BF">
        <w:t xml:space="preserve">It is recommended to use “S” (for </w:t>
      </w:r>
      <w:r w:rsidR="009F15A4">
        <w:t>s</w:t>
      </w:r>
      <w:r w:rsidRPr="000510BF">
        <w:t>elf-grant) as the letter at the beginning of the number. For example, the first disbursement under the scheme for a case should be recorded as S000001. If the scheme is used again for the same case, the next number would be S000002, then S000003, and so on.</w:t>
      </w:r>
    </w:p>
    <w:p w14:paraId="6BE94F10" w14:textId="231D2633" w:rsidR="00FE5D44" w:rsidRPr="000510BF" w:rsidRDefault="77D92EB4" w:rsidP="000510BF">
      <w:r w:rsidRPr="000510BF">
        <w:t xml:space="preserve">When </w:t>
      </w:r>
      <w:r w:rsidR="000510BF" w:rsidRPr="000510BF">
        <w:t>submitting your</w:t>
      </w:r>
      <w:r w:rsidRPr="000510BF">
        <w:t xml:space="preserve"> case</w:t>
      </w:r>
      <w:r w:rsidR="000510BF" w:rsidRPr="000510BF">
        <w:t xml:space="preserve"> report, ensure you</w:t>
      </w:r>
      <w:r w:rsidRPr="000510BF">
        <w:t xml:space="preserve"> enter the </w:t>
      </w:r>
      <w:r w:rsidR="000510BF" w:rsidRPr="000510BF">
        <w:t>most recent</w:t>
      </w:r>
      <w:r w:rsidRPr="000510BF">
        <w:t xml:space="preserve"> prior authority number in the </w:t>
      </w:r>
      <w:r w:rsidR="000510BF" w:rsidRPr="000510BF">
        <w:t>‘</w:t>
      </w:r>
      <w:r w:rsidRPr="000510BF">
        <w:t xml:space="preserve">Prior Authority </w:t>
      </w:r>
      <w:r w:rsidR="000510BF" w:rsidRPr="000510BF">
        <w:t>Number’</w:t>
      </w:r>
      <w:r w:rsidRPr="000510BF">
        <w:t xml:space="preserve"> field</w:t>
      </w:r>
      <w:r w:rsidR="00CC481A">
        <w:t xml:space="preserve"> in your submission</w:t>
      </w:r>
      <w:r w:rsidRPr="000510BF">
        <w:t>.</w:t>
      </w:r>
    </w:p>
    <w:p w14:paraId="2B60A42E" w14:textId="62FA1179" w:rsidR="008047B0" w:rsidRDefault="0030360C" w:rsidP="009261E8">
      <w:pPr>
        <w:pStyle w:val="Heading1"/>
        <w:rPr>
          <w:sz w:val="36"/>
          <w:szCs w:val="36"/>
        </w:rPr>
      </w:pPr>
      <w:r>
        <w:rPr>
          <w:sz w:val="36"/>
          <w:szCs w:val="36"/>
        </w:rPr>
        <w:lastRenderedPageBreak/>
        <w:t>Historic</w:t>
      </w:r>
      <w:r w:rsidR="4C6CC67B" w:rsidRPr="53D374FE">
        <w:rPr>
          <w:sz w:val="36"/>
          <w:szCs w:val="36"/>
        </w:rPr>
        <w:t xml:space="preserve"> </w:t>
      </w:r>
      <w:r w:rsidR="424A1547" w:rsidRPr="53D374FE">
        <w:rPr>
          <w:sz w:val="36"/>
          <w:szCs w:val="36"/>
        </w:rPr>
        <w:t>matters opened prior to 1 April 2023</w:t>
      </w:r>
    </w:p>
    <w:p w14:paraId="736775CD" w14:textId="7FF818A6" w:rsidR="00B33A69" w:rsidRDefault="00B33A69" w:rsidP="00B33A69">
      <w:r w:rsidRPr="00B33A69">
        <w:t xml:space="preserve">The rules of the </w:t>
      </w:r>
      <w:r w:rsidR="00F926C7">
        <w:t>s</w:t>
      </w:r>
      <w:r w:rsidRPr="00B33A69">
        <w:t>elf-</w:t>
      </w:r>
      <w:r w:rsidR="00F926C7">
        <w:t>g</w:t>
      </w:r>
      <w:r w:rsidRPr="00B33A69">
        <w:t xml:space="preserve">rant </w:t>
      </w:r>
      <w:r w:rsidR="00F926C7">
        <w:t>s</w:t>
      </w:r>
      <w:r w:rsidRPr="00B33A69">
        <w:t xml:space="preserve">cheme for profit costs depend on when the case was opened and apply to </w:t>
      </w:r>
      <w:r w:rsidRPr="005E15CC">
        <w:rPr>
          <w:b/>
          <w:bCs/>
        </w:rPr>
        <w:t>both</w:t>
      </w:r>
      <w:r w:rsidRPr="00B33A69">
        <w:t xml:space="preserve"> </w:t>
      </w:r>
      <w:r w:rsidR="00F926C7">
        <w:t>‘</w:t>
      </w:r>
      <w:r w:rsidRPr="00B33A69">
        <w:t>Legal Help</w:t>
      </w:r>
      <w:r w:rsidR="00602B1E">
        <w:t>’</w:t>
      </w:r>
      <w:r w:rsidRPr="00B33A69">
        <w:t xml:space="preserve"> and CLR. This is because, from 1 April 2023, Legal Help</w:t>
      </w:r>
      <w:r w:rsidR="005211AE">
        <w:t xml:space="preserve"> </w:t>
      </w:r>
      <w:r w:rsidRPr="00B33A69">
        <w:t>and CLR became separate matters due to a change in operational procedures for CLR decisions.</w:t>
      </w:r>
    </w:p>
    <w:p w14:paraId="67D6503F" w14:textId="243DB29C" w:rsidR="00D9522B" w:rsidRDefault="00B33A69" w:rsidP="00B33A69">
      <w:r w:rsidRPr="00B33A69">
        <w:t xml:space="preserve">If a case was opened before 1 April 2023 and included both </w:t>
      </w:r>
      <w:r w:rsidR="005364CF">
        <w:t>‘</w:t>
      </w:r>
      <w:r w:rsidRPr="00B33A69">
        <w:t>Legal Help</w:t>
      </w:r>
      <w:r w:rsidR="005364CF">
        <w:t>’</w:t>
      </w:r>
      <w:r w:rsidRPr="00B33A69">
        <w:t xml:space="preserve"> and CLR, the higher profit costs limit of £3,000 applied to the combined total for both. For example, if you</w:t>
      </w:r>
      <w:r w:rsidR="2DE3FBF4">
        <w:t xml:space="preserve"> incurred </w:t>
      </w:r>
      <w:r w:rsidRPr="00B33A69">
        <w:t xml:space="preserve">£2,000 </w:t>
      </w:r>
      <w:r w:rsidR="2DE3FBF4">
        <w:t xml:space="preserve">under Legal </w:t>
      </w:r>
      <w:r w:rsidRPr="00B33A69">
        <w:t>Help</w:t>
      </w:r>
      <w:r w:rsidR="2DE3FBF4">
        <w:t xml:space="preserve"> and then CLR </w:t>
      </w:r>
      <w:r w:rsidR="428CDA85">
        <w:t>was</w:t>
      </w:r>
      <w:r w:rsidR="2DE3FBF4">
        <w:t xml:space="preserve"> granted </w:t>
      </w:r>
      <w:r w:rsidRPr="00B33A69">
        <w:t>before</w:t>
      </w:r>
      <w:r w:rsidR="2DE3FBF4">
        <w:t xml:space="preserve"> 1 April 2023, </w:t>
      </w:r>
      <w:r w:rsidRPr="00B33A69">
        <w:t xml:space="preserve">you could </w:t>
      </w:r>
      <w:r w:rsidR="2A5B938F">
        <w:t xml:space="preserve">only </w:t>
      </w:r>
      <w:r w:rsidR="005E15CC">
        <w:t>incur</w:t>
      </w:r>
      <w:r w:rsidRPr="00B33A69">
        <w:t xml:space="preserve"> another</w:t>
      </w:r>
      <w:r w:rsidR="2A5B938F">
        <w:t xml:space="preserve"> £1</w:t>
      </w:r>
      <w:r w:rsidR="5FE9EA17">
        <w:t>,</w:t>
      </w:r>
      <w:r w:rsidR="2A5B938F">
        <w:t xml:space="preserve">000 </w:t>
      </w:r>
      <w:r w:rsidRPr="00B33A69">
        <w:t>on</w:t>
      </w:r>
      <w:r w:rsidR="2A5B938F">
        <w:t xml:space="preserve"> profit costs without </w:t>
      </w:r>
      <w:r w:rsidRPr="00B33A69">
        <w:t>needing to apply</w:t>
      </w:r>
      <w:r w:rsidR="2A5B938F">
        <w:t xml:space="preserve"> to the LAA. </w:t>
      </w:r>
      <w:r w:rsidRPr="00B33A69">
        <w:t>If more than</w:t>
      </w:r>
      <w:r w:rsidR="2A5B938F">
        <w:t xml:space="preserve"> £1</w:t>
      </w:r>
      <w:r w:rsidR="1B4BA895">
        <w:t>,</w:t>
      </w:r>
      <w:r w:rsidR="2A5B938F">
        <w:t xml:space="preserve">000 </w:t>
      </w:r>
      <w:r w:rsidRPr="00B33A69">
        <w:t>was required, you would need to submit</w:t>
      </w:r>
      <w:r w:rsidR="2A5B938F">
        <w:t xml:space="preserve"> a CW3 application for </w:t>
      </w:r>
      <w:r w:rsidRPr="00B33A69">
        <w:t>the extra</w:t>
      </w:r>
      <w:r w:rsidR="4A8B06E1">
        <w:t xml:space="preserve"> costs</w:t>
      </w:r>
      <w:r w:rsidR="2A5B938F">
        <w:t>.</w:t>
      </w:r>
    </w:p>
    <w:p w14:paraId="374F41E4" w14:textId="32C6F78D" w:rsidR="008047B0" w:rsidRDefault="0030360C" w:rsidP="009261E8">
      <w:pPr>
        <w:pStyle w:val="Heading1"/>
        <w:rPr>
          <w:sz w:val="36"/>
          <w:szCs w:val="36"/>
        </w:rPr>
      </w:pPr>
      <w:r>
        <w:rPr>
          <w:sz w:val="36"/>
          <w:szCs w:val="36"/>
        </w:rPr>
        <w:t xml:space="preserve">Matters </w:t>
      </w:r>
      <w:r w:rsidR="00B55CED">
        <w:rPr>
          <w:sz w:val="36"/>
          <w:szCs w:val="36"/>
        </w:rPr>
        <w:t>opened on</w:t>
      </w:r>
      <w:r w:rsidR="00871D1A">
        <w:rPr>
          <w:sz w:val="36"/>
          <w:szCs w:val="36"/>
        </w:rPr>
        <w:t xml:space="preserve"> </w:t>
      </w:r>
      <w:r w:rsidR="00B55CED">
        <w:rPr>
          <w:sz w:val="36"/>
          <w:szCs w:val="36"/>
        </w:rPr>
        <w:t>/</w:t>
      </w:r>
      <w:r w:rsidR="00871D1A">
        <w:rPr>
          <w:sz w:val="36"/>
          <w:szCs w:val="36"/>
        </w:rPr>
        <w:t xml:space="preserve"> </w:t>
      </w:r>
      <w:r w:rsidR="00B55CED">
        <w:rPr>
          <w:sz w:val="36"/>
          <w:szCs w:val="36"/>
        </w:rPr>
        <w:t>after 1 April 2023</w:t>
      </w:r>
    </w:p>
    <w:p w14:paraId="2E03F7B2" w14:textId="1BC5BFBD" w:rsidR="007F38E4" w:rsidRDefault="000F60E8" w:rsidP="00EB03EE">
      <w:r>
        <w:t xml:space="preserve">If the CLR matter is started separately from a previous Legal Help matter, you can apply the self-grant scheme to each one individually. This means you can claim </w:t>
      </w:r>
      <w:r w:rsidR="2E0205D8">
        <w:t xml:space="preserve">profit costs </w:t>
      </w:r>
      <w:r>
        <w:t xml:space="preserve">up to </w:t>
      </w:r>
      <w:r w:rsidR="000522B7">
        <w:t>£4</w:t>
      </w:r>
      <w:r w:rsidR="1F725AFC">
        <w:t>,</w:t>
      </w:r>
      <w:r w:rsidR="000522B7">
        <w:t>200 for Matters opened on or after 22 December 2025 or £3,000 for a Matter Start opened on or earlier than 21 December 2025,</w:t>
      </w:r>
      <w:r>
        <w:t xml:space="preserve"> for each matter, rather than a combined total of</w:t>
      </w:r>
      <w:r w:rsidR="006209FD">
        <w:t xml:space="preserve"> </w:t>
      </w:r>
      <w:r w:rsidR="008C03E0">
        <w:t>£3</w:t>
      </w:r>
      <w:r w:rsidR="01F7079D">
        <w:t>,</w:t>
      </w:r>
      <w:r w:rsidR="008C03E0">
        <w:t>000</w:t>
      </w:r>
      <w:r w:rsidR="7A63106D">
        <w:t>.</w:t>
      </w:r>
    </w:p>
    <w:p w14:paraId="015F1D2B" w14:textId="05F44A9F" w:rsidR="00EF3F23" w:rsidRDefault="000F60E8" w:rsidP="000F60E8">
      <w:r>
        <w:t>For instance, you could use the scheme to raise the Legal Help</w:t>
      </w:r>
      <w:r w:rsidR="00FC0DF3">
        <w:t xml:space="preserve"> cost limit from £800 to £</w:t>
      </w:r>
      <w:r w:rsidR="00E3328A">
        <w:t>3,000</w:t>
      </w:r>
      <w:r>
        <w:t>. Then, after opening</w:t>
      </w:r>
      <w:r w:rsidR="00FC0DF3">
        <w:t xml:space="preserve"> a new CLR </w:t>
      </w:r>
      <w:r>
        <w:t xml:space="preserve">matter on or </w:t>
      </w:r>
      <w:r w:rsidR="003E574C">
        <w:t>after 1 April 2023</w:t>
      </w:r>
      <w:r w:rsidR="00FC0DF3">
        <w:t xml:space="preserve">, </w:t>
      </w:r>
      <w:r w:rsidR="001B4399">
        <w:t xml:space="preserve">but before 22 December 2025 </w:t>
      </w:r>
      <w:r>
        <w:t>you</w:t>
      </w:r>
      <w:r w:rsidR="00FC0DF3">
        <w:t xml:space="preserve"> could </w:t>
      </w:r>
      <w:r w:rsidR="001E47BA">
        <w:t xml:space="preserve">increase </w:t>
      </w:r>
      <w:r>
        <w:t>the</w:t>
      </w:r>
      <w:r w:rsidR="001E47BA">
        <w:t xml:space="preserve"> CLR cost limit from </w:t>
      </w:r>
      <w:r w:rsidR="003E574C">
        <w:t xml:space="preserve">the initial </w:t>
      </w:r>
      <w:r w:rsidR="001E47BA">
        <w:t>£1</w:t>
      </w:r>
      <w:r w:rsidR="6B7A8F2C">
        <w:t>,</w:t>
      </w:r>
      <w:r w:rsidR="001E47BA">
        <w:t>600 up to £3</w:t>
      </w:r>
      <w:r w:rsidR="38FA49F0">
        <w:t>,</w:t>
      </w:r>
      <w:r w:rsidR="001E47BA">
        <w:t xml:space="preserve">000 if </w:t>
      </w:r>
      <w:r>
        <w:t>needed</w:t>
      </w:r>
      <w:r w:rsidR="001E47BA">
        <w:t>.</w:t>
      </w:r>
    </w:p>
    <w:p w14:paraId="2469D3B6" w14:textId="77777777" w:rsidR="001E47BA" w:rsidRDefault="001E47BA" w:rsidP="00EF3F23">
      <w:pPr>
        <w:pStyle w:val="BodyText"/>
      </w:pPr>
    </w:p>
    <w:p w14:paraId="358BBE6C" w14:textId="69F0794C" w:rsidR="00EF3F23" w:rsidRPr="00EF3F23" w:rsidRDefault="00EF3F23" w:rsidP="00EF3F23">
      <w:pPr>
        <w:pStyle w:val="BodyText"/>
        <w:rPr>
          <w:rFonts w:asciiTheme="majorHAnsi" w:eastAsiaTheme="majorEastAsia" w:hAnsiTheme="majorHAnsi" w:cstheme="majorBidi"/>
          <w:b/>
          <w:color w:val="00513F" w:themeColor="accent1" w:themeShade="BF"/>
          <w:sz w:val="36"/>
          <w:szCs w:val="36"/>
        </w:rPr>
      </w:pPr>
      <w:r w:rsidRPr="00EF3F23">
        <w:rPr>
          <w:rFonts w:asciiTheme="majorHAnsi" w:eastAsiaTheme="majorEastAsia" w:hAnsiTheme="majorHAnsi" w:cstheme="majorBidi"/>
          <w:b/>
          <w:color w:val="00513F" w:themeColor="accent1" w:themeShade="BF"/>
          <w:sz w:val="36"/>
          <w:szCs w:val="36"/>
        </w:rPr>
        <w:t xml:space="preserve">CLR </w:t>
      </w:r>
      <w:r w:rsidR="00871D1A">
        <w:rPr>
          <w:rFonts w:asciiTheme="majorHAnsi" w:eastAsiaTheme="majorEastAsia" w:hAnsiTheme="majorHAnsi" w:cstheme="majorBidi"/>
          <w:b/>
          <w:color w:val="00513F" w:themeColor="accent1" w:themeShade="BF"/>
          <w:sz w:val="36"/>
          <w:szCs w:val="36"/>
        </w:rPr>
        <w:t>c</w:t>
      </w:r>
      <w:r w:rsidRPr="00EF3F23">
        <w:rPr>
          <w:rFonts w:asciiTheme="majorHAnsi" w:eastAsiaTheme="majorEastAsia" w:hAnsiTheme="majorHAnsi" w:cstheme="majorBidi"/>
          <w:b/>
          <w:color w:val="00513F" w:themeColor="accent1" w:themeShade="BF"/>
          <w:sz w:val="36"/>
          <w:szCs w:val="36"/>
        </w:rPr>
        <w:t xml:space="preserve">ost </w:t>
      </w:r>
      <w:r w:rsidR="00871D1A">
        <w:rPr>
          <w:rFonts w:asciiTheme="majorHAnsi" w:eastAsiaTheme="majorEastAsia" w:hAnsiTheme="majorHAnsi" w:cstheme="majorBidi"/>
          <w:b/>
          <w:color w:val="00513F" w:themeColor="accent1" w:themeShade="BF"/>
          <w:sz w:val="36"/>
          <w:szCs w:val="36"/>
        </w:rPr>
        <w:t>l</w:t>
      </w:r>
      <w:r w:rsidRPr="00EF3F23">
        <w:rPr>
          <w:rFonts w:asciiTheme="majorHAnsi" w:eastAsiaTheme="majorEastAsia" w:hAnsiTheme="majorHAnsi" w:cstheme="majorBidi"/>
          <w:b/>
          <w:color w:val="00513F" w:themeColor="accent1" w:themeShade="BF"/>
          <w:sz w:val="36"/>
          <w:szCs w:val="36"/>
        </w:rPr>
        <w:t>imits</w:t>
      </w:r>
    </w:p>
    <w:p w14:paraId="51934061" w14:textId="083BD276" w:rsidR="00C40FBC" w:rsidRDefault="00C40FBC" w:rsidP="00C40FBC">
      <w:r w:rsidRPr="00C40FBC">
        <w:t>Under</w:t>
      </w:r>
      <w:r w:rsidR="00E3328A">
        <w:t xml:space="preserve"> para 8.112 of</w:t>
      </w:r>
      <w:r w:rsidRPr="00C40FBC">
        <w:t xml:space="preserve"> the SCC</w:t>
      </w:r>
      <w:r w:rsidR="008034D6">
        <w:t>,</w:t>
      </w:r>
      <w:r w:rsidRPr="00C40FBC">
        <w:t xml:space="preserve"> the initial cost limit for CLR includes profit costs, disbursements, and counsel fees as a combined total.</w:t>
      </w:r>
    </w:p>
    <w:p w14:paraId="209C085E" w14:textId="1CA7D2FF" w:rsidR="00C40FBC" w:rsidRDefault="00C40FBC" w:rsidP="00AD60C1">
      <w:r>
        <w:t xml:space="preserve">For the self-grant scheme, if you meet the required criteria, you may incur profit costs up to </w:t>
      </w:r>
      <w:r w:rsidR="00AD60C1">
        <w:t xml:space="preserve"> £4</w:t>
      </w:r>
      <w:r w:rsidR="2C1FA994">
        <w:t>,</w:t>
      </w:r>
      <w:r w:rsidR="00AD60C1">
        <w:t>200 for Matters opened on or after 22 December 2025 or £3,000 for a Matter Start opened on or earlier than 21 December 2025,</w:t>
      </w:r>
      <w:r>
        <w:t xml:space="preserve"> and you can also claim for disbursements (excluding counsel’s fees) separately, provided each disbursement meets the necessary conditions. Counsel fees count towards the overall profit costs but are recorded in a different field in </w:t>
      </w:r>
      <w:r w:rsidR="00E624B4">
        <w:t>S</w:t>
      </w:r>
      <w:r w:rsidR="009C2B91">
        <w:t>ubmit a Bulk Claim (S</w:t>
      </w:r>
      <w:r w:rsidR="00E624B4">
        <w:t>aBC</w:t>
      </w:r>
      <w:r w:rsidR="009C2B91">
        <w:t>)</w:t>
      </w:r>
      <w:r>
        <w:t>.</w:t>
      </w:r>
    </w:p>
    <w:p w14:paraId="0AE6DB8D" w14:textId="7A0A147C" w:rsidR="00D645D9" w:rsidRPr="00451E04" w:rsidRDefault="00C40FBC" w:rsidP="00C5741F">
      <w:r>
        <w:t xml:space="preserve">This means you might reach </w:t>
      </w:r>
      <w:r w:rsidR="61EC4530">
        <w:t>the</w:t>
      </w:r>
      <w:r w:rsidR="128F506F">
        <w:t xml:space="preserve"> profit costs limit of</w:t>
      </w:r>
      <w:r w:rsidR="61EC4530">
        <w:t xml:space="preserve"> £</w:t>
      </w:r>
      <w:r w:rsidR="00E624B4">
        <w:t>4</w:t>
      </w:r>
      <w:r w:rsidR="1DC41D38">
        <w:t>,</w:t>
      </w:r>
      <w:r w:rsidR="00E624B4">
        <w:t xml:space="preserve">200 for Matters opened on or after 22 December 2025 or £3,000 for a Matter Start opened on or earlier than </w:t>
      </w:r>
      <w:r w:rsidR="4388834A">
        <w:t>21 December 2025 but</w:t>
      </w:r>
      <w:r>
        <w:t xml:space="preserve"> can still claim further disbursements if each one qualifies under the scheme. </w:t>
      </w:r>
    </w:p>
    <w:p w14:paraId="2BFD8C36" w14:textId="5BDAD677" w:rsidR="00D645D9" w:rsidRPr="00451E04" w:rsidRDefault="00C40FBC" w:rsidP="00C5741F">
      <w:r>
        <w:lastRenderedPageBreak/>
        <w:t xml:space="preserve">However, if you need to exceed </w:t>
      </w:r>
      <w:r w:rsidR="1AB2D425">
        <w:t>the</w:t>
      </w:r>
      <w:r w:rsidR="07602395">
        <w:t xml:space="preserve"> profit costs limits of</w:t>
      </w:r>
      <w:r w:rsidR="1AB2D425">
        <w:t xml:space="preserve"> £</w:t>
      </w:r>
      <w:r w:rsidR="00C5741F">
        <w:t>4</w:t>
      </w:r>
      <w:r w:rsidR="6AC516F0">
        <w:t>,</w:t>
      </w:r>
      <w:r w:rsidR="00C5741F">
        <w:t>200 for Matters opened on or after 22 December 2025 or £3,000 for a Matter opened on or earlier than 21 December 2025,</w:t>
      </w:r>
      <w:r>
        <w:t xml:space="preserve"> you must submit a CW3 application for a cost extension.</w:t>
      </w:r>
    </w:p>
    <w:p w14:paraId="24D6FAB6" w14:textId="0A8B728A" w:rsidR="00C63991" w:rsidRPr="009261E8" w:rsidRDefault="00643316" w:rsidP="009261E8">
      <w:pPr>
        <w:pStyle w:val="Heading1"/>
        <w:rPr>
          <w:sz w:val="36"/>
          <w:szCs w:val="36"/>
        </w:rPr>
      </w:pPr>
      <w:r w:rsidRPr="0024340D">
        <w:rPr>
          <w:sz w:val="36"/>
          <w:szCs w:val="36"/>
        </w:rPr>
        <w:t>Disburs</w:t>
      </w:r>
      <w:r w:rsidRPr="00E3328A">
        <w:rPr>
          <w:sz w:val="36"/>
          <w:szCs w:val="36"/>
        </w:rPr>
        <w:t>e</w:t>
      </w:r>
      <w:r>
        <w:rPr>
          <w:sz w:val="36"/>
          <w:szCs w:val="36"/>
        </w:rPr>
        <w:t>ments:</w:t>
      </w:r>
      <w:r w:rsidR="009261E8" w:rsidRPr="009261E8">
        <w:rPr>
          <w:sz w:val="36"/>
          <w:szCs w:val="36"/>
        </w:rPr>
        <w:t xml:space="preserve"> </w:t>
      </w:r>
      <w:r w:rsidR="00871D1A">
        <w:rPr>
          <w:sz w:val="36"/>
          <w:szCs w:val="36"/>
        </w:rPr>
        <w:t>E</w:t>
      </w:r>
      <w:r w:rsidR="009261E8" w:rsidRPr="009261E8">
        <w:rPr>
          <w:sz w:val="36"/>
          <w:szCs w:val="36"/>
        </w:rPr>
        <w:t xml:space="preserve">xercising the self-grant </w:t>
      </w:r>
      <w:r>
        <w:rPr>
          <w:sz w:val="36"/>
          <w:szCs w:val="36"/>
        </w:rPr>
        <w:t>provisions</w:t>
      </w:r>
    </w:p>
    <w:p w14:paraId="3A00784E" w14:textId="66D73394" w:rsidR="00A83A45" w:rsidRDefault="009F27E9" w:rsidP="009261E8">
      <w:pPr>
        <w:pStyle w:val="BodyText"/>
      </w:pPr>
      <w:r>
        <w:t>Paras 8.125 to 8.129 of the 2024 S</w:t>
      </w:r>
      <w:r w:rsidR="00B2667D">
        <w:t>CC</w:t>
      </w:r>
      <w:r>
        <w:t xml:space="preserve"> detail the provisions relating to disbursements</w:t>
      </w:r>
      <w:r w:rsidR="00A83A45">
        <w:t xml:space="preserve">. </w:t>
      </w:r>
    </w:p>
    <w:p w14:paraId="030E02E9" w14:textId="61F6B785" w:rsidR="00A83A45" w:rsidRDefault="00A83A45" w:rsidP="009261E8">
      <w:pPr>
        <w:pStyle w:val="BodyText"/>
      </w:pPr>
      <w:r>
        <w:t xml:space="preserve">Para 8.125 confirms that: </w:t>
      </w:r>
    </w:p>
    <w:p w14:paraId="46B9C978" w14:textId="77777777" w:rsidR="00593ECA" w:rsidRDefault="00593ECA" w:rsidP="00593ECA">
      <w:pPr>
        <w:pStyle w:val="BodyText"/>
        <w:pBdr>
          <w:top w:val="single" w:sz="4" w:space="1" w:color="auto"/>
          <w:left w:val="single" w:sz="4" w:space="4" w:color="auto"/>
          <w:bottom w:val="single" w:sz="4" w:space="1" w:color="auto"/>
          <w:right w:val="single" w:sz="4" w:space="4" w:color="auto"/>
        </w:pBdr>
      </w:pPr>
      <w:r w:rsidRPr="00593ECA">
        <w:t xml:space="preserve">If you have joined the </w:t>
      </w:r>
      <w:r w:rsidR="00080EEE">
        <w:t>Self-Grant Scheme</w:t>
      </w:r>
      <w:r w:rsidRPr="00593ECA">
        <w:t xml:space="preserve"> and determine that it is reasonable to instruct an expert in order to provide Controlled Work to the Client, pursuant to Paragraph 4.24, you may incur the disbursement without the requirement to submit a Contract Report Form to us if the following criteria are met:</w:t>
      </w:r>
    </w:p>
    <w:p w14:paraId="27CDF654" w14:textId="29713DCD" w:rsidR="00593ECA" w:rsidRDefault="30C7DFDC" w:rsidP="24AE97D4">
      <w:pPr>
        <w:pStyle w:val="BodyText"/>
        <w:pBdr>
          <w:top w:val="single" w:sz="4" w:space="1" w:color="auto"/>
          <w:left w:val="single" w:sz="4" w:space="4" w:color="auto"/>
          <w:bottom w:val="single" w:sz="4" w:space="1" w:color="auto"/>
          <w:right w:val="single" w:sz="4" w:space="4" w:color="auto"/>
        </w:pBdr>
      </w:pPr>
      <w:r>
        <w:t>(a) the total time quoted by the expert to provide the service is 12 hours or less (</w:t>
      </w:r>
      <w:r w:rsidR="627DF655">
        <w:t>this includes</w:t>
      </w:r>
      <w:r>
        <w:t xml:space="preserve"> all travel, interview, </w:t>
      </w:r>
      <w:r w:rsidR="00F352F1">
        <w:t>preparation,</w:t>
      </w:r>
      <w:r>
        <w:t xml:space="preserve"> and report writing time combined); and </w:t>
      </w:r>
    </w:p>
    <w:p w14:paraId="39AA2E61" w14:textId="067A95B5" w:rsidR="00593ECA" w:rsidRDefault="30C7DFDC" w:rsidP="00593ECA">
      <w:pPr>
        <w:pStyle w:val="BodyText"/>
        <w:pBdr>
          <w:top w:val="single" w:sz="4" w:space="1" w:color="auto"/>
          <w:left w:val="single" w:sz="4" w:space="4" w:color="auto"/>
          <w:bottom w:val="single" w:sz="4" w:space="1" w:color="auto"/>
          <w:right w:val="single" w:sz="4" w:space="4" w:color="auto"/>
        </w:pBdr>
      </w:pPr>
      <w:r>
        <w:t>(b) the hourly rate quoted by the expert does not exceed that specified in the codified rates for the expert type required, as outlined in the Remuneration Regulations 2013.</w:t>
      </w:r>
    </w:p>
    <w:p w14:paraId="405C27A8" w14:textId="3113169F" w:rsidR="009261E8" w:rsidRPr="0040076A" w:rsidRDefault="0377E0F4" w:rsidP="006953AD">
      <w:r>
        <w:t>The 12</w:t>
      </w:r>
      <w:r w:rsidR="006953AD" w:rsidRPr="006953AD">
        <w:t>-hour limit for</w:t>
      </w:r>
      <w:r>
        <w:t xml:space="preserve"> disbursements </w:t>
      </w:r>
      <w:r w:rsidR="006953AD" w:rsidRPr="006953AD">
        <w:t>relates</w:t>
      </w:r>
      <w:r>
        <w:t xml:space="preserve"> to the</w:t>
      </w:r>
      <w:r w:rsidRPr="00B16E49">
        <w:rPr>
          <w:b/>
        </w:rPr>
        <w:t xml:space="preserve"> </w:t>
      </w:r>
      <w:r w:rsidRPr="24AE97D4">
        <w:rPr>
          <w:b/>
          <w:bCs/>
        </w:rPr>
        <w:t>total</w:t>
      </w:r>
      <w:r w:rsidRPr="006953AD">
        <w:t xml:space="preserve"> </w:t>
      </w:r>
      <w:r>
        <w:t xml:space="preserve">time the expert </w:t>
      </w:r>
      <w:r w:rsidR="006953AD" w:rsidRPr="006953AD">
        <w:t xml:space="preserve">quotes </w:t>
      </w:r>
      <w:r>
        <w:t xml:space="preserve">to </w:t>
      </w:r>
      <w:r w:rsidR="006953AD" w:rsidRPr="006953AD">
        <w:t>complete</w:t>
      </w:r>
      <w:r>
        <w:t xml:space="preserve"> the </w:t>
      </w:r>
      <w:r w:rsidR="006953AD" w:rsidRPr="006953AD">
        <w:t>necessary</w:t>
      </w:r>
      <w:r>
        <w:t xml:space="preserve"> service</w:t>
      </w:r>
      <w:r w:rsidR="006953AD" w:rsidRPr="006953AD">
        <w:t xml:space="preserve">. This </w:t>
      </w:r>
      <w:r>
        <w:t xml:space="preserve">includes all </w:t>
      </w:r>
      <w:r w:rsidR="006953AD" w:rsidRPr="006953AD">
        <w:t>time spent travelling, interviewing, preparing</w:t>
      </w:r>
      <w:r w:rsidR="00F352F1">
        <w:t>,</w:t>
      </w:r>
      <w:r>
        <w:t xml:space="preserve"> and writing </w:t>
      </w:r>
      <w:r w:rsidR="006953AD" w:rsidRPr="006953AD">
        <w:t xml:space="preserve">reports. If an expert estimates that more than 12 hours are needed for the service, this would be unusual based on the </w:t>
      </w:r>
      <w:r w:rsidR="00D23082">
        <w:t>LAA</w:t>
      </w:r>
      <w:r w:rsidR="00B16E49">
        <w:t>’s</w:t>
      </w:r>
      <w:r w:rsidR="006953AD" w:rsidRPr="006953AD">
        <w:t xml:space="preserve"> typical experience. In such cases, you must submit a CW3 application for approval.</w:t>
      </w:r>
    </w:p>
    <w:p w14:paraId="3D180D76" w14:textId="48BBF241" w:rsidR="00B16E49" w:rsidRDefault="00B16E49" w:rsidP="00B16E49">
      <w:r w:rsidRPr="00B16E49">
        <w:t xml:space="preserve">If the disbursement can be completed within the 12-hour limit, but the expert's hourly rate is higher than the </w:t>
      </w:r>
      <w:r w:rsidR="00234167">
        <w:t>s</w:t>
      </w:r>
      <w:r w:rsidRPr="00B16E49">
        <w:t>elf-</w:t>
      </w:r>
      <w:r w:rsidR="00234167">
        <w:t>g</w:t>
      </w:r>
      <w:r w:rsidRPr="00B16E49">
        <w:t xml:space="preserve">rant </w:t>
      </w:r>
      <w:r w:rsidR="00234167">
        <w:t>s</w:t>
      </w:r>
      <w:r w:rsidRPr="00B16E49">
        <w:t>cheme allows, the self-grant provisions cannot be used. Both the time and the hourly rate requirements must be met. If either of these criteria is not satisfied, a CW3 application should be submitted for approval.</w:t>
      </w:r>
    </w:p>
    <w:p w14:paraId="6B0F5EEF" w14:textId="2873D67E" w:rsidR="009261E8" w:rsidRDefault="0377E0F4" w:rsidP="00B16E49">
      <w:r>
        <w:t xml:space="preserve">For </w:t>
      </w:r>
      <w:r w:rsidR="00B16E49" w:rsidRPr="00B16E49">
        <w:t>instance</w:t>
      </w:r>
      <w:r>
        <w:t xml:space="preserve">, if an expert </w:t>
      </w:r>
      <w:r w:rsidR="00B16E49" w:rsidRPr="00B16E49">
        <w:t>says</w:t>
      </w:r>
      <w:r w:rsidR="0850D16C">
        <w:t xml:space="preserve"> </w:t>
      </w:r>
      <w:r>
        <w:t xml:space="preserve">a country report </w:t>
      </w:r>
      <w:r w:rsidR="00B16E49" w:rsidRPr="00B16E49">
        <w:t>will</w:t>
      </w:r>
      <w:r>
        <w:t xml:space="preserve"> take 10 hours but </w:t>
      </w:r>
      <w:r w:rsidR="00B16E49" w:rsidRPr="00B16E49">
        <w:t>charges</w:t>
      </w:r>
      <w:r>
        <w:t xml:space="preserve"> £130 per hour</w:t>
      </w:r>
      <w:r w:rsidR="00B16E49" w:rsidRPr="00B16E49">
        <w:t>,</w:t>
      </w:r>
      <w:r>
        <w:t xml:space="preserve"> a CW3</w:t>
      </w:r>
      <w:r w:rsidR="00B16E49" w:rsidRPr="00B16E49">
        <w:t xml:space="preserve"> form must be submitted. However</w:t>
      </w:r>
      <w:r>
        <w:t xml:space="preserve">, if the report </w:t>
      </w:r>
      <w:r w:rsidR="00B16E49" w:rsidRPr="00B16E49">
        <w:t>takes</w:t>
      </w:r>
      <w:r>
        <w:t xml:space="preserve"> 10 hours and the expert </w:t>
      </w:r>
      <w:r w:rsidR="00B16E49" w:rsidRPr="00B16E49">
        <w:t>charges</w:t>
      </w:r>
      <w:r>
        <w:t xml:space="preserve"> £100 per hour</w:t>
      </w:r>
      <w:r w:rsidR="00B16E49" w:rsidRPr="00B16E49">
        <w:t>,</w:t>
      </w:r>
      <w:r>
        <w:t xml:space="preserve"> </w:t>
      </w:r>
      <w:r w:rsidR="246C799B">
        <w:t xml:space="preserve">the provider </w:t>
      </w:r>
      <w:r w:rsidR="00B16E49" w:rsidRPr="00B16E49">
        <w:t>can proceed under</w:t>
      </w:r>
      <w:r>
        <w:t xml:space="preserve"> the </w:t>
      </w:r>
      <w:r w:rsidR="00234167">
        <w:t>s</w:t>
      </w:r>
      <w:r w:rsidR="00B16E49" w:rsidRPr="00B16E49">
        <w:t>elf-</w:t>
      </w:r>
      <w:r w:rsidR="00234167">
        <w:t>g</w:t>
      </w:r>
      <w:r w:rsidR="00B16E49" w:rsidRPr="00B16E49">
        <w:t xml:space="preserve">rant </w:t>
      </w:r>
      <w:r w:rsidR="00234167">
        <w:t>s</w:t>
      </w:r>
      <w:r w:rsidR="00B16E49" w:rsidRPr="00B16E49">
        <w:t>cheme</w:t>
      </w:r>
      <w:r w:rsidR="1C904E96">
        <w:t xml:space="preserve"> and </w:t>
      </w:r>
      <w:r w:rsidR="00B16E49" w:rsidRPr="00B16E49">
        <w:t>does</w:t>
      </w:r>
      <w:r>
        <w:t xml:space="preserve"> not need to submit a CW3.</w:t>
      </w:r>
    </w:p>
    <w:p w14:paraId="47B9D648" w14:textId="08BAD048" w:rsidR="009261E8" w:rsidRPr="0040076A" w:rsidRDefault="00F53779" w:rsidP="00234167">
      <w:r>
        <w:t xml:space="preserve">If you have </w:t>
      </w:r>
      <w:r w:rsidR="00234167">
        <w:t>obtained</w:t>
      </w:r>
      <w:r>
        <w:t xml:space="preserve"> a quote that </w:t>
      </w:r>
      <w:r w:rsidR="00234167">
        <w:t>satisfies</w:t>
      </w:r>
      <w:r>
        <w:t xml:space="preserve"> the self-grant </w:t>
      </w:r>
      <w:r w:rsidR="00234167">
        <w:t>requirements,</w:t>
      </w:r>
      <w:r>
        <w:t xml:space="preserve"> you </w:t>
      </w:r>
      <w:r w:rsidR="00234167">
        <w:t>do</w:t>
      </w:r>
      <w:r>
        <w:t xml:space="preserve"> not need to </w:t>
      </w:r>
      <w:r w:rsidR="00234167">
        <w:t xml:space="preserve">seek two </w:t>
      </w:r>
      <w:r>
        <w:t>additional quotes before incurring the disbursement</w:t>
      </w:r>
      <w:r w:rsidR="00234167">
        <w:t>, provided</w:t>
      </w:r>
      <w:r>
        <w:t xml:space="preserve"> it is reasonable to </w:t>
      </w:r>
      <w:r w:rsidR="00234167">
        <w:t>do so. All</w:t>
      </w:r>
      <w:r w:rsidR="009261E8">
        <w:t xml:space="preserve"> disbursements must be </w:t>
      </w:r>
      <w:r w:rsidR="00AA21EC">
        <w:t>reasonable</w:t>
      </w:r>
      <w:r w:rsidR="009261E8">
        <w:t xml:space="preserve"> </w:t>
      </w:r>
      <w:r w:rsidR="00234167">
        <w:t xml:space="preserve">according to </w:t>
      </w:r>
      <w:r w:rsidR="009261E8">
        <w:t xml:space="preserve">the </w:t>
      </w:r>
      <w:r w:rsidR="00131FC1">
        <w:t>2024 SCC</w:t>
      </w:r>
      <w:r w:rsidR="00234167">
        <w:t>,</w:t>
      </w:r>
      <w:r w:rsidR="009261E8">
        <w:t xml:space="preserve"> and </w:t>
      </w:r>
      <w:r w:rsidR="00234167">
        <w:t xml:space="preserve">justification for each should </w:t>
      </w:r>
      <w:r w:rsidR="009261E8">
        <w:t xml:space="preserve">be </w:t>
      </w:r>
      <w:r w:rsidR="00234167">
        <w:t>clearly recorded</w:t>
      </w:r>
      <w:r w:rsidR="009261E8">
        <w:t xml:space="preserve"> on file using the self-grant pro forma.</w:t>
      </w:r>
    </w:p>
    <w:p w14:paraId="1BD108D3" w14:textId="450BF7C6" w:rsidR="008C631A" w:rsidRDefault="008C631A" w:rsidP="008C631A">
      <w:r w:rsidRPr="008C631A">
        <w:t xml:space="preserve">If the same type of expert is needed more than once during a </w:t>
      </w:r>
      <w:r w:rsidR="00B66CF0">
        <w:t>matter</w:t>
      </w:r>
      <w:r w:rsidRPr="008C631A">
        <w:t xml:space="preserve">, you may use the self-grant scheme for each separate occasion. The 12-hour limit applies to each individual time the service is required, not the total time across the entire case. For example, if you need an interpreter five times and each session is 5 hours long, you can use the self-grant </w:t>
      </w:r>
      <w:r w:rsidRPr="008C631A">
        <w:lastRenderedPageBreak/>
        <w:t>scheme for each session without submitting a CW3 form, even if the total time spent by the interpreter on the case goes over 12 hours.</w:t>
      </w:r>
    </w:p>
    <w:p w14:paraId="6737AEB7" w14:textId="30071C2F" w:rsidR="009261E8" w:rsidRDefault="0377E0F4" w:rsidP="008C631A">
      <w:r>
        <w:t xml:space="preserve">Providers should </w:t>
      </w:r>
      <w:r w:rsidR="008C631A">
        <w:t>also note</w:t>
      </w:r>
      <w:r>
        <w:t xml:space="preserve"> that there are </w:t>
      </w:r>
      <w:r w:rsidR="008C631A">
        <w:t xml:space="preserve">usually several suppliers able to offer the required </w:t>
      </w:r>
      <w:r>
        <w:t>service</w:t>
      </w:r>
      <w:r w:rsidR="008C631A">
        <w:t>. It is important to choose</w:t>
      </w:r>
      <w:r>
        <w:t xml:space="preserve"> the most cost-effective option </w:t>
      </w:r>
      <w:r w:rsidR="008C631A">
        <w:t xml:space="preserve">available, and to record the reasons for your choice in the </w:t>
      </w:r>
      <w:r w:rsidR="00007EDB">
        <w:t>file for audit purposes.</w:t>
      </w:r>
    </w:p>
    <w:p w14:paraId="5E0D3C90" w14:textId="519E52B5" w:rsidR="00643316" w:rsidRPr="00643316" w:rsidRDefault="417C0FC8" w:rsidP="006279AE">
      <w:pPr>
        <w:pStyle w:val="BodyText"/>
        <w:rPr>
          <w:rFonts w:asciiTheme="majorHAnsi" w:eastAsiaTheme="majorEastAsia" w:hAnsiTheme="majorHAnsi" w:cstheme="majorBidi"/>
          <w:b/>
          <w:color w:val="00513F" w:themeColor="accent1" w:themeShade="BF"/>
          <w:sz w:val="36"/>
          <w:szCs w:val="36"/>
        </w:rPr>
      </w:pPr>
      <w:r w:rsidRPr="24AE97D4">
        <w:rPr>
          <w:rFonts w:asciiTheme="majorHAnsi" w:eastAsiaTheme="majorEastAsia" w:hAnsiTheme="majorHAnsi" w:cstheme="majorBidi"/>
          <w:b/>
          <w:bCs/>
          <w:color w:val="00513F" w:themeColor="accent1" w:themeShade="BF"/>
          <w:sz w:val="36"/>
          <w:szCs w:val="36"/>
        </w:rPr>
        <w:t>Bail matters</w:t>
      </w:r>
    </w:p>
    <w:p w14:paraId="64CB6FEC" w14:textId="2CDADDBA" w:rsidR="0040076A" w:rsidRPr="0040076A" w:rsidRDefault="00EB2AFD" w:rsidP="00895627">
      <w:r>
        <w:t>If</w:t>
      </w:r>
      <w:r w:rsidR="3AF63768">
        <w:t xml:space="preserve"> it is </w:t>
      </w:r>
      <w:r>
        <w:t>suitable</w:t>
      </w:r>
      <w:r w:rsidR="3AF63768">
        <w:t xml:space="preserve"> to </w:t>
      </w:r>
      <w:r>
        <w:t>carry out</w:t>
      </w:r>
      <w:r w:rsidR="3AF63768">
        <w:t xml:space="preserve"> bail </w:t>
      </w:r>
      <w:r>
        <w:t xml:space="preserve">work </w:t>
      </w:r>
      <w:r w:rsidR="3AF63768">
        <w:t xml:space="preserve">as part of the </w:t>
      </w:r>
      <w:r>
        <w:t>client's</w:t>
      </w:r>
      <w:r w:rsidR="3AF63768">
        <w:t xml:space="preserve"> existing asylum application</w:t>
      </w:r>
      <w:r>
        <w:t xml:space="preserve"> or </w:t>
      </w:r>
      <w:r w:rsidR="3AF63768">
        <w:t>appeal matter start</w:t>
      </w:r>
      <w:r w:rsidR="20249636">
        <w:t>,</w:t>
      </w:r>
      <w:r w:rsidR="3AF63768">
        <w:t xml:space="preserve"> </w:t>
      </w:r>
      <w:r w:rsidR="2745049A">
        <w:t xml:space="preserve">providers </w:t>
      </w:r>
      <w:r>
        <w:t>can</w:t>
      </w:r>
      <w:r w:rsidR="2745049A">
        <w:t xml:space="preserve"> </w:t>
      </w:r>
      <w:r w:rsidR="3AF63768">
        <w:t xml:space="preserve">incur </w:t>
      </w:r>
      <w:r>
        <w:t>an additional</w:t>
      </w:r>
      <w:r w:rsidR="3AF63768">
        <w:t xml:space="preserve"> </w:t>
      </w:r>
      <w:r w:rsidR="007A1F03">
        <w:t xml:space="preserve"> £700</w:t>
      </w:r>
      <w:r w:rsidR="3AF63768">
        <w:t xml:space="preserve"> </w:t>
      </w:r>
      <w:r>
        <w:t xml:space="preserve">in </w:t>
      </w:r>
      <w:r w:rsidR="3AF63768">
        <w:t xml:space="preserve">profit costs </w:t>
      </w:r>
      <w:r>
        <w:t xml:space="preserve">on top of the </w:t>
      </w:r>
      <w:r w:rsidR="3AF63768">
        <w:t xml:space="preserve"> self-grant limit</w:t>
      </w:r>
      <w:r>
        <w:t>,</w:t>
      </w:r>
      <w:r w:rsidR="00895627">
        <w:t xml:space="preserve"> where the matter was opened on</w:t>
      </w:r>
      <w:r w:rsidR="4C825169">
        <w:t xml:space="preserve"> or</w:t>
      </w:r>
      <w:r w:rsidR="00895627">
        <w:t xml:space="preserve"> after 22 December 2025 or £500 where the matter was opened on or earlier than 21 December 2025,</w:t>
      </w:r>
      <w:r w:rsidR="244B9EFC">
        <w:t xml:space="preserve"> </w:t>
      </w:r>
      <w:r w:rsidR="0030784D">
        <w:t xml:space="preserve">without needing to submit a CW3 </w:t>
      </w:r>
      <w:r>
        <w:t>form (see paragraph</w:t>
      </w:r>
      <w:r w:rsidR="244B9EFC">
        <w:t xml:space="preserve"> 8.133 of the 2024 </w:t>
      </w:r>
      <w:r w:rsidR="00E55C9B">
        <w:t>SCC</w:t>
      </w:r>
      <w:r w:rsidR="244B9EFC">
        <w:t>).</w:t>
      </w:r>
    </w:p>
    <w:p w14:paraId="6D92A876" w14:textId="77777777" w:rsidR="005D5007" w:rsidRDefault="005D5007" w:rsidP="0040076A">
      <w:pPr>
        <w:pStyle w:val="BodyText"/>
        <w:rPr>
          <w:rFonts w:asciiTheme="majorHAnsi" w:eastAsiaTheme="majorEastAsia" w:hAnsiTheme="majorHAnsi" w:cstheme="majorBidi"/>
          <w:b/>
          <w:color w:val="00513F" w:themeColor="accent1" w:themeShade="BF"/>
          <w:sz w:val="36"/>
          <w:szCs w:val="36"/>
        </w:rPr>
      </w:pPr>
    </w:p>
    <w:p w14:paraId="4E2CA525" w14:textId="727FE278" w:rsidR="0040076A" w:rsidRPr="00CA36FF" w:rsidRDefault="0040076A" w:rsidP="24AE97D4">
      <w:pPr>
        <w:pStyle w:val="BodyText"/>
        <w:rPr>
          <w:rFonts w:asciiTheme="majorHAnsi" w:eastAsiaTheme="majorEastAsia" w:hAnsiTheme="majorHAnsi" w:cstheme="majorBidi"/>
          <w:b/>
          <w:bCs/>
          <w:color w:val="00513F" w:themeColor="accent1" w:themeShade="BF"/>
          <w:sz w:val="36"/>
          <w:szCs w:val="36"/>
        </w:rPr>
      </w:pPr>
      <w:r w:rsidRPr="24AE97D4">
        <w:rPr>
          <w:rFonts w:asciiTheme="majorHAnsi" w:eastAsiaTheme="majorEastAsia" w:hAnsiTheme="majorHAnsi" w:cstheme="majorBidi"/>
          <w:b/>
          <w:bCs/>
          <w:color w:val="00513F" w:themeColor="accent1" w:themeShade="BF"/>
          <w:sz w:val="36"/>
          <w:szCs w:val="36"/>
        </w:rPr>
        <w:t>Remitt</w:t>
      </w:r>
      <w:r w:rsidR="01BE5C2E" w:rsidRPr="24AE97D4">
        <w:rPr>
          <w:rFonts w:asciiTheme="majorHAnsi" w:eastAsiaTheme="majorEastAsia" w:hAnsiTheme="majorHAnsi" w:cstheme="majorBidi"/>
          <w:b/>
          <w:bCs/>
          <w:color w:val="00513F" w:themeColor="accent1" w:themeShade="BF"/>
          <w:sz w:val="36"/>
          <w:szCs w:val="36"/>
        </w:rPr>
        <w:t>als</w:t>
      </w:r>
      <w:r w:rsidRPr="24AE97D4">
        <w:rPr>
          <w:rFonts w:asciiTheme="majorHAnsi" w:eastAsiaTheme="majorEastAsia" w:hAnsiTheme="majorHAnsi" w:cstheme="majorBidi"/>
          <w:b/>
          <w:bCs/>
          <w:color w:val="00513F" w:themeColor="accent1" w:themeShade="BF"/>
          <w:sz w:val="36"/>
          <w:szCs w:val="36"/>
        </w:rPr>
        <w:t xml:space="preserve"> from the Upper Tier Tribunal to the First Tier Tribunal </w:t>
      </w:r>
    </w:p>
    <w:p w14:paraId="6B654158" w14:textId="77777777" w:rsidR="002078BD" w:rsidRDefault="002078BD" w:rsidP="002078BD">
      <w:r w:rsidRPr="002078BD">
        <w:t>How profit costs are handled in remitted cases depends on whether a new matter start is needed, or if the advice can continue under the original First-Tier Tribunal matter. Since appeals to the Upper Tribunal are funded as Licensed Work and the previous First-Tier Tribunal matter is usually closed, most remitted appeals will require a new matter start.</w:t>
      </w:r>
    </w:p>
    <w:p w14:paraId="796C9B90" w14:textId="672A0560" w:rsidR="00C26FC8" w:rsidRPr="00C26FC8" w:rsidRDefault="3BA4C9ED" w:rsidP="002078BD">
      <w:r>
        <w:t xml:space="preserve">If a new matter start is </w:t>
      </w:r>
      <w:r w:rsidR="002078BD">
        <w:t>needed</w:t>
      </w:r>
      <w:r>
        <w:t xml:space="preserve"> to advise </w:t>
      </w:r>
      <w:r w:rsidR="002078BD">
        <w:t xml:space="preserve">on </w:t>
      </w:r>
      <w:r>
        <w:t>the remitted appeal,</w:t>
      </w:r>
      <w:r w:rsidR="603FDE4A">
        <w:t xml:space="preserve"> </w:t>
      </w:r>
      <w:r w:rsidR="54A545E0">
        <w:t xml:space="preserve">the provider </w:t>
      </w:r>
      <w:r w:rsidR="002078BD">
        <w:t xml:space="preserve">may </w:t>
      </w:r>
      <w:r w:rsidR="603FDE4A">
        <w:t xml:space="preserve">incur </w:t>
      </w:r>
      <w:r w:rsidR="25CA5604">
        <w:t xml:space="preserve">profit costs </w:t>
      </w:r>
      <w:r w:rsidR="002078BD">
        <w:t xml:space="preserve">up to  </w:t>
      </w:r>
      <w:r w:rsidR="009E68AF">
        <w:t>£4</w:t>
      </w:r>
      <w:r w:rsidR="022A1800">
        <w:t>,</w:t>
      </w:r>
      <w:r w:rsidR="009E68AF">
        <w:t>200 for Matters opened on or after 22 December 2025 or £3,000 for a Matter opened on or earlier than 21 December 2025</w:t>
      </w:r>
      <w:r w:rsidR="00EE25F8">
        <w:t xml:space="preserve"> </w:t>
      </w:r>
      <w:r w:rsidR="603FDE4A">
        <w:t xml:space="preserve">before </w:t>
      </w:r>
      <w:r w:rsidR="002078BD">
        <w:t>needing to submit</w:t>
      </w:r>
      <w:r w:rsidR="07963F52">
        <w:t xml:space="preserve"> </w:t>
      </w:r>
      <w:r w:rsidR="603FDE4A">
        <w:t xml:space="preserve">a CW3 </w:t>
      </w:r>
      <w:r w:rsidR="002078BD">
        <w:t xml:space="preserve">form for a further increase in the </w:t>
      </w:r>
      <w:r w:rsidR="603FDE4A">
        <w:t xml:space="preserve">costs </w:t>
      </w:r>
      <w:r w:rsidR="002078BD">
        <w:t>limit.</w:t>
      </w:r>
    </w:p>
    <w:p w14:paraId="486C01C9" w14:textId="1D59CA48" w:rsidR="00B86E8A" w:rsidRDefault="00B86E8A" w:rsidP="00B86E8A">
      <w:r w:rsidRPr="00B86E8A">
        <w:t>If the 2018 transitional provisions apply and funding for the Upper Tribunal was provided under the same CLR</w:t>
      </w:r>
      <w:r w:rsidR="0049729B">
        <w:t xml:space="preserve"> </w:t>
      </w:r>
      <w:r w:rsidRPr="00B86E8A">
        <w:t>matter start as the earlier First-Tier Tribunal (FTT) appeal, then any remitted appeal will also be covered by that same matter start.</w:t>
      </w:r>
    </w:p>
    <w:p w14:paraId="67F1BBC6" w14:textId="2629D360" w:rsidR="00B86E8A" w:rsidRDefault="00B86E8A" w:rsidP="00B86E8A">
      <w:r>
        <w:t xml:space="preserve">If the previous FTT appeal was paid under the Standard Fee Scheme, the initial cost limit of £1,600 applies to the remitted appeal. However, the provider may use the self-grant scheme to increase this limit up </w:t>
      </w:r>
      <w:r w:rsidR="17BDAAE8">
        <w:t>to £</w:t>
      </w:r>
      <w:r w:rsidR="0067412A">
        <w:t>4</w:t>
      </w:r>
      <w:r w:rsidR="655511F3">
        <w:t>,</w:t>
      </w:r>
      <w:r w:rsidR="0067412A">
        <w:t>200 for Matters opened on or after 22 December 2025 or £3,000 for a Matter Start opened on or earlier than 21 December 2025</w:t>
      </w:r>
      <w:r>
        <w:t>.</w:t>
      </w:r>
    </w:p>
    <w:p w14:paraId="2CE5005F" w14:textId="5BCF64F2" w:rsidR="3BE836D9" w:rsidRDefault="3BE836D9"/>
    <w:p w14:paraId="3306191E" w14:textId="4C5FD9DD" w:rsidR="00910645" w:rsidRDefault="669E5CCE" w:rsidP="00B86E8A">
      <w:r>
        <w:t xml:space="preserve">If the </w:t>
      </w:r>
      <w:r w:rsidR="00B86E8A">
        <w:t>earlier FTT</w:t>
      </w:r>
      <w:r>
        <w:t xml:space="preserve"> appeal was payable under </w:t>
      </w:r>
      <w:r w:rsidR="00D6340D">
        <w:t>hourly rates</w:t>
      </w:r>
      <w:r w:rsidR="0058112F">
        <w:t>,</w:t>
      </w:r>
      <w:r>
        <w:t xml:space="preserve"> the remaining balance of </w:t>
      </w:r>
      <w:r w:rsidR="00B86E8A">
        <w:t xml:space="preserve">the </w:t>
      </w:r>
      <w:r>
        <w:t xml:space="preserve">cost limit </w:t>
      </w:r>
      <w:r w:rsidR="00B86E8A">
        <w:t xml:space="preserve">from the previous </w:t>
      </w:r>
      <w:r>
        <w:t xml:space="preserve">FTT appeal </w:t>
      </w:r>
      <w:r w:rsidR="00B86E8A">
        <w:t>continues to apply.</w:t>
      </w:r>
      <w:r>
        <w:t xml:space="preserve"> </w:t>
      </w:r>
      <w:r w:rsidR="53E44DAB">
        <w:t xml:space="preserve">The provider </w:t>
      </w:r>
      <w:r w:rsidR="00B86E8A">
        <w:t>can use</w:t>
      </w:r>
      <w:r w:rsidR="5059B161">
        <w:t xml:space="preserve"> the self-grant </w:t>
      </w:r>
      <w:r w:rsidR="00B86E8A">
        <w:t>scheme</w:t>
      </w:r>
      <w:r w:rsidR="5059B161">
        <w:t xml:space="preserve"> to extend this </w:t>
      </w:r>
      <w:r w:rsidR="6A16AD8A">
        <w:t>to £</w:t>
      </w:r>
      <w:r w:rsidR="00A66B06">
        <w:t>4</w:t>
      </w:r>
      <w:r w:rsidR="69CE6A20">
        <w:t>,</w:t>
      </w:r>
      <w:r w:rsidR="00A66B06">
        <w:t>200 for Matters opened on or after 22 December 2025 or £3,000 for a Matter Start opened on or earlier than 21 December 2025</w:t>
      </w:r>
      <w:r w:rsidR="00B86E8A">
        <w:t>, provided that</w:t>
      </w:r>
      <w:r w:rsidR="5059B161">
        <w:t xml:space="preserve"> the total costs incurred </w:t>
      </w:r>
      <w:r w:rsidR="00B86E8A">
        <w:t>so far have</w:t>
      </w:r>
      <w:r w:rsidR="5059B161">
        <w:t xml:space="preserve"> not yet reached </w:t>
      </w:r>
      <w:r w:rsidR="00B86E8A">
        <w:t>this</w:t>
      </w:r>
      <w:r w:rsidR="5059B161">
        <w:t xml:space="preserve"> amount.</w:t>
      </w:r>
    </w:p>
    <w:p w14:paraId="1D81375E" w14:textId="34BEFE93" w:rsidR="002B47D4" w:rsidRDefault="34916AFA" w:rsidP="24AE97D4">
      <w:pPr>
        <w:pStyle w:val="Heading1"/>
        <w:rPr>
          <w:sz w:val="32"/>
        </w:rPr>
      </w:pPr>
      <w:r w:rsidRPr="24AE97D4">
        <w:rPr>
          <w:sz w:val="32"/>
        </w:rPr>
        <w:lastRenderedPageBreak/>
        <w:t xml:space="preserve">Submitting CW3s for </w:t>
      </w:r>
      <w:r w:rsidR="008F487D" w:rsidRPr="24AE97D4">
        <w:rPr>
          <w:sz w:val="32"/>
        </w:rPr>
        <w:t xml:space="preserve">cost limits extensions </w:t>
      </w:r>
    </w:p>
    <w:p w14:paraId="3195EE77" w14:textId="2865A4D3" w:rsidR="007A046F" w:rsidRPr="0032654D" w:rsidRDefault="15FACB05" w:rsidP="0032654D">
      <w:r>
        <w:t xml:space="preserve">If </w:t>
      </w:r>
      <w:r w:rsidR="654F2863">
        <w:t xml:space="preserve">a provider </w:t>
      </w:r>
      <w:r w:rsidR="0032654D" w:rsidRPr="0032654D">
        <w:t xml:space="preserve">needs to increase the </w:t>
      </w:r>
      <w:r w:rsidR="1D0F9876">
        <w:t xml:space="preserve">costs limit </w:t>
      </w:r>
      <w:r w:rsidR="0032654D" w:rsidRPr="0032654D">
        <w:t>further,</w:t>
      </w:r>
      <w:r w:rsidR="1D0F9876">
        <w:t xml:space="preserve"> </w:t>
      </w:r>
      <w:r>
        <w:t xml:space="preserve">beyond </w:t>
      </w:r>
      <w:r w:rsidR="0032654D" w:rsidRPr="0032654D">
        <w:t>what</w:t>
      </w:r>
      <w:r>
        <w:t xml:space="preserve"> the </w:t>
      </w:r>
      <w:r w:rsidR="00976252">
        <w:t>s</w:t>
      </w:r>
      <w:r w:rsidR="0032654D" w:rsidRPr="0032654D">
        <w:t>elf-</w:t>
      </w:r>
      <w:r w:rsidR="00976252">
        <w:t>grant</w:t>
      </w:r>
      <w:r w:rsidR="0032654D" w:rsidRPr="0032654D">
        <w:t xml:space="preserve"> </w:t>
      </w:r>
      <w:r w:rsidR="00976252">
        <w:t>s</w:t>
      </w:r>
      <w:r w:rsidR="0032654D" w:rsidRPr="0032654D">
        <w:t>cheme allows</w:t>
      </w:r>
      <w:r>
        <w:t xml:space="preserve">, </w:t>
      </w:r>
      <w:r w:rsidR="00D43645">
        <w:t>they</w:t>
      </w:r>
      <w:r w:rsidR="54C761F7">
        <w:t xml:space="preserve"> </w:t>
      </w:r>
      <w:r>
        <w:t xml:space="preserve">must </w:t>
      </w:r>
      <w:r w:rsidR="0032654D" w:rsidRPr="0032654D">
        <w:t xml:space="preserve">complete and </w:t>
      </w:r>
      <w:r>
        <w:t xml:space="preserve">submit the </w:t>
      </w:r>
      <w:r w:rsidR="0032654D" w:rsidRPr="0032654D">
        <w:t>appropriate</w:t>
      </w:r>
      <w:r>
        <w:t xml:space="preserve"> </w:t>
      </w:r>
      <w:r w:rsidR="00835C81">
        <w:t>CW3 IMM form</w:t>
      </w:r>
      <w:r w:rsidR="0032654D" w:rsidRPr="0032654D">
        <w:t>. This form should clearly set out</w:t>
      </w:r>
      <w:r>
        <w:t xml:space="preserve"> the </w:t>
      </w:r>
      <w:r w:rsidR="0032654D" w:rsidRPr="0032654D">
        <w:t>extra</w:t>
      </w:r>
      <w:r>
        <w:t xml:space="preserve"> costs requested and </w:t>
      </w:r>
      <w:r w:rsidR="0032654D" w:rsidRPr="0032654D">
        <w:t>explain why they are necessary</w:t>
      </w:r>
      <w:r>
        <w:t xml:space="preserve"> for the </w:t>
      </w:r>
      <w:r w:rsidR="0032654D" w:rsidRPr="0032654D">
        <w:t>case to proceed (see paragraph</w:t>
      </w:r>
      <w:r>
        <w:t xml:space="preserve"> 8.131 of the 2024 </w:t>
      </w:r>
      <w:r w:rsidR="00976252">
        <w:t>SCC</w:t>
      </w:r>
      <w:r>
        <w:t>).</w:t>
      </w:r>
    </w:p>
    <w:p w14:paraId="2859E041" w14:textId="6782F36A" w:rsidR="007A046F" w:rsidRPr="006953AD" w:rsidRDefault="255BF995" w:rsidP="004B0B39">
      <w:pPr>
        <w:pStyle w:val="BodyText"/>
        <w:rPr>
          <w:rFonts w:asciiTheme="majorHAnsi" w:eastAsiaTheme="majorEastAsia" w:hAnsiTheme="majorHAnsi" w:cstheme="majorBidi"/>
          <w:b/>
          <w:szCs w:val="24"/>
        </w:rPr>
      </w:pPr>
      <w:r w:rsidRPr="006953AD">
        <w:rPr>
          <w:rFonts w:asciiTheme="majorHAnsi" w:eastAsiaTheme="majorEastAsia" w:hAnsiTheme="majorHAnsi" w:cstheme="majorBidi"/>
          <w:b/>
          <w:szCs w:val="24"/>
        </w:rPr>
        <w:t>CW3 A, B or C IMM</w:t>
      </w:r>
      <w:r w:rsidR="15FACB05" w:rsidRPr="006953AD">
        <w:rPr>
          <w:rFonts w:asciiTheme="majorHAnsi" w:eastAsiaTheme="majorEastAsia" w:hAnsiTheme="majorHAnsi" w:cstheme="majorBidi"/>
          <w:b/>
          <w:szCs w:val="24"/>
        </w:rPr>
        <w:t xml:space="preserve"> forms:</w:t>
      </w:r>
    </w:p>
    <w:p w14:paraId="27BC9667" w14:textId="0B96F8B1" w:rsidR="005D3195" w:rsidRDefault="005D3195" w:rsidP="004B0B39">
      <w:pPr>
        <w:pStyle w:val="BodyText"/>
      </w:pPr>
      <w:hyperlink r:id="rId14" w:history="1">
        <w:r w:rsidRPr="005D3195">
          <w:rPr>
            <w:rStyle w:val="Hyperlink"/>
          </w:rPr>
          <w:t>CW3: extension of upper cost limit in controlled work cases - GOV.UK</w:t>
        </w:r>
      </w:hyperlink>
    </w:p>
    <w:p w14:paraId="47B996F3" w14:textId="0135D8B6" w:rsidR="00962710" w:rsidRDefault="00962710" w:rsidP="00962710">
      <w:pPr>
        <w:pStyle w:val="Heading1"/>
        <w:rPr>
          <w:sz w:val="32"/>
        </w:rPr>
      </w:pPr>
      <w:r w:rsidRPr="00DF2677">
        <w:rPr>
          <w:sz w:val="32"/>
        </w:rPr>
        <w:t>Relevant guidance and legislation</w:t>
      </w:r>
    </w:p>
    <w:p w14:paraId="2E8B50C7" w14:textId="3BD61188" w:rsidR="000F5D54" w:rsidRDefault="000F5D54" w:rsidP="1A93AA12">
      <w:pPr>
        <w:pStyle w:val="BodyText"/>
      </w:pPr>
      <w:r>
        <w:t>2024 Standard Civil Contract</w:t>
      </w:r>
      <w:r w:rsidR="00DD4AE5">
        <w:t xml:space="preserve">: </w:t>
      </w:r>
    </w:p>
    <w:p w14:paraId="1EFB8B7C" w14:textId="1DC88024" w:rsidR="6A240CC1" w:rsidRDefault="6A240CC1" w:rsidP="46CEC009">
      <w:pPr>
        <w:pStyle w:val="BodyText"/>
      </w:pPr>
      <w:hyperlink r:id="rId15">
        <w:r w:rsidRPr="46CEC009">
          <w:rPr>
            <w:rStyle w:val="Hyperlink"/>
          </w:rPr>
          <w:t>2024_Immigration_and_Asylum_Category_Specific_Rules_22_December_2025.pdf</w:t>
        </w:r>
      </w:hyperlink>
    </w:p>
    <w:p w14:paraId="3782A0CB" w14:textId="35BF7529" w:rsidR="004B0B39" w:rsidRDefault="000F5D54" w:rsidP="00A311C4">
      <w:pPr>
        <w:pStyle w:val="BodyText"/>
      </w:pPr>
      <w:r>
        <w:t>Civil Legal Aid (Remuneration) Regulations 201</w:t>
      </w:r>
      <w:r w:rsidR="000B0B3D">
        <w:t>3</w:t>
      </w:r>
      <w:r w:rsidR="00DD4AE5">
        <w:t>:</w:t>
      </w:r>
    </w:p>
    <w:p w14:paraId="082F1C4A" w14:textId="13FC386A" w:rsidR="601C729E" w:rsidRDefault="601C729E" w:rsidP="3BE836D9">
      <w:pPr>
        <w:pStyle w:val="BodyText"/>
      </w:pPr>
      <w:hyperlink r:id="rId16">
        <w:r w:rsidRPr="3BE836D9">
          <w:rPr>
            <w:rStyle w:val="Hyperlink"/>
          </w:rPr>
          <w:t>The Civil Legal Aid (Remuneration) Regulations 2013</w:t>
        </w:r>
      </w:hyperlink>
    </w:p>
    <w:p w14:paraId="7250D87B" w14:textId="7F1FE116" w:rsidR="00A311C4" w:rsidRPr="00A311C4" w:rsidRDefault="00A311C4" w:rsidP="00A311C4">
      <w:pPr>
        <w:pStyle w:val="Heading1"/>
        <w:rPr>
          <w:sz w:val="32"/>
        </w:rPr>
      </w:pPr>
      <w:r w:rsidRPr="00A311C4">
        <w:rPr>
          <w:sz w:val="32"/>
        </w:rPr>
        <w:t xml:space="preserve">Appendix 1: CW3 </w:t>
      </w:r>
      <w:r w:rsidR="00494F88">
        <w:rPr>
          <w:sz w:val="32"/>
        </w:rPr>
        <w:t xml:space="preserve">Desk </w:t>
      </w:r>
      <w:r w:rsidR="00E3417E">
        <w:rPr>
          <w:sz w:val="32"/>
        </w:rPr>
        <w:t>a</w:t>
      </w:r>
      <w:r w:rsidR="00494F88">
        <w:rPr>
          <w:sz w:val="32"/>
        </w:rPr>
        <w:t>id</w:t>
      </w:r>
      <w:r w:rsidR="00E3417E">
        <w:rPr>
          <w:sz w:val="32"/>
        </w:rPr>
        <w:t>:</w:t>
      </w:r>
      <w:r w:rsidR="00494F88">
        <w:rPr>
          <w:sz w:val="32"/>
        </w:rPr>
        <w:t xml:space="preserve"> </w:t>
      </w:r>
      <w:r w:rsidRPr="00A311C4">
        <w:rPr>
          <w:sz w:val="32"/>
        </w:rPr>
        <w:t xml:space="preserve">Authorisation </w:t>
      </w:r>
      <w:r w:rsidR="00E3417E">
        <w:rPr>
          <w:sz w:val="32"/>
        </w:rPr>
        <w:t>f</w:t>
      </w:r>
      <w:r w:rsidRPr="00A311C4">
        <w:rPr>
          <w:sz w:val="32"/>
        </w:rPr>
        <w:t xml:space="preserve">igures </w:t>
      </w:r>
    </w:p>
    <w:p w14:paraId="74CF0372" w14:textId="62B12710" w:rsidR="00B03A64" w:rsidRDefault="00B03A64" w:rsidP="00B03A64">
      <w:r w:rsidRPr="00B03A64">
        <w:t xml:space="preserve">If the provider believes it is reasonable (as set out in section 4.24 of the 2024 </w:t>
      </w:r>
      <w:r w:rsidR="007057F6">
        <w:t>SCC</w:t>
      </w:r>
      <w:r w:rsidRPr="00B03A64">
        <w:t xml:space="preserve">) to instruct an expert to support the client’s case, they may </w:t>
      </w:r>
      <w:r w:rsidR="007057F6">
        <w:t xml:space="preserve">incur </w:t>
      </w:r>
      <w:r w:rsidR="0086147A">
        <w:t>the disbursement</w:t>
      </w:r>
      <w:r w:rsidRPr="00B03A64">
        <w:t xml:space="preserve"> without submitting a CW3 application to the </w:t>
      </w:r>
      <w:r w:rsidR="0086147A">
        <w:t>L</w:t>
      </w:r>
      <w:r w:rsidR="000F6B54">
        <w:t>AA</w:t>
      </w:r>
      <w:r w:rsidRPr="00B03A64">
        <w:t>, provided both of the following conditions are met:</w:t>
      </w:r>
    </w:p>
    <w:p w14:paraId="2D45EA0B" w14:textId="2CAEE6D1" w:rsidR="00B03A64" w:rsidRPr="006400E9" w:rsidRDefault="00B03A64" w:rsidP="00B03A64">
      <w:pPr>
        <w:pStyle w:val="ListParagraph"/>
        <w:numPr>
          <w:ilvl w:val="0"/>
          <w:numId w:val="10"/>
        </w:numPr>
        <w:rPr>
          <w:sz w:val="24"/>
          <w:szCs w:val="24"/>
        </w:rPr>
      </w:pPr>
      <w:r w:rsidRPr="006400E9">
        <w:rPr>
          <w:sz w:val="24"/>
          <w:szCs w:val="24"/>
        </w:rPr>
        <w:t>The expert’s total quoted time for all work</w:t>
      </w:r>
      <w:r w:rsidR="000F6B54" w:rsidRPr="006400E9">
        <w:rPr>
          <w:sz w:val="24"/>
          <w:szCs w:val="24"/>
        </w:rPr>
        <w:t xml:space="preserve">, </w:t>
      </w:r>
      <w:r w:rsidRPr="006400E9">
        <w:rPr>
          <w:sz w:val="24"/>
          <w:szCs w:val="24"/>
        </w:rPr>
        <w:t>including travel, interviews, preparation, and report writing</w:t>
      </w:r>
      <w:r w:rsidR="006400E9" w:rsidRPr="006400E9">
        <w:rPr>
          <w:sz w:val="24"/>
          <w:szCs w:val="24"/>
        </w:rPr>
        <w:t xml:space="preserve">, </w:t>
      </w:r>
      <w:r w:rsidRPr="006400E9">
        <w:rPr>
          <w:sz w:val="24"/>
          <w:szCs w:val="24"/>
        </w:rPr>
        <w:t>does not exceed 12 hours in total.</w:t>
      </w:r>
    </w:p>
    <w:p w14:paraId="3B78ADE6" w14:textId="571533EE" w:rsidR="00B03A64" w:rsidRPr="006400E9" w:rsidRDefault="00B03A64" w:rsidP="00B03A64">
      <w:pPr>
        <w:pStyle w:val="ListParagraph"/>
        <w:numPr>
          <w:ilvl w:val="0"/>
          <w:numId w:val="10"/>
        </w:numPr>
        <w:rPr>
          <w:sz w:val="24"/>
          <w:szCs w:val="24"/>
        </w:rPr>
      </w:pPr>
      <w:r w:rsidRPr="006400E9">
        <w:rPr>
          <w:sz w:val="24"/>
          <w:szCs w:val="24"/>
        </w:rPr>
        <w:t xml:space="preserve">The hourly rate quoted by the expert does not </w:t>
      </w:r>
      <w:r w:rsidR="006400E9">
        <w:rPr>
          <w:sz w:val="24"/>
          <w:szCs w:val="24"/>
        </w:rPr>
        <w:t>exceed</w:t>
      </w:r>
      <w:r w:rsidRPr="006400E9">
        <w:rPr>
          <w:sz w:val="24"/>
          <w:szCs w:val="24"/>
        </w:rPr>
        <w:t xml:space="preserve"> the </w:t>
      </w:r>
      <w:r w:rsidR="00CD53D8">
        <w:rPr>
          <w:sz w:val="24"/>
          <w:szCs w:val="24"/>
        </w:rPr>
        <w:t>specified codifie</w:t>
      </w:r>
      <w:r w:rsidR="00DD1030">
        <w:rPr>
          <w:sz w:val="24"/>
          <w:szCs w:val="24"/>
        </w:rPr>
        <w:t>d</w:t>
      </w:r>
      <w:r w:rsidR="00CD53D8">
        <w:rPr>
          <w:sz w:val="24"/>
          <w:szCs w:val="24"/>
        </w:rPr>
        <w:t xml:space="preserve"> ra</w:t>
      </w:r>
      <w:r w:rsidR="00DD1030">
        <w:rPr>
          <w:sz w:val="24"/>
          <w:szCs w:val="24"/>
        </w:rPr>
        <w:t>tes</w:t>
      </w:r>
      <w:r w:rsidRPr="006400E9">
        <w:rPr>
          <w:sz w:val="24"/>
          <w:szCs w:val="24"/>
        </w:rPr>
        <w:t xml:space="preserve"> set out in the Remuneration Regulations 2013 for that type of expert.</w:t>
      </w:r>
    </w:p>
    <w:p w14:paraId="7507B30B" w14:textId="2E6D8AF5" w:rsidR="00A311C4" w:rsidRDefault="00B03A64" w:rsidP="00B03A64">
      <w:r>
        <w:t>If the expert needed is not listed</w:t>
      </w:r>
      <w:r w:rsidR="00A311C4">
        <w:t xml:space="preserve"> in the codified rates</w:t>
      </w:r>
      <w:r>
        <w:t>,</w:t>
      </w:r>
      <w:r w:rsidR="00A311C4">
        <w:t xml:space="preserve"> the </w:t>
      </w:r>
      <w:r>
        <w:t xml:space="preserve">quoted </w:t>
      </w:r>
      <w:r w:rsidR="00A311C4">
        <w:t xml:space="preserve">hourly rate must not </w:t>
      </w:r>
      <w:r>
        <w:t xml:space="preserve">be higher than the </w:t>
      </w:r>
      <w:r w:rsidR="00A311C4">
        <w:t xml:space="preserve">rate </w:t>
      </w:r>
      <w:r>
        <w:t>specified</w:t>
      </w:r>
      <w:r w:rsidR="00A311C4">
        <w:t xml:space="preserve"> in the table below:</w:t>
      </w:r>
    </w:p>
    <w:p w14:paraId="3A9CE36E" w14:textId="46699FA2" w:rsidR="3BE836D9" w:rsidRDefault="3BE836D9"/>
    <w:tbl>
      <w:tblPr>
        <w:tblStyle w:val="TableGrid"/>
        <w:tblW w:w="0" w:type="auto"/>
        <w:tblLook w:val="04A0" w:firstRow="1" w:lastRow="0" w:firstColumn="1" w:lastColumn="0" w:noHBand="0" w:noVBand="1"/>
      </w:tblPr>
      <w:tblGrid>
        <w:gridCol w:w="4802"/>
        <w:gridCol w:w="4230"/>
      </w:tblGrid>
      <w:tr w:rsidR="00494F88" w14:paraId="584F3C6F" w14:textId="77777777" w:rsidTr="00FC1F73">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auto"/>
          </w:tcPr>
          <w:p w14:paraId="7E2FE74B" w14:textId="4B01BBF5" w:rsidR="00494F88" w:rsidRDefault="00494F88" w:rsidP="00494F88">
            <w:pPr>
              <w:pStyle w:val="BodyText"/>
            </w:pPr>
            <w:r w:rsidRPr="00A311C4">
              <w:rPr>
                <w:bCs/>
              </w:rPr>
              <w:t>Non-</w:t>
            </w:r>
            <w:r w:rsidR="00E40ED6">
              <w:rPr>
                <w:bCs/>
              </w:rPr>
              <w:t>c</w:t>
            </w:r>
            <w:r w:rsidRPr="00A311C4">
              <w:rPr>
                <w:bCs/>
              </w:rPr>
              <w:t xml:space="preserve">odified </w:t>
            </w:r>
            <w:r w:rsidR="00E40ED6">
              <w:rPr>
                <w:bCs/>
              </w:rPr>
              <w:t>r</w:t>
            </w:r>
            <w:r w:rsidRPr="00A311C4">
              <w:rPr>
                <w:bCs/>
              </w:rPr>
              <w:t xml:space="preserve">ate </w:t>
            </w:r>
            <w:r w:rsidR="00E40ED6">
              <w:rPr>
                <w:bCs/>
              </w:rPr>
              <w:t>e</w:t>
            </w:r>
            <w:r w:rsidRPr="00A311C4">
              <w:rPr>
                <w:bCs/>
              </w:rPr>
              <w:t xml:space="preserve">xperts: Expert </w:t>
            </w:r>
            <w:r w:rsidR="00E40ED6">
              <w:rPr>
                <w:bCs/>
              </w:rPr>
              <w:t>t</w:t>
            </w:r>
            <w:r w:rsidRPr="00A311C4">
              <w:rPr>
                <w:bCs/>
              </w:rPr>
              <w:t xml:space="preserve">ype </w:t>
            </w:r>
          </w:p>
        </w:tc>
        <w:tc>
          <w:tcPr>
            <w:tcW w:w="0" w:type="auto"/>
          </w:tcPr>
          <w:p w14:paraId="0EC936FD" w14:textId="70F4CFCF" w:rsidR="00494F88" w:rsidRDefault="00494F88" w:rsidP="00494F88">
            <w:pPr>
              <w:pStyle w:val="BodyText"/>
              <w:cnfStyle w:val="100000000000" w:firstRow="1" w:lastRow="0" w:firstColumn="0" w:lastColumn="0" w:oddVBand="0" w:evenVBand="0" w:oddHBand="0" w:evenHBand="0" w:firstRowFirstColumn="0" w:firstRowLastColumn="0" w:lastRowFirstColumn="0" w:lastRowLastColumn="0"/>
            </w:pPr>
            <w:r w:rsidRPr="00A311C4">
              <w:rPr>
                <w:bCs/>
              </w:rPr>
              <w:t xml:space="preserve">Maximum </w:t>
            </w:r>
            <w:r w:rsidR="00E40ED6">
              <w:rPr>
                <w:bCs/>
              </w:rPr>
              <w:t>a</w:t>
            </w:r>
            <w:r w:rsidRPr="00A311C4">
              <w:rPr>
                <w:bCs/>
              </w:rPr>
              <w:t xml:space="preserve">llowable </w:t>
            </w:r>
            <w:r w:rsidR="00E40ED6">
              <w:rPr>
                <w:bCs/>
              </w:rPr>
              <w:t>h</w:t>
            </w:r>
            <w:r w:rsidRPr="00A311C4">
              <w:rPr>
                <w:bCs/>
              </w:rPr>
              <w:t xml:space="preserve">ourly </w:t>
            </w:r>
            <w:r w:rsidR="00E40ED6">
              <w:rPr>
                <w:bCs/>
              </w:rPr>
              <w:t>r</w:t>
            </w:r>
            <w:r w:rsidRPr="00A311C4">
              <w:rPr>
                <w:bCs/>
              </w:rPr>
              <w:t>ate</w:t>
            </w:r>
          </w:p>
        </w:tc>
      </w:tr>
      <w:tr w:rsidR="00494F88" w14:paraId="3AE41F73" w14:textId="77777777" w:rsidTr="00FC1F73">
        <w:trPr>
          <w:trHeight w:val="227"/>
        </w:trPr>
        <w:tc>
          <w:tcPr>
            <w:cnfStyle w:val="001000000000" w:firstRow="0" w:lastRow="0" w:firstColumn="1" w:lastColumn="0" w:oddVBand="0" w:evenVBand="0" w:oddHBand="0" w:evenHBand="0" w:firstRowFirstColumn="0" w:firstRowLastColumn="0" w:lastRowFirstColumn="0" w:lastRowLastColumn="0"/>
            <w:tcW w:w="0" w:type="auto"/>
          </w:tcPr>
          <w:p w14:paraId="72CE54D3" w14:textId="7DA703C1" w:rsidR="00494F88" w:rsidRPr="00494F88" w:rsidRDefault="00494F88" w:rsidP="00494F88">
            <w:pPr>
              <w:pStyle w:val="BodyText"/>
              <w:rPr>
                <w:b w:val="0"/>
              </w:rPr>
            </w:pPr>
            <w:r w:rsidRPr="00494F88">
              <w:rPr>
                <w:b w:val="0"/>
              </w:rPr>
              <w:t xml:space="preserve">Independent </w:t>
            </w:r>
            <w:r w:rsidR="00E40ED6">
              <w:rPr>
                <w:b w:val="0"/>
              </w:rPr>
              <w:t>s</w:t>
            </w:r>
            <w:r w:rsidRPr="00494F88">
              <w:rPr>
                <w:b w:val="0"/>
              </w:rPr>
              <w:t xml:space="preserve">ocial </w:t>
            </w:r>
            <w:r w:rsidR="00E40ED6">
              <w:rPr>
                <w:b w:val="0"/>
              </w:rPr>
              <w:t>w</w:t>
            </w:r>
            <w:r w:rsidRPr="00494F88">
              <w:rPr>
                <w:b w:val="0"/>
              </w:rPr>
              <w:t xml:space="preserve">orker </w:t>
            </w:r>
          </w:p>
        </w:tc>
        <w:tc>
          <w:tcPr>
            <w:tcW w:w="0" w:type="auto"/>
          </w:tcPr>
          <w:p w14:paraId="70990F12" w14:textId="05278991" w:rsidR="00494F88" w:rsidRPr="00494F88" w:rsidRDefault="00494F88" w:rsidP="00494F88">
            <w:pPr>
              <w:pStyle w:val="BodyText"/>
              <w:cnfStyle w:val="000000000000" w:firstRow="0" w:lastRow="0" w:firstColumn="0" w:lastColumn="0" w:oddVBand="0" w:evenVBand="0" w:oddHBand="0" w:evenHBand="0" w:firstRowFirstColumn="0" w:firstRowLastColumn="0" w:lastRowFirstColumn="0" w:lastRowLastColumn="0"/>
            </w:pPr>
            <w:r w:rsidRPr="00494F88">
              <w:t xml:space="preserve">£40.00 </w:t>
            </w:r>
          </w:p>
        </w:tc>
      </w:tr>
      <w:tr w:rsidR="00494F88" w14:paraId="16F4812C" w14:textId="77777777" w:rsidTr="00FC1F73">
        <w:trPr>
          <w:trHeight w:val="227"/>
        </w:trPr>
        <w:tc>
          <w:tcPr>
            <w:cnfStyle w:val="001000000000" w:firstRow="0" w:lastRow="0" w:firstColumn="1" w:lastColumn="0" w:oddVBand="0" w:evenVBand="0" w:oddHBand="0" w:evenHBand="0" w:firstRowFirstColumn="0" w:firstRowLastColumn="0" w:lastRowFirstColumn="0" w:lastRowLastColumn="0"/>
            <w:tcW w:w="0" w:type="auto"/>
          </w:tcPr>
          <w:p w14:paraId="5C9746A2" w14:textId="0BAD21C3" w:rsidR="00494F88" w:rsidRPr="00494F88" w:rsidRDefault="00494F88" w:rsidP="00494F88">
            <w:pPr>
              <w:pStyle w:val="BodyText"/>
              <w:rPr>
                <w:b w:val="0"/>
              </w:rPr>
            </w:pPr>
            <w:r w:rsidRPr="00494F88">
              <w:rPr>
                <w:b w:val="0"/>
              </w:rPr>
              <w:lastRenderedPageBreak/>
              <w:t xml:space="preserve">Medical </w:t>
            </w:r>
            <w:r w:rsidR="00E40ED6">
              <w:rPr>
                <w:b w:val="0"/>
              </w:rPr>
              <w:t>l</w:t>
            </w:r>
            <w:r w:rsidRPr="00494F88">
              <w:rPr>
                <w:b w:val="0"/>
              </w:rPr>
              <w:t xml:space="preserve">egal </w:t>
            </w:r>
            <w:r w:rsidR="00E40ED6">
              <w:rPr>
                <w:b w:val="0"/>
              </w:rPr>
              <w:t>r</w:t>
            </w:r>
            <w:r w:rsidRPr="00494F88">
              <w:rPr>
                <w:b w:val="0"/>
              </w:rPr>
              <w:t xml:space="preserve">eport </w:t>
            </w:r>
          </w:p>
        </w:tc>
        <w:tc>
          <w:tcPr>
            <w:tcW w:w="0" w:type="auto"/>
          </w:tcPr>
          <w:p w14:paraId="327D961C" w14:textId="07432365" w:rsidR="00494F88" w:rsidRPr="00494F88" w:rsidRDefault="00494F88" w:rsidP="00494F88">
            <w:pPr>
              <w:pStyle w:val="BodyText"/>
              <w:cnfStyle w:val="000000000000" w:firstRow="0" w:lastRow="0" w:firstColumn="0" w:lastColumn="0" w:oddVBand="0" w:evenVBand="0" w:oddHBand="0" w:evenHBand="0" w:firstRowFirstColumn="0" w:firstRowLastColumn="0" w:lastRowFirstColumn="0" w:lastRowLastColumn="0"/>
            </w:pPr>
            <w:r w:rsidRPr="00494F88">
              <w:t xml:space="preserve">£108.00 </w:t>
            </w:r>
          </w:p>
        </w:tc>
      </w:tr>
      <w:tr w:rsidR="00494F88" w14:paraId="34124DBC" w14:textId="77777777" w:rsidTr="00FC1F73">
        <w:trPr>
          <w:trHeight w:val="227"/>
        </w:trPr>
        <w:tc>
          <w:tcPr>
            <w:cnfStyle w:val="001000000000" w:firstRow="0" w:lastRow="0" w:firstColumn="1" w:lastColumn="0" w:oddVBand="0" w:evenVBand="0" w:oddHBand="0" w:evenHBand="0" w:firstRowFirstColumn="0" w:firstRowLastColumn="0" w:lastRowFirstColumn="0" w:lastRowLastColumn="0"/>
            <w:tcW w:w="0" w:type="auto"/>
          </w:tcPr>
          <w:p w14:paraId="3D0C3606" w14:textId="373A14AC" w:rsidR="00494F88" w:rsidRPr="00494F88" w:rsidRDefault="00494F88" w:rsidP="00494F88">
            <w:pPr>
              <w:pStyle w:val="BodyText"/>
              <w:rPr>
                <w:b w:val="0"/>
              </w:rPr>
            </w:pPr>
            <w:r w:rsidRPr="00494F88">
              <w:rPr>
                <w:b w:val="0"/>
              </w:rPr>
              <w:t xml:space="preserve">Country </w:t>
            </w:r>
            <w:r w:rsidR="00E40ED6">
              <w:rPr>
                <w:b w:val="0"/>
              </w:rPr>
              <w:t>e</w:t>
            </w:r>
            <w:r w:rsidRPr="00494F88">
              <w:rPr>
                <w:b w:val="0"/>
              </w:rPr>
              <w:t xml:space="preserve">xpert </w:t>
            </w:r>
            <w:r w:rsidR="00E40ED6">
              <w:rPr>
                <w:b w:val="0"/>
              </w:rPr>
              <w:t>r</w:t>
            </w:r>
            <w:r w:rsidRPr="00494F88">
              <w:rPr>
                <w:b w:val="0"/>
              </w:rPr>
              <w:t xml:space="preserve">eport </w:t>
            </w:r>
          </w:p>
        </w:tc>
        <w:tc>
          <w:tcPr>
            <w:tcW w:w="0" w:type="auto"/>
          </w:tcPr>
          <w:p w14:paraId="18815122" w14:textId="76734872" w:rsidR="00494F88" w:rsidRPr="00494F88" w:rsidRDefault="00494F88" w:rsidP="00494F88">
            <w:pPr>
              <w:pStyle w:val="BodyText"/>
              <w:cnfStyle w:val="000000000000" w:firstRow="0" w:lastRow="0" w:firstColumn="0" w:lastColumn="0" w:oddVBand="0" w:evenVBand="0" w:oddHBand="0" w:evenHBand="0" w:firstRowFirstColumn="0" w:firstRowLastColumn="0" w:lastRowFirstColumn="0" w:lastRowLastColumn="0"/>
            </w:pPr>
            <w:r w:rsidRPr="00494F88">
              <w:t xml:space="preserve">£120.00 </w:t>
            </w:r>
          </w:p>
        </w:tc>
      </w:tr>
      <w:tr w:rsidR="00494F88" w14:paraId="75D5604F" w14:textId="77777777" w:rsidTr="00FC1F73">
        <w:trPr>
          <w:trHeight w:val="227"/>
        </w:trPr>
        <w:tc>
          <w:tcPr>
            <w:cnfStyle w:val="001000000000" w:firstRow="0" w:lastRow="0" w:firstColumn="1" w:lastColumn="0" w:oddVBand="0" w:evenVBand="0" w:oddHBand="0" w:evenHBand="0" w:firstRowFirstColumn="0" w:firstRowLastColumn="0" w:lastRowFirstColumn="0" w:lastRowLastColumn="0"/>
            <w:tcW w:w="0" w:type="auto"/>
          </w:tcPr>
          <w:p w14:paraId="3D3CEA9B" w14:textId="5BF76491" w:rsidR="00494F88" w:rsidRPr="00494F88" w:rsidRDefault="00494F88" w:rsidP="00494F88">
            <w:pPr>
              <w:pStyle w:val="BodyText"/>
              <w:rPr>
                <w:b w:val="0"/>
              </w:rPr>
            </w:pPr>
            <w:r w:rsidRPr="00494F88">
              <w:rPr>
                <w:b w:val="0"/>
              </w:rPr>
              <w:t xml:space="preserve">Scarring </w:t>
            </w:r>
            <w:r w:rsidR="00E40ED6">
              <w:rPr>
                <w:b w:val="0"/>
              </w:rPr>
              <w:t>r</w:t>
            </w:r>
            <w:r w:rsidRPr="00494F88">
              <w:rPr>
                <w:b w:val="0"/>
              </w:rPr>
              <w:t xml:space="preserve">eport </w:t>
            </w:r>
          </w:p>
        </w:tc>
        <w:tc>
          <w:tcPr>
            <w:tcW w:w="0" w:type="auto"/>
          </w:tcPr>
          <w:p w14:paraId="650116D2" w14:textId="415A2275" w:rsidR="00494F88" w:rsidRPr="00494F88" w:rsidRDefault="00494F88" w:rsidP="00494F88">
            <w:pPr>
              <w:pStyle w:val="BodyText"/>
              <w:cnfStyle w:val="000000000000" w:firstRow="0" w:lastRow="0" w:firstColumn="0" w:lastColumn="0" w:oddVBand="0" w:evenVBand="0" w:oddHBand="0" w:evenHBand="0" w:firstRowFirstColumn="0" w:firstRowLastColumn="0" w:lastRowFirstColumn="0" w:lastRowLastColumn="0"/>
            </w:pPr>
            <w:r w:rsidRPr="00494F88">
              <w:t xml:space="preserve">£100.00 </w:t>
            </w:r>
          </w:p>
        </w:tc>
      </w:tr>
      <w:tr w:rsidR="00494F88" w14:paraId="298DFFC9" w14:textId="77777777" w:rsidTr="00FC1F73">
        <w:trPr>
          <w:trHeight w:val="227"/>
        </w:trPr>
        <w:tc>
          <w:tcPr>
            <w:cnfStyle w:val="001000000000" w:firstRow="0" w:lastRow="0" w:firstColumn="1" w:lastColumn="0" w:oddVBand="0" w:evenVBand="0" w:oddHBand="0" w:evenHBand="0" w:firstRowFirstColumn="0" w:firstRowLastColumn="0" w:lastRowFirstColumn="0" w:lastRowLastColumn="0"/>
            <w:tcW w:w="0" w:type="auto"/>
          </w:tcPr>
          <w:p w14:paraId="15DCB7BB" w14:textId="1012D21C" w:rsidR="00494F88" w:rsidRPr="00494F88" w:rsidRDefault="00494F88" w:rsidP="00494F88">
            <w:pPr>
              <w:pStyle w:val="BodyText"/>
              <w:rPr>
                <w:b w:val="0"/>
              </w:rPr>
            </w:pPr>
            <w:r w:rsidRPr="00494F88">
              <w:rPr>
                <w:b w:val="0"/>
              </w:rPr>
              <w:t xml:space="preserve">Torture </w:t>
            </w:r>
            <w:r w:rsidR="00E40ED6">
              <w:rPr>
                <w:b w:val="0"/>
              </w:rPr>
              <w:t>r</w:t>
            </w:r>
            <w:r w:rsidRPr="00494F88">
              <w:rPr>
                <w:b w:val="0"/>
              </w:rPr>
              <w:t xml:space="preserve">eport </w:t>
            </w:r>
          </w:p>
        </w:tc>
        <w:tc>
          <w:tcPr>
            <w:tcW w:w="0" w:type="auto"/>
          </w:tcPr>
          <w:p w14:paraId="4F812C51" w14:textId="2D5B1280" w:rsidR="00494F88" w:rsidRPr="00494F88" w:rsidRDefault="00494F88" w:rsidP="00494F88">
            <w:pPr>
              <w:pStyle w:val="BodyText"/>
              <w:cnfStyle w:val="000000000000" w:firstRow="0" w:lastRow="0" w:firstColumn="0" w:lastColumn="0" w:oddVBand="0" w:evenVBand="0" w:oddHBand="0" w:evenHBand="0" w:firstRowFirstColumn="0" w:firstRowLastColumn="0" w:lastRowFirstColumn="0" w:lastRowLastColumn="0"/>
            </w:pPr>
            <w:r w:rsidRPr="00494F88">
              <w:t xml:space="preserve">£100.00 </w:t>
            </w:r>
          </w:p>
        </w:tc>
      </w:tr>
      <w:tr w:rsidR="00494F88" w14:paraId="0A358507" w14:textId="77777777" w:rsidTr="00FC1F73">
        <w:trPr>
          <w:trHeight w:val="227"/>
        </w:trPr>
        <w:tc>
          <w:tcPr>
            <w:cnfStyle w:val="001000000000" w:firstRow="0" w:lastRow="0" w:firstColumn="1" w:lastColumn="0" w:oddVBand="0" w:evenVBand="0" w:oddHBand="0" w:evenHBand="0" w:firstRowFirstColumn="0" w:firstRowLastColumn="0" w:lastRowFirstColumn="0" w:lastRowLastColumn="0"/>
            <w:tcW w:w="0" w:type="auto"/>
          </w:tcPr>
          <w:p w14:paraId="2790BDA8" w14:textId="24A77E83" w:rsidR="00494F88" w:rsidRPr="00494F88" w:rsidRDefault="00494F88" w:rsidP="00494F88">
            <w:pPr>
              <w:pStyle w:val="BodyText"/>
              <w:rPr>
                <w:b w:val="0"/>
              </w:rPr>
            </w:pPr>
            <w:r w:rsidRPr="00494F88">
              <w:rPr>
                <w:b w:val="0"/>
              </w:rPr>
              <w:t xml:space="preserve">Trafficking </w:t>
            </w:r>
            <w:r w:rsidR="00E40ED6">
              <w:rPr>
                <w:b w:val="0"/>
              </w:rPr>
              <w:t>r</w:t>
            </w:r>
            <w:r w:rsidRPr="00494F88">
              <w:rPr>
                <w:b w:val="0"/>
              </w:rPr>
              <w:t xml:space="preserve">eport </w:t>
            </w:r>
          </w:p>
        </w:tc>
        <w:tc>
          <w:tcPr>
            <w:tcW w:w="0" w:type="auto"/>
          </w:tcPr>
          <w:p w14:paraId="76C8A381" w14:textId="7B705F87" w:rsidR="00494F88" w:rsidRPr="00494F88" w:rsidRDefault="00494F88" w:rsidP="00494F88">
            <w:pPr>
              <w:pStyle w:val="BodyText"/>
              <w:cnfStyle w:val="000000000000" w:firstRow="0" w:lastRow="0" w:firstColumn="0" w:lastColumn="0" w:oddVBand="0" w:evenVBand="0" w:oddHBand="0" w:evenHBand="0" w:firstRowFirstColumn="0" w:firstRowLastColumn="0" w:lastRowFirstColumn="0" w:lastRowLastColumn="0"/>
            </w:pPr>
            <w:r w:rsidRPr="00494F88">
              <w:t xml:space="preserve">£100.00 </w:t>
            </w:r>
          </w:p>
        </w:tc>
      </w:tr>
      <w:tr w:rsidR="00494F88" w14:paraId="196D62E9" w14:textId="77777777" w:rsidTr="00FC1F73">
        <w:trPr>
          <w:trHeight w:val="227"/>
        </w:trPr>
        <w:tc>
          <w:tcPr>
            <w:cnfStyle w:val="001000000000" w:firstRow="0" w:lastRow="0" w:firstColumn="1" w:lastColumn="0" w:oddVBand="0" w:evenVBand="0" w:oddHBand="0" w:evenHBand="0" w:firstRowFirstColumn="0" w:firstRowLastColumn="0" w:lastRowFirstColumn="0" w:lastRowLastColumn="0"/>
            <w:tcW w:w="0" w:type="auto"/>
          </w:tcPr>
          <w:p w14:paraId="54EA36C3" w14:textId="1FC23215" w:rsidR="00494F88" w:rsidRPr="00494F88" w:rsidRDefault="00494F88" w:rsidP="00494F88">
            <w:pPr>
              <w:pStyle w:val="BodyText"/>
              <w:rPr>
                <w:b w:val="0"/>
              </w:rPr>
            </w:pPr>
            <w:r w:rsidRPr="00494F88">
              <w:rPr>
                <w:b w:val="0"/>
              </w:rPr>
              <w:t xml:space="preserve">Translation (in person) </w:t>
            </w:r>
          </w:p>
        </w:tc>
        <w:tc>
          <w:tcPr>
            <w:tcW w:w="0" w:type="auto"/>
          </w:tcPr>
          <w:p w14:paraId="3843BB18" w14:textId="78081C94" w:rsidR="00494F88" w:rsidRPr="00494F88" w:rsidRDefault="00494F88" w:rsidP="00494F88">
            <w:pPr>
              <w:pStyle w:val="BodyText"/>
              <w:cnfStyle w:val="000000000000" w:firstRow="0" w:lastRow="0" w:firstColumn="0" w:lastColumn="0" w:oddVBand="0" w:evenVBand="0" w:oddHBand="0" w:evenHBand="0" w:firstRowFirstColumn="0" w:firstRowLastColumn="0" w:lastRowFirstColumn="0" w:lastRowLastColumn="0"/>
            </w:pPr>
            <w:r w:rsidRPr="00494F88">
              <w:t xml:space="preserve">£100.00 per 1,000 words translated </w:t>
            </w:r>
          </w:p>
        </w:tc>
      </w:tr>
    </w:tbl>
    <w:p w14:paraId="0EF72BCD" w14:textId="77777777" w:rsidR="009029BA" w:rsidRDefault="009029BA" w:rsidP="00682348">
      <w:pPr>
        <w:pStyle w:val="BodyText"/>
      </w:pPr>
    </w:p>
    <w:p w14:paraId="1A514510" w14:textId="0E1D9957" w:rsidR="00682348" w:rsidRPr="00682348" w:rsidRDefault="14F4E681" w:rsidP="0077503C">
      <w:r>
        <w:t xml:space="preserve">If </w:t>
      </w:r>
      <w:r w:rsidR="0077503C" w:rsidRPr="0077503C">
        <w:t>a</w:t>
      </w:r>
      <w:r w:rsidR="7D3200FF">
        <w:t xml:space="preserve"> provider </w:t>
      </w:r>
      <w:r w:rsidR="0077503C" w:rsidRPr="0077503C">
        <w:t>needs to instruct</w:t>
      </w:r>
      <w:r>
        <w:t xml:space="preserve"> an expert </w:t>
      </w:r>
      <w:r w:rsidR="0077503C" w:rsidRPr="0077503C">
        <w:t>who</w:t>
      </w:r>
      <w:r>
        <w:t xml:space="preserve"> is not </w:t>
      </w:r>
      <w:r w:rsidR="0077503C" w:rsidRPr="0077503C">
        <w:t>listed</w:t>
      </w:r>
      <w:r>
        <w:t xml:space="preserve"> in the codified rates or the </w:t>
      </w:r>
      <w:r w:rsidR="0077503C" w:rsidRPr="0077503C">
        <w:t xml:space="preserve">table </w:t>
      </w:r>
      <w:r>
        <w:t xml:space="preserve">above, and </w:t>
      </w:r>
      <w:r w:rsidR="0077503C" w:rsidRPr="0077503C">
        <w:t>the cost will exceed the allowed</w:t>
      </w:r>
      <w:r w:rsidR="2D723A14">
        <w:t xml:space="preserve"> disbursement </w:t>
      </w:r>
      <w:r w:rsidR="0077503C" w:rsidRPr="0077503C">
        <w:t>limit, they</w:t>
      </w:r>
      <w:r w:rsidR="2D723A14">
        <w:t xml:space="preserve"> must </w:t>
      </w:r>
      <w:r w:rsidR="0077503C" w:rsidRPr="0077503C">
        <w:t xml:space="preserve">complete and </w:t>
      </w:r>
      <w:r>
        <w:t xml:space="preserve">submit a CW3 form to the LAA </w:t>
      </w:r>
      <w:r w:rsidR="0077503C" w:rsidRPr="0077503C">
        <w:t xml:space="preserve">for approval </w:t>
      </w:r>
      <w:r w:rsidR="100B46B7">
        <w:t xml:space="preserve">before incurring the </w:t>
      </w:r>
      <w:r w:rsidR="0077503C" w:rsidRPr="0077503C">
        <w:t>expense</w:t>
      </w:r>
      <w:r>
        <w:t>.</w:t>
      </w:r>
    </w:p>
    <w:p w14:paraId="5590C1F2" w14:textId="5C4CC6B4" w:rsidR="00682348" w:rsidRPr="00682348" w:rsidRDefault="485C5CC2" w:rsidP="00682348">
      <w:pPr>
        <w:pStyle w:val="BodyText"/>
      </w:pPr>
      <w:r w:rsidRPr="24AE97D4">
        <w:rPr>
          <w:b/>
          <w:bCs/>
        </w:rPr>
        <w:t xml:space="preserve">Codified </w:t>
      </w:r>
      <w:r w:rsidR="00E40ED6">
        <w:rPr>
          <w:b/>
          <w:bCs/>
        </w:rPr>
        <w:t>r</w:t>
      </w:r>
      <w:r w:rsidRPr="24AE97D4">
        <w:rPr>
          <w:b/>
          <w:bCs/>
        </w:rPr>
        <w:t xml:space="preserve">ate </w:t>
      </w:r>
      <w:r w:rsidR="002B2045">
        <w:rPr>
          <w:b/>
          <w:bCs/>
        </w:rPr>
        <w:t>e</w:t>
      </w:r>
      <w:r w:rsidRPr="24AE97D4">
        <w:rPr>
          <w:b/>
          <w:bCs/>
        </w:rPr>
        <w:t xml:space="preserve">xperts </w:t>
      </w:r>
    </w:p>
    <w:p w14:paraId="53EF3EB7" w14:textId="300186D9" w:rsidR="00682348" w:rsidRPr="00682348" w:rsidRDefault="3BDED4B1" w:rsidP="000319E1">
      <w:r>
        <w:t>When instructing experts</w:t>
      </w:r>
      <w:r w:rsidR="2BCEB59E">
        <w:t xml:space="preserve"> </w:t>
      </w:r>
      <w:r w:rsidR="000319E1" w:rsidRPr="000319E1">
        <w:t>who are subject</w:t>
      </w:r>
      <w:r>
        <w:t xml:space="preserve"> to codified rates, providers must </w:t>
      </w:r>
      <w:r w:rsidR="000319E1" w:rsidRPr="000319E1">
        <w:t>apply the appropriate</w:t>
      </w:r>
      <w:r w:rsidR="33D39176">
        <w:t xml:space="preserve"> hourly rate</w:t>
      </w:r>
      <w:r w:rsidR="000319E1" w:rsidRPr="000319E1">
        <w:t>.</w:t>
      </w:r>
      <w:r w:rsidR="290B9B5B">
        <w:t xml:space="preserve"> Providers </w:t>
      </w:r>
      <w:r w:rsidR="000319E1" w:rsidRPr="000319E1">
        <w:t>should</w:t>
      </w:r>
      <w:r w:rsidR="290B9B5B">
        <w:t xml:space="preserve"> also </w:t>
      </w:r>
      <w:r w:rsidR="000319E1" w:rsidRPr="000319E1">
        <w:t>confirm</w:t>
      </w:r>
      <w:r w:rsidR="290B9B5B">
        <w:t xml:space="preserve"> whether the expert </w:t>
      </w:r>
      <w:r w:rsidR="000319E1" w:rsidRPr="000319E1">
        <w:t>is eligible</w:t>
      </w:r>
      <w:r w:rsidR="290B9B5B">
        <w:t xml:space="preserve"> for </w:t>
      </w:r>
      <w:r w:rsidR="33D39176">
        <w:t xml:space="preserve">London or non-London rates. </w:t>
      </w:r>
      <w:r w:rsidR="000319E1" w:rsidRPr="000319E1">
        <w:t>Details of the</w:t>
      </w:r>
      <w:r w:rsidR="33D39176">
        <w:t xml:space="preserve"> </w:t>
      </w:r>
      <w:hyperlink r:id="rId17" w:history="1">
        <w:r w:rsidR="33D39176" w:rsidRPr="00FC1F73">
          <w:rPr>
            <w:rStyle w:val="Hyperlink"/>
          </w:rPr>
          <w:t>codified rates</w:t>
        </w:r>
      </w:hyperlink>
      <w:r w:rsidR="33D39176">
        <w:t xml:space="preserve"> </w:t>
      </w:r>
      <w:r w:rsidR="000319E1" w:rsidRPr="000319E1">
        <w:t>can be found</w:t>
      </w:r>
      <w:r w:rsidR="2AAD300F">
        <w:t xml:space="preserve"> in Appendix 3 of the </w:t>
      </w:r>
      <w:hyperlink r:id="rId18" w:history="1">
        <w:r w:rsidR="2AAD300F" w:rsidRPr="00FC1F73">
          <w:rPr>
            <w:rStyle w:val="Hyperlink"/>
          </w:rPr>
          <w:t>Escape Cases Electronic Handbook</w:t>
        </w:r>
      </w:hyperlink>
      <w:r w:rsidR="00FC1F73">
        <w:t>.</w:t>
      </w:r>
    </w:p>
    <w:p w14:paraId="67899554" w14:textId="04C90B45" w:rsidR="00682348" w:rsidRDefault="485C5CC2" w:rsidP="00682348">
      <w:pPr>
        <w:pStyle w:val="BodyText"/>
        <w:rPr>
          <w:b/>
          <w:bCs/>
        </w:rPr>
      </w:pPr>
      <w:r w:rsidRPr="24AE97D4">
        <w:rPr>
          <w:b/>
          <w:bCs/>
        </w:rPr>
        <w:t xml:space="preserve">Expert </w:t>
      </w:r>
      <w:r w:rsidR="002B2045">
        <w:rPr>
          <w:b/>
          <w:bCs/>
        </w:rPr>
        <w:t>t</w:t>
      </w:r>
      <w:r w:rsidRPr="24AE97D4">
        <w:rPr>
          <w:b/>
          <w:bCs/>
        </w:rPr>
        <w:t xml:space="preserve">ravel </w:t>
      </w:r>
      <w:r w:rsidR="002B2045">
        <w:rPr>
          <w:b/>
          <w:bCs/>
        </w:rPr>
        <w:t>t</w:t>
      </w:r>
      <w:r w:rsidRPr="24AE97D4">
        <w:rPr>
          <w:b/>
          <w:bCs/>
        </w:rPr>
        <w:t xml:space="preserve">ime </w:t>
      </w:r>
    </w:p>
    <w:p w14:paraId="109CEBD8" w14:textId="29CE8F48" w:rsidR="000D7313" w:rsidRDefault="4F1AF435" w:rsidP="000C118F">
      <w:r>
        <w:t xml:space="preserve">Please </w:t>
      </w:r>
      <w:r w:rsidR="000C118F">
        <w:t xml:space="preserve">be aware of </w:t>
      </w:r>
      <w:r>
        <w:t xml:space="preserve">the maximum </w:t>
      </w:r>
      <w:r w:rsidR="000C118F">
        <w:t xml:space="preserve">rates for </w:t>
      </w:r>
      <w:r>
        <w:t>all expert travel time and mileage</w:t>
      </w:r>
      <w:r w:rsidR="000C118F">
        <w:t>, as detailed</w:t>
      </w:r>
      <w:r>
        <w:t xml:space="preserve"> below. </w:t>
      </w:r>
      <w:r w:rsidR="000C118F">
        <w:t>To clarify, the maximum hourly rates for non-codified experts mentioned above do not cover travel time. These rates apply solely to the expert’s professional services.</w:t>
      </w:r>
    </w:p>
    <w:p w14:paraId="5C23C62B" w14:textId="4C78567F" w:rsidR="3BE836D9" w:rsidRDefault="3BE836D9"/>
    <w:tbl>
      <w:tblPr>
        <w:tblStyle w:val="TableGrid"/>
        <w:tblW w:w="0" w:type="auto"/>
        <w:tblLook w:val="04A0" w:firstRow="1" w:lastRow="0" w:firstColumn="1" w:lastColumn="0" w:noHBand="0" w:noVBand="1"/>
      </w:tblPr>
      <w:tblGrid>
        <w:gridCol w:w="4809"/>
        <w:gridCol w:w="4809"/>
      </w:tblGrid>
      <w:tr w:rsidR="00494F88" w14:paraId="0DB824B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09" w:type="dxa"/>
          </w:tcPr>
          <w:p w14:paraId="4041D46F" w14:textId="2D7D9F40" w:rsidR="00494F88" w:rsidRDefault="00494F88" w:rsidP="00494F88">
            <w:pPr>
              <w:pStyle w:val="BodyText"/>
            </w:pPr>
            <w:r w:rsidRPr="00682348">
              <w:rPr>
                <w:bCs/>
              </w:rPr>
              <w:t xml:space="preserve">Disbursement </w:t>
            </w:r>
          </w:p>
        </w:tc>
        <w:tc>
          <w:tcPr>
            <w:tcW w:w="4809" w:type="dxa"/>
          </w:tcPr>
          <w:p w14:paraId="387F7BAB" w14:textId="14D594B8" w:rsidR="00494F88" w:rsidRDefault="00494F88" w:rsidP="00494F88">
            <w:pPr>
              <w:pStyle w:val="BodyText"/>
              <w:cnfStyle w:val="100000000000" w:firstRow="1" w:lastRow="0" w:firstColumn="0" w:lastColumn="0" w:oddVBand="0" w:evenVBand="0" w:oddHBand="0" w:evenHBand="0" w:firstRowFirstColumn="0" w:firstRowLastColumn="0" w:lastRowFirstColumn="0" w:lastRowLastColumn="0"/>
            </w:pPr>
            <w:r w:rsidRPr="00682348">
              <w:rPr>
                <w:bCs/>
              </w:rPr>
              <w:t xml:space="preserve">Maximum </w:t>
            </w:r>
            <w:r w:rsidR="002B2045">
              <w:rPr>
                <w:bCs/>
              </w:rPr>
              <w:t>a</w:t>
            </w:r>
            <w:r w:rsidRPr="00682348">
              <w:rPr>
                <w:bCs/>
              </w:rPr>
              <w:t xml:space="preserve">llowable </w:t>
            </w:r>
            <w:r w:rsidR="002B2045">
              <w:rPr>
                <w:bCs/>
              </w:rPr>
              <w:t>h</w:t>
            </w:r>
            <w:r w:rsidRPr="00682348">
              <w:rPr>
                <w:bCs/>
              </w:rPr>
              <w:t xml:space="preserve">ourly </w:t>
            </w:r>
            <w:r w:rsidR="002B2045">
              <w:rPr>
                <w:bCs/>
              </w:rPr>
              <w:t>rate</w:t>
            </w:r>
          </w:p>
        </w:tc>
      </w:tr>
      <w:tr w:rsidR="00494F88" w14:paraId="098A5CDA" w14:textId="77777777" w:rsidTr="00FC1F73">
        <w:trPr>
          <w:trHeight w:val="366"/>
        </w:trPr>
        <w:tc>
          <w:tcPr>
            <w:cnfStyle w:val="001000000000" w:firstRow="0" w:lastRow="0" w:firstColumn="1" w:lastColumn="0" w:oddVBand="0" w:evenVBand="0" w:oddHBand="0" w:evenHBand="0" w:firstRowFirstColumn="0" w:firstRowLastColumn="0" w:lastRowFirstColumn="0" w:lastRowLastColumn="0"/>
            <w:tcW w:w="4809" w:type="dxa"/>
          </w:tcPr>
          <w:p w14:paraId="6C645E69" w14:textId="5975FC67" w:rsidR="00494F88" w:rsidRPr="00494F88" w:rsidRDefault="00494F88" w:rsidP="00494F88">
            <w:pPr>
              <w:pStyle w:val="BodyText"/>
              <w:rPr>
                <w:b w:val="0"/>
              </w:rPr>
            </w:pPr>
            <w:r w:rsidRPr="00494F88">
              <w:rPr>
                <w:b w:val="0"/>
              </w:rPr>
              <w:t xml:space="preserve">Expert travel time </w:t>
            </w:r>
          </w:p>
        </w:tc>
        <w:tc>
          <w:tcPr>
            <w:tcW w:w="4809" w:type="dxa"/>
          </w:tcPr>
          <w:p w14:paraId="6186C041" w14:textId="1E60E837" w:rsidR="00494F88" w:rsidRPr="00494F88" w:rsidRDefault="00494F88" w:rsidP="00494F88">
            <w:pPr>
              <w:pStyle w:val="BodyText"/>
              <w:cnfStyle w:val="000000000000" w:firstRow="0" w:lastRow="0" w:firstColumn="0" w:lastColumn="0" w:oddVBand="0" w:evenVBand="0" w:oddHBand="0" w:evenHBand="0" w:firstRowFirstColumn="0" w:firstRowLastColumn="0" w:lastRowFirstColumn="0" w:lastRowLastColumn="0"/>
            </w:pPr>
            <w:r w:rsidRPr="00494F88">
              <w:t xml:space="preserve">£40.00 </w:t>
            </w:r>
          </w:p>
        </w:tc>
      </w:tr>
      <w:tr w:rsidR="00494F88" w14:paraId="0C461F78" w14:textId="77777777" w:rsidTr="00FC1F73">
        <w:trPr>
          <w:trHeight w:val="96"/>
        </w:trPr>
        <w:tc>
          <w:tcPr>
            <w:cnfStyle w:val="001000000000" w:firstRow="0" w:lastRow="0" w:firstColumn="1" w:lastColumn="0" w:oddVBand="0" w:evenVBand="0" w:oddHBand="0" w:evenHBand="0" w:firstRowFirstColumn="0" w:firstRowLastColumn="0" w:lastRowFirstColumn="0" w:lastRowLastColumn="0"/>
            <w:tcW w:w="4809" w:type="dxa"/>
          </w:tcPr>
          <w:p w14:paraId="1C18C581" w14:textId="06B955EF" w:rsidR="00494F88" w:rsidRPr="00494F88" w:rsidRDefault="00494F88" w:rsidP="00494F88">
            <w:pPr>
              <w:pStyle w:val="BodyText"/>
              <w:rPr>
                <w:b w:val="0"/>
              </w:rPr>
            </w:pPr>
            <w:r w:rsidRPr="00494F88">
              <w:rPr>
                <w:b w:val="0"/>
              </w:rPr>
              <w:lastRenderedPageBreak/>
              <w:t xml:space="preserve">Expert vehicle mileage </w:t>
            </w:r>
          </w:p>
        </w:tc>
        <w:tc>
          <w:tcPr>
            <w:tcW w:w="4809" w:type="dxa"/>
          </w:tcPr>
          <w:p w14:paraId="7D5DA314" w14:textId="0F225E09" w:rsidR="00494F88" w:rsidRPr="00494F88" w:rsidRDefault="00494F88" w:rsidP="00494F88">
            <w:pPr>
              <w:pStyle w:val="BodyText"/>
              <w:cnfStyle w:val="000000000000" w:firstRow="0" w:lastRow="0" w:firstColumn="0" w:lastColumn="0" w:oddVBand="0" w:evenVBand="0" w:oddHBand="0" w:evenHBand="0" w:firstRowFirstColumn="0" w:firstRowLastColumn="0" w:lastRowFirstColumn="0" w:lastRowLastColumn="0"/>
            </w:pPr>
            <w:r w:rsidRPr="00494F88">
              <w:t xml:space="preserve">£0.45 per mile </w:t>
            </w:r>
          </w:p>
        </w:tc>
      </w:tr>
    </w:tbl>
    <w:p w14:paraId="49A6E70F" w14:textId="77777777" w:rsidR="00A63F2C" w:rsidRDefault="00A63F2C" w:rsidP="00A63F2C">
      <w:pPr>
        <w:pStyle w:val="BodyText"/>
      </w:pPr>
    </w:p>
    <w:p w14:paraId="19C8C9F3" w14:textId="63A33B4B" w:rsidR="00AC6E7F" w:rsidRPr="00AC6E7F" w:rsidRDefault="00AC6E7F" w:rsidP="00AC6E7F">
      <w:pPr>
        <w:pStyle w:val="BodyText"/>
      </w:pPr>
      <w:r w:rsidRPr="00AC6E7F">
        <w:rPr>
          <w:b/>
          <w:bCs/>
        </w:rPr>
        <w:t xml:space="preserve">Profit </w:t>
      </w:r>
      <w:r w:rsidR="002B2045">
        <w:rPr>
          <w:b/>
          <w:bCs/>
        </w:rPr>
        <w:t>c</w:t>
      </w:r>
      <w:r w:rsidRPr="00AC6E7F">
        <w:rPr>
          <w:b/>
          <w:bCs/>
        </w:rPr>
        <w:t xml:space="preserve">ost </w:t>
      </w:r>
      <w:r w:rsidR="002B2045">
        <w:rPr>
          <w:b/>
          <w:bCs/>
        </w:rPr>
        <w:t>i</w:t>
      </w:r>
      <w:r w:rsidRPr="00AC6E7F">
        <w:rPr>
          <w:b/>
          <w:bCs/>
        </w:rPr>
        <w:t xml:space="preserve">ncrease </w:t>
      </w:r>
    </w:p>
    <w:p w14:paraId="1C45AC12" w14:textId="17463124" w:rsidR="00715DBF" w:rsidRDefault="00C447F3" w:rsidP="00C447F3">
      <w:r>
        <w:t xml:space="preserve">If a provider needs to increase profit costs to continue with an hourly rates case, as set out in paragraphs 8.130-134 of the 2024 </w:t>
      </w:r>
      <w:r w:rsidR="00715DBF">
        <w:t>SCC</w:t>
      </w:r>
      <w:r>
        <w:t xml:space="preserve">, they can use the </w:t>
      </w:r>
      <w:r w:rsidR="00715DBF">
        <w:t>s</w:t>
      </w:r>
      <w:r>
        <w:t>elf-</w:t>
      </w:r>
      <w:r w:rsidR="00715DBF">
        <w:t>g</w:t>
      </w:r>
      <w:r>
        <w:t xml:space="preserve">rant </w:t>
      </w:r>
      <w:r w:rsidR="00715DBF">
        <w:t>s</w:t>
      </w:r>
      <w:r>
        <w:t xml:space="preserve">cheme to approve an increase of up to </w:t>
      </w:r>
      <w:r w:rsidR="000D0649">
        <w:t>£4</w:t>
      </w:r>
      <w:r w:rsidR="743D6F31">
        <w:t>,</w:t>
      </w:r>
      <w:r w:rsidR="000D0649">
        <w:t>200 for Matters opened on or after 22 December 2025 or £3,000 for a Matter opened on or earlier than 21 December 2025</w:t>
      </w:r>
      <w:r w:rsidR="00D561BA">
        <w:t xml:space="preserve">, </w:t>
      </w:r>
      <w:r>
        <w:t xml:space="preserve">per </w:t>
      </w:r>
      <w:r w:rsidR="2800BFF3">
        <w:t>M</w:t>
      </w:r>
      <w:r>
        <w:t xml:space="preserve">atter without having to send a CW3 application to the LAA for approval. </w:t>
      </w:r>
    </w:p>
    <w:p w14:paraId="381036AF" w14:textId="40732455" w:rsidR="00463181" w:rsidRDefault="00C447F3" w:rsidP="00C447F3">
      <w:r>
        <w:t>If further profit cost increases are needed after this, the provider must submit a CW3 application to the LAA explaining the extra costs requested and the reasons they are necessary for the matter to progress.</w:t>
      </w:r>
    </w:p>
    <w:p w14:paraId="28409683" w14:textId="7F68C4A1" w:rsidR="3BE836D9" w:rsidRDefault="3BE836D9"/>
    <w:tbl>
      <w:tblPr>
        <w:tblStyle w:val="TableGrid"/>
        <w:tblW w:w="9062" w:type="dxa"/>
        <w:tblLook w:val="04A0" w:firstRow="1" w:lastRow="0" w:firstColumn="1" w:lastColumn="0" w:noHBand="0" w:noVBand="1"/>
      </w:tblPr>
      <w:tblGrid>
        <w:gridCol w:w="4385"/>
        <w:gridCol w:w="4677"/>
      </w:tblGrid>
      <w:tr w:rsidR="00494F88" w14:paraId="3CD30525" w14:textId="77777777" w:rsidTr="3BE836D9">
        <w:trPr>
          <w:cnfStyle w:val="100000000000" w:firstRow="1" w:lastRow="0" w:firstColumn="0" w:lastColumn="0" w:oddVBand="0" w:evenVBand="0" w:oddHBand="0"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4385" w:type="dxa"/>
          </w:tcPr>
          <w:p w14:paraId="3028EFCB" w14:textId="7E89774F" w:rsidR="00494F88" w:rsidRDefault="00494F88" w:rsidP="00494F88">
            <w:pPr>
              <w:pStyle w:val="BodyText"/>
            </w:pPr>
            <w:r w:rsidRPr="00AC6E7F">
              <w:rPr>
                <w:bCs/>
              </w:rPr>
              <w:t>CW3</w:t>
            </w:r>
            <w:r w:rsidR="002B2045">
              <w:rPr>
                <w:bCs/>
              </w:rPr>
              <w:t>:</w:t>
            </w:r>
            <w:r w:rsidRPr="00AC6E7F">
              <w:rPr>
                <w:bCs/>
              </w:rPr>
              <w:t xml:space="preserve"> Not </w:t>
            </w:r>
            <w:r w:rsidR="002B2045">
              <w:rPr>
                <w:bCs/>
              </w:rPr>
              <w:t>n</w:t>
            </w:r>
            <w:r w:rsidRPr="00AC6E7F">
              <w:rPr>
                <w:bCs/>
              </w:rPr>
              <w:t>ecessary</w:t>
            </w:r>
          </w:p>
        </w:tc>
        <w:tc>
          <w:tcPr>
            <w:tcW w:w="4677" w:type="dxa"/>
          </w:tcPr>
          <w:p w14:paraId="2D84057B" w14:textId="7AB2FD11" w:rsidR="00494F88" w:rsidRDefault="00494F88" w:rsidP="00494F88">
            <w:pPr>
              <w:pStyle w:val="BodyText"/>
              <w:cnfStyle w:val="100000000000" w:firstRow="1" w:lastRow="0" w:firstColumn="0" w:lastColumn="0" w:oddVBand="0" w:evenVBand="0" w:oddHBand="0" w:evenHBand="0" w:firstRowFirstColumn="0" w:firstRowLastColumn="0" w:lastRowFirstColumn="0" w:lastRowLastColumn="0"/>
            </w:pPr>
            <w:r w:rsidRPr="00AC6E7F">
              <w:rPr>
                <w:bCs/>
              </w:rPr>
              <w:t>CW3</w:t>
            </w:r>
            <w:r w:rsidR="002B2045">
              <w:rPr>
                <w:bCs/>
              </w:rPr>
              <w:t>:</w:t>
            </w:r>
            <w:r w:rsidRPr="00AC6E7F">
              <w:rPr>
                <w:bCs/>
              </w:rPr>
              <w:t xml:space="preserve"> Required</w:t>
            </w:r>
          </w:p>
        </w:tc>
      </w:tr>
      <w:tr w:rsidR="00494F88" w14:paraId="429A3411" w14:textId="77777777" w:rsidTr="3BE836D9">
        <w:trPr>
          <w:trHeight w:val="394"/>
        </w:trPr>
        <w:tc>
          <w:tcPr>
            <w:cnfStyle w:val="001000000000" w:firstRow="0" w:lastRow="0" w:firstColumn="1" w:lastColumn="0" w:oddVBand="0" w:evenVBand="0" w:oddHBand="0" w:evenHBand="0" w:firstRowFirstColumn="0" w:firstRowLastColumn="0" w:lastRowFirstColumn="0" w:lastRowLastColumn="0"/>
            <w:tcW w:w="4385" w:type="dxa"/>
          </w:tcPr>
          <w:p w14:paraId="06791E88" w14:textId="5C0B80FB" w:rsidR="00494F88" w:rsidRPr="00494F88" w:rsidRDefault="3C671409" w:rsidP="00494F88">
            <w:pPr>
              <w:pStyle w:val="BodyText"/>
              <w:rPr>
                <w:b w:val="0"/>
              </w:rPr>
            </w:pPr>
            <w:r>
              <w:rPr>
                <w:b w:val="0"/>
              </w:rPr>
              <w:t>Up to</w:t>
            </w:r>
            <w:r w:rsidR="00D561BA">
              <w:rPr>
                <w:b w:val="0"/>
              </w:rPr>
              <w:t xml:space="preserve"> £4</w:t>
            </w:r>
            <w:r w:rsidR="6733C733">
              <w:rPr>
                <w:b w:val="0"/>
              </w:rPr>
              <w:t>,</w:t>
            </w:r>
            <w:r w:rsidR="00D561BA">
              <w:rPr>
                <w:b w:val="0"/>
              </w:rPr>
              <w:t>200 for Matters opened on or after 22 December 2025 or £3,000 for a Matter opened on or earlier than 21 December 2025</w:t>
            </w:r>
          </w:p>
        </w:tc>
        <w:tc>
          <w:tcPr>
            <w:tcW w:w="4677" w:type="dxa"/>
          </w:tcPr>
          <w:p w14:paraId="6F9502D2" w14:textId="39862308" w:rsidR="00494F88" w:rsidRPr="00494F88" w:rsidRDefault="6CD79244" w:rsidP="00494F88">
            <w:pPr>
              <w:pStyle w:val="BodyText"/>
              <w:cnfStyle w:val="000000000000" w:firstRow="0" w:lastRow="0" w:firstColumn="0" w:lastColumn="0" w:oddVBand="0" w:evenVBand="0" w:oddHBand="0" w:evenHBand="0" w:firstRowFirstColumn="0" w:firstRowLastColumn="0" w:lastRowFirstColumn="0" w:lastRowLastColumn="0"/>
            </w:pPr>
            <w:r>
              <w:t xml:space="preserve">Over </w:t>
            </w:r>
            <w:r w:rsidR="00D561BA">
              <w:t>£4</w:t>
            </w:r>
            <w:r w:rsidR="15C46581">
              <w:t>,</w:t>
            </w:r>
            <w:r w:rsidR="00D561BA">
              <w:t>200 for Matters opened on or after 22 December 2025 or £3,000 for a Matter opened on or earlier than 21 December 2025</w:t>
            </w:r>
          </w:p>
        </w:tc>
      </w:tr>
    </w:tbl>
    <w:p w14:paraId="72DA948C" w14:textId="77777777" w:rsidR="00494F88" w:rsidRDefault="00494F88" w:rsidP="00AC6E7F">
      <w:pPr>
        <w:pStyle w:val="BodyText"/>
      </w:pPr>
    </w:p>
    <w:p w14:paraId="7BA0D6D3" w14:textId="404F4F4D" w:rsidR="00FD7BE8" w:rsidRPr="00FD7BE8" w:rsidRDefault="00FD7BE8" w:rsidP="00FD7BE8">
      <w:pPr>
        <w:pStyle w:val="BodyText"/>
      </w:pPr>
      <w:r w:rsidRPr="00FD7BE8">
        <w:t xml:space="preserve">This relates to both Legal Help and </w:t>
      </w:r>
      <w:r w:rsidR="002E1FF6">
        <w:t>CLR</w:t>
      </w:r>
      <w:r w:rsidRPr="00FD7BE8">
        <w:t xml:space="preserve"> hourly rates matters. </w:t>
      </w:r>
    </w:p>
    <w:p w14:paraId="43558FA0" w14:textId="254FCD5B" w:rsidR="00463181" w:rsidRPr="00463181" w:rsidRDefault="00463181" w:rsidP="00463181">
      <w:pPr>
        <w:pStyle w:val="Heading1"/>
        <w:rPr>
          <w:sz w:val="32"/>
        </w:rPr>
      </w:pPr>
      <w:bookmarkStart w:id="1" w:name="_Appendix_2:_CW3"/>
      <w:bookmarkEnd w:id="1"/>
      <w:r w:rsidRPr="00463181">
        <w:rPr>
          <w:sz w:val="32"/>
        </w:rPr>
        <w:t>Appendix 2: CW3</w:t>
      </w:r>
      <w:r w:rsidR="002B2045">
        <w:rPr>
          <w:sz w:val="32"/>
        </w:rPr>
        <w:t>:</w:t>
      </w:r>
      <w:r w:rsidRPr="00463181">
        <w:rPr>
          <w:sz w:val="32"/>
        </w:rPr>
        <w:t xml:space="preserve"> Delegated </w:t>
      </w:r>
      <w:r w:rsidR="002B2045">
        <w:rPr>
          <w:sz w:val="32"/>
        </w:rPr>
        <w:t>f</w:t>
      </w:r>
      <w:r w:rsidRPr="00463181">
        <w:rPr>
          <w:sz w:val="32"/>
        </w:rPr>
        <w:t xml:space="preserve">unction to </w:t>
      </w:r>
      <w:r w:rsidR="002B2045">
        <w:rPr>
          <w:sz w:val="32"/>
        </w:rPr>
        <w:t>s</w:t>
      </w:r>
      <w:r w:rsidRPr="00463181">
        <w:rPr>
          <w:sz w:val="32"/>
        </w:rPr>
        <w:t>elf-</w:t>
      </w:r>
      <w:r w:rsidR="002B2045">
        <w:rPr>
          <w:sz w:val="32"/>
        </w:rPr>
        <w:t>g</w:t>
      </w:r>
      <w:r w:rsidRPr="00463181">
        <w:rPr>
          <w:sz w:val="32"/>
        </w:rPr>
        <w:t xml:space="preserve">rant </w:t>
      </w:r>
    </w:p>
    <w:p w14:paraId="4473C8C3" w14:textId="03F010B5" w:rsidR="00463181" w:rsidRPr="00463181" w:rsidRDefault="00463181" w:rsidP="00463181">
      <w:pPr>
        <w:pStyle w:val="BodyText"/>
      </w:pPr>
      <w:r>
        <w:t xml:space="preserve">Please complete this form if you are self-granting a CW3 application under the terms of the </w:t>
      </w:r>
      <w:r w:rsidR="006104C9">
        <w:t xml:space="preserve">Appendix 1: </w:t>
      </w:r>
      <w:r>
        <w:t>‘CW3</w:t>
      </w:r>
      <w:r w:rsidR="006104C9">
        <w:t xml:space="preserve"> Desk Aid</w:t>
      </w:r>
      <w:r>
        <w:t xml:space="preserve"> Authorisation Figures’ table and information. </w:t>
      </w:r>
    </w:p>
    <w:p w14:paraId="22C83856" w14:textId="7B3AB3FA" w:rsidR="3BE836D9" w:rsidRDefault="3BE836D9" w:rsidP="3BE836D9">
      <w:pPr>
        <w:pStyle w:val="BodyText"/>
      </w:pPr>
    </w:p>
    <w:p w14:paraId="25AAC681" w14:textId="2B0786B7" w:rsidR="26B03DCD" w:rsidRDefault="26B03DCD" w:rsidP="26B03DCD">
      <w:pPr>
        <w:pStyle w:val="BodyText"/>
      </w:pPr>
    </w:p>
    <w:p w14:paraId="320DAA2C" w14:textId="414E0BFB" w:rsidR="26B03DCD" w:rsidRDefault="26B03DCD" w:rsidP="26B03DCD">
      <w:pPr>
        <w:pStyle w:val="BodyText"/>
      </w:pPr>
    </w:p>
    <w:p w14:paraId="31C1AA89" w14:textId="776E8A15" w:rsidR="26B03DCD" w:rsidRDefault="26B03DCD" w:rsidP="26B03DCD">
      <w:pPr>
        <w:pStyle w:val="BodyText"/>
      </w:pPr>
    </w:p>
    <w:p w14:paraId="43AC8AC0" w14:textId="4054987C" w:rsidR="3BE836D9" w:rsidRDefault="3BE836D9" w:rsidP="3BE836D9">
      <w:pPr>
        <w:pStyle w:val="BodyText"/>
      </w:pPr>
    </w:p>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gridCol w:w="1230"/>
      </w:tblGrid>
      <w:tr w:rsidR="00D14204" w:rsidRPr="00463181" w14:paraId="009D9B4C" w14:textId="76375BE0" w:rsidTr="3BE836D9">
        <w:trPr>
          <w:trHeight w:val="110"/>
          <w:jc w:val="center"/>
        </w:trPr>
        <w:tc>
          <w:tcPr>
            <w:tcW w:w="9067" w:type="dxa"/>
            <w:shd w:val="clear" w:color="auto" w:fill="92D050"/>
          </w:tcPr>
          <w:p w14:paraId="564693EC" w14:textId="5B1934E0" w:rsidR="005E0D67" w:rsidRDefault="005E0D67" w:rsidP="00D14204">
            <w:pPr>
              <w:pStyle w:val="BodyText"/>
              <w:rPr>
                <w:b/>
                <w:bCs/>
              </w:rPr>
            </w:pPr>
            <w:r w:rsidRPr="00463181">
              <w:rPr>
                <w:b/>
                <w:bCs/>
              </w:rPr>
              <w:lastRenderedPageBreak/>
              <w:t xml:space="preserve">Criteria to </w:t>
            </w:r>
            <w:r w:rsidR="00904B96">
              <w:rPr>
                <w:b/>
                <w:bCs/>
              </w:rPr>
              <w:t>s</w:t>
            </w:r>
            <w:r w:rsidRPr="00463181">
              <w:rPr>
                <w:b/>
                <w:bCs/>
              </w:rPr>
              <w:t>elf-</w:t>
            </w:r>
            <w:r w:rsidR="00904B96">
              <w:rPr>
                <w:b/>
                <w:bCs/>
              </w:rPr>
              <w:t>g</w:t>
            </w:r>
            <w:r w:rsidRPr="00463181">
              <w:rPr>
                <w:b/>
                <w:bCs/>
              </w:rPr>
              <w:t xml:space="preserve">rant </w:t>
            </w:r>
          </w:p>
          <w:p w14:paraId="2A830D2F" w14:textId="3C0F17F6" w:rsidR="00D14204" w:rsidRPr="00463181" w:rsidRDefault="005A451A" w:rsidP="00D14204">
            <w:pPr>
              <w:pStyle w:val="BodyText"/>
            </w:pPr>
            <w:r>
              <w:t>A</w:t>
            </w:r>
            <w:r w:rsidR="00213FDA">
              <w:t xml:space="preserve"> fully completed, </w:t>
            </w:r>
            <w:r w:rsidR="00D14204" w:rsidRPr="00463181">
              <w:t>sign</w:t>
            </w:r>
            <w:r w:rsidR="00213FDA">
              <w:t>ed</w:t>
            </w:r>
            <w:r w:rsidR="00D14204" w:rsidRPr="00463181">
              <w:t xml:space="preserve"> </w:t>
            </w:r>
            <w:r w:rsidR="002E1FF6">
              <w:t>and</w:t>
            </w:r>
            <w:r w:rsidR="00D14204" w:rsidRPr="00463181">
              <w:t xml:space="preserve"> date</w:t>
            </w:r>
            <w:r w:rsidR="00213FDA">
              <w:t>d</w:t>
            </w:r>
            <w:r w:rsidR="00D14204" w:rsidRPr="00463181">
              <w:t xml:space="preserve"> </w:t>
            </w:r>
            <w:r w:rsidR="003C7632">
              <w:t>copy of this form</w:t>
            </w:r>
            <w:r w:rsidR="007A766F">
              <w:t xml:space="preserve"> must be</w:t>
            </w:r>
            <w:r w:rsidR="00213FDA">
              <w:t xml:space="preserve"> kept on</w:t>
            </w:r>
            <w:r w:rsidR="00D14204" w:rsidRPr="00463181">
              <w:t xml:space="preserve"> file for LAA audit and assessment purposes. </w:t>
            </w:r>
          </w:p>
        </w:tc>
        <w:tc>
          <w:tcPr>
            <w:tcW w:w="1230" w:type="dxa"/>
            <w:shd w:val="clear" w:color="auto" w:fill="92D050"/>
          </w:tcPr>
          <w:p w14:paraId="44CC9E8E" w14:textId="4A94E152" w:rsidR="00D14204" w:rsidRPr="00463181" w:rsidRDefault="00D14204" w:rsidP="00D14204">
            <w:pPr>
              <w:pStyle w:val="BodyText"/>
            </w:pPr>
            <w:r w:rsidRPr="00463181">
              <w:rPr>
                <w:b/>
                <w:bCs/>
              </w:rPr>
              <w:t xml:space="preserve">Please </w:t>
            </w:r>
            <w:r w:rsidR="00CC4CC3">
              <w:rPr>
                <w:b/>
                <w:bCs/>
              </w:rPr>
              <w:t>t</w:t>
            </w:r>
            <w:r w:rsidRPr="00463181">
              <w:rPr>
                <w:b/>
                <w:bCs/>
              </w:rPr>
              <w:t xml:space="preserve">ick to </w:t>
            </w:r>
            <w:r w:rsidR="00CC4CC3">
              <w:rPr>
                <w:b/>
                <w:bCs/>
              </w:rPr>
              <w:t>c</w:t>
            </w:r>
            <w:r w:rsidRPr="00463181">
              <w:rPr>
                <w:b/>
                <w:bCs/>
              </w:rPr>
              <w:t xml:space="preserve">onfirm </w:t>
            </w:r>
          </w:p>
        </w:tc>
      </w:tr>
      <w:tr w:rsidR="00D14204" w:rsidRPr="00463181" w14:paraId="290F358A" w14:textId="7C8F892A" w:rsidTr="3BE836D9">
        <w:trPr>
          <w:trHeight w:val="479"/>
          <w:jc w:val="center"/>
        </w:trPr>
        <w:tc>
          <w:tcPr>
            <w:tcW w:w="9067" w:type="dxa"/>
          </w:tcPr>
          <w:p w14:paraId="395B5035" w14:textId="08183F8A" w:rsidR="00D14204" w:rsidRPr="00463181" w:rsidRDefault="00D14204" w:rsidP="00D14204">
            <w:pPr>
              <w:pStyle w:val="BodyText"/>
            </w:pPr>
            <w:r w:rsidRPr="00463181">
              <w:rPr>
                <w:b/>
                <w:bCs/>
              </w:rPr>
              <w:t xml:space="preserve">Codified </w:t>
            </w:r>
            <w:r w:rsidR="00CC4CC3">
              <w:rPr>
                <w:b/>
                <w:bCs/>
              </w:rPr>
              <w:t>e</w:t>
            </w:r>
            <w:r w:rsidRPr="00463181">
              <w:rPr>
                <w:b/>
                <w:bCs/>
              </w:rPr>
              <w:t xml:space="preserve">xperts: </w:t>
            </w:r>
          </w:p>
          <w:p w14:paraId="7F20D16D" w14:textId="339F9229" w:rsidR="00D14204" w:rsidRPr="00463181" w:rsidRDefault="00D14204" w:rsidP="00D14204">
            <w:pPr>
              <w:pStyle w:val="BodyText"/>
            </w:pPr>
            <w:r w:rsidRPr="00463181">
              <w:t xml:space="preserve">Does the hourly rate meet the codified amount and the number of hours requested total </w:t>
            </w:r>
            <w:r w:rsidR="00F352F1" w:rsidRPr="00463181">
              <w:t>twelve</w:t>
            </w:r>
            <w:r w:rsidRPr="00463181">
              <w:t xml:space="preserve"> or less? </w:t>
            </w:r>
          </w:p>
        </w:tc>
        <w:tc>
          <w:tcPr>
            <w:tcW w:w="1230" w:type="dxa"/>
          </w:tcPr>
          <w:p w14:paraId="298DFC62" w14:textId="77777777" w:rsidR="00D14204" w:rsidRPr="00463181" w:rsidRDefault="00D14204" w:rsidP="00D14204">
            <w:pPr>
              <w:pStyle w:val="BodyText"/>
              <w:rPr>
                <w:b/>
                <w:bCs/>
              </w:rPr>
            </w:pPr>
          </w:p>
        </w:tc>
      </w:tr>
      <w:tr w:rsidR="00D14204" w:rsidRPr="00463181" w14:paraId="4F6A117F" w14:textId="36743174" w:rsidTr="3BE836D9">
        <w:trPr>
          <w:trHeight w:val="625"/>
          <w:jc w:val="center"/>
        </w:trPr>
        <w:tc>
          <w:tcPr>
            <w:tcW w:w="9067" w:type="dxa"/>
          </w:tcPr>
          <w:p w14:paraId="4785BB2F" w14:textId="6019C895" w:rsidR="00D14204" w:rsidRPr="00463181" w:rsidRDefault="00D14204" w:rsidP="00D14204">
            <w:pPr>
              <w:pStyle w:val="BodyText"/>
            </w:pPr>
            <w:r w:rsidRPr="00463181">
              <w:rPr>
                <w:b/>
                <w:bCs/>
              </w:rPr>
              <w:t>Non-</w:t>
            </w:r>
            <w:r w:rsidR="00CC4CC3">
              <w:rPr>
                <w:b/>
                <w:bCs/>
              </w:rPr>
              <w:t>c</w:t>
            </w:r>
            <w:r w:rsidRPr="00463181">
              <w:rPr>
                <w:b/>
                <w:bCs/>
              </w:rPr>
              <w:t xml:space="preserve">odified </w:t>
            </w:r>
            <w:r w:rsidR="00CC4CC3">
              <w:rPr>
                <w:b/>
                <w:bCs/>
              </w:rPr>
              <w:t>e</w:t>
            </w:r>
            <w:r w:rsidRPr="00463181">
              <w:rPr>
                <w:b/>
                <w:bCs/>
              </w:rPr>
              <w:t xml:space="preserve">xperts: </w:t>
            </w:r>
          </w:p>
          <w:p w14:paraId="706AE1EC" w14:textId="7A40D2DC" w:rsidR="00D14204" w:rsidRPr="00463181" w:rsidRDefault="00D14204" w:rsidP="00D14204">
            <w:pPr>
              <w:pStyle w:val="BodyText"/>
            </w:pPr>
            <w:r w:rsidRPr="00463181">
              <w:t xml:space="preserve">Does the hourly rate meet those in the ‘CW3 Authorisation Figures’ information and guidance document, and the number of hours requested total </w:t>
            </w:r>
            <w:r w:rsidR="00F352F1" w:rsidRPr="00463181">
              <w:t>twelve</w:t>
            </w:r>
            <w:r w:rsidRPr="00463181">
              <w:t xml:space="preserve"> or less? </w:t>
            </w:r>
          </w:p>
        </w:tc>
        <w:tc>
          <w:tcPr>
            <w:tcW w:w="1230" w:type="dxa"/>
          </w:tcPr>
          <w:p w14:paraId="229A126C" w14:textId="77777777" w:rsidR="00D14204" w:rsidRPr="00463181" w:rsidRDefault="00D14204" w:rsidP="00D14204">
            <w:pPr>
              <w:pStyle w:val="BodyText"/>
              <w:rPr>
                <w:b/>
                <w:bCs/>
              </w:rPr>
            </w:pPr>
          </w:p>
        </w:tc>
      </w:tr>
      <w:tr w:rsidR="00D14204" w:rsidRPr="00463181" w14:paraId="0AD232A2" w14:textId="24A3FA0E" w:rsidTr="3BE836D9">
        <w:trPr>
          <w:trHeight w:val="481"/>
          <w:jc w:val="center"/>
        </w:trPr>
        <w:tc>
          <w:tcPr>
            <w:tcW w:w="9067" w:type="dxa"/>
          </w:tcPr>
          <w:p w14:paraId="332E0B3B" w14:textId="149C46B8" w:rsidR="00D14204" w:rsidRPr="00463181" w:rsidRDefault="00D14204" w:rsidP="00D14204">
            <w:pPr>
              <w:pStyle w:val="BodyText"/>
            </w:pPr>
            <w:r w:rsidRPr="00463181">
              <w:rPr>
                <w:b/>
                <w:bCs/>
              </w:rPr>
              <w:t xml:space="preserve">Travel: </w:t>
            </w:r>
          </w:p>
          <w:p w14:paraId="0871A4F6" w14:textId="77777777" w:rsidR="00D14204" w:rsidRPr="00463181" w:rsidRDefault="00D14204" w:rsidP="00D14204">
            <w:pPr>
              <w:pStyle w:val="BodyText"/>
            </w:pPr>
            <w:r w:rsidRPr="00463181">
              <w:t xml:space="preserve">Please confirm requested travel does not exceed £40.00 per hour/£0.45 per mile. </w:t>
            </w:r>
          </w:p>
        </w:tc>
        <w:tc>
          <w:tcPr>
            <w:tcW w:w="1230" w:type="dxa"/>
          </w:tcPr>
          <w:p w14:paraId="41BCA11C" w14:textId="77777777" w:rsidR="00D14204" w:rsidRPr="00463181" w:rsidRDefault="00D14204" w:rsidP="00D14204">
            <w:pPr>
              <w:pStyle w:val="BodyText"/>
              <w:rPr>
                <w:b/>
                <w:bCs/>
              </w:rPr>
            </w:pPr>
          </w:p>
        </w:tc>
      </w:tr>
      <w:tr w:rsidR="00D14204" w:rsidRPr="00463181" w14:paraId="2146C7C3" w14:textId="5B8F7B61" w:rsidTr="3BE836D9">
        <w:trPr>
          <w:trHeight w:val="929"/>
          <w:jc w:val="center"/>
        </w:trPr>
        <w:tc>
          <w:tcPr>
            <w:tcW w:w="9067" w:type="dxa"/>
          </w:tcPr>
          <w:p w14:paraId="3CED2C58" w14:textId="5EBF86D5" w:rsidR="00D14204" w:rsidRPr="00463181" w:rsidRDefault="00D14204" w:rsidP="00D14204">
            <w:pPr>
              <w:pStyle w:val="BodyText"/>
            </w:pPr>
            <w:r w:rsidRPr="00463181">
              <w:rPr>
                <w:b/>
                <w:bCs/>
              </w:rPr>
              <w:t xml:space="preserve">Profit </w:t>
            </w:r>
            <w:r w:rsidR="00123C24">
              <w:rPr>
                <w:b/>
                <w:bCs/>
              </w:rPr>
              <w:t>c</w:t>
            </w:r>
            <w:r w:rsidRPr="00463181">
              <w:rPr>
                <w:b/>
                <w:bCs/>
              </w:rPr>
              <w:t xml:space="preserve">osts: </w:t>
            </w:r>
          </w:p>
          <w:p w14:paraId="71CB0E59" w14:textId="615CCEF7" w:rsidR="00D14204" w:rsidRPr="00463181" w:rsidRDefault="39E9E251" w:rsidP="00D14204">
            <w:pPr>
              <w:pStyle w:val="BodyText"/>
            </w:pPr>
            <w:r>
              <w:t xml:space="preserve">Please ensure that total profit costs (incurred to date + future costs required) does not exceed </w:t>
            </w:r>
            <w:r w:rsidR="2EAC703D">
              <w:t>£4</w:t>
            </w:r>
            <w:r w:rsidR="2BB91125">
              <w:t>,</w:t>
            </w:r>
            <w:r w:rsidR="2EAC703D">
              <w:t>200 for Matters opened on or after 22 December 2025 or £3,000 for a Matter opened on or earlier than 21 December 2025</w:t>
            </w:r>
            <w:r w:rsidR="00AA21EC">
              <w:t>.</w:t>
            </w:r>
            <w:r>
              <w:t xml:space="preserve"> </w:t>
            </w:r>
          </w:p>
          <w:p w14:paraId="15F25921" w14:textId="3A22938E" w:rsidR="00D14204" w:rsidRPr="00463181" w:rsidRDefault="00D14204" w:rsidP="00D14204">
            <w:pPr>
              <w:pStyle w:val="BodyText"/>
            </w:pPr>
            <w:r w:rsidRPr="00463181">
              <w:t xml:space="preserve">Current </w:t>
            </w:r>
            <w:r w:rsidR="00123C24">
              <w:t>p</w:t>
            </w:r>
            <w:r w:rsidRPr="00463181">
              <w:t xml:space="preserve">rofits </w:t>
            </w:r>
            <w:r w:rsidR="00123C24">
              <w:t>c</w:t>
            </w:r>
            <w:r w:rsidRPr="00463181">
              <w:t xml:space="preserve">osts to </w:t>
            </w:r>
            <w:r w:rsidR="00123C24">
              <w:t>d</w:t>
            </w:r>
            <w:r w:rsidRPr="00463181">
              <w:t>ate:</w:t>
            </w:r>
            <w:r w:rsidR="00344F44">
              <w:t xml:space="preserve">  </w:t>
            </w:r>
            <w:r w:rsidRPr="00463181">
              <w:t xml:space="preserve"> _____________________ </w:t>
            </w:r>
          </w:p>
          <w:p w14:paraId="5694547D" w14:textId="77777777" w:rsidR="00D14204" w:rsidRDefault="00344F44" w:rsidP="00D14204">
            <w:pPr>
              <w:pStyle w:val="BodyText"/>
            </w:pPr>
            <w:r>
              <w:t xml:space="preserve">Future </w:t>
            </w:r>
            <w:r w:rsidR="007A766F">
              <w:t>c</w:t>
            </w:r>
            <w:r w:rsidR="00D14204" w:rsidRPr="00463181">
              <w:t>osts to be incurred:</w:t>
            </w:r>
            <w:r w:rsidR="00494F88">
              <w:t xml:space="preserve">   </w:t>
            </w:r>
            <w:r w:rsidR="00D14204" w:rsidRPr="00463181">
              <w:t xml:space="preserve"> </w:t>
            </w:r>
            <w:r w:rsidR="007A766F">
              <w:t xml:space="preserve">  </w:t>
            </w:r>
            <w:r w:rsidR="00D14204" w:rsidRPr="00463181">
              <w:t>_____________________</w:t>
            </w:r>
          </w:p>
          <w:p w14:paraId="0D5216F1" w14:textId="3B0D7D7C" w:rsidR="00344F44" w:rsidRPr="00463181" w:rsidRDefault="00344F44" w:rsidP="00D14204">
            <w:pPr>
              <w:pStyle w:val="BodyText"/>
            </w:pPr>
            <w:r>
              <w:t xml:space="preserve">Total profit costs:                    </w:t>
            </w:r>
            <w:r w:rsidRPr="00463181">
              <w:t xml:space="preserve"> </w:t>
            </w:r>
            <w:r>
              <w:t xml:space="preserve">  </w:t>
            </w:r>
            <w:r w:rsidRPr="00463181">
              <w:t>_____________________</w:t>
            </w:r>
          </w:p>
        </w:tc>
        <w:tc>
          <w:tcPr>
            <w:tcW w:w="1230" w:type="dxa"/>
          </w:tcPr>
          <w:p w14:paraId="2A7D2CC1" w14:textId="77777777" w:rsidR="00D14204" w:rsidRPr="00463181" w:rsidRDefault="00D14204" w:rsidP="00D14204">
            <w:pPr>
              <w:pStyle w:val="BodyText"/>
              <w:rPr>
                <w:b/>
                <w:bCs/>
              </w:rPr>
            </w:pPr>
          </w:p>
        </w:tc>
      </w:tr>
      <w:tr w:rsidR="00D14204" w:rsidRPr="00463181" w14:paraId="05275B13" w14:textId="4D59BE2D" w:rsidTr="3BE836D9">
        <w:trPr>
          <w:trHeight w:val="479"/>
          <w:jc w:val="center"/>
        </w:trPr>
        <w:tc>
          <w:tcPr>
            <w:tcW w:w="9067" w:type="dxa"/>
          </w:tcPr>
          <w:p w14:paraId="336A3DC3" w14:textId="4EED5C8E" w:rsidR="00D14204" w:rsidRPr="00463181" w:rsidRDefault="00D14204" w:rsidP="00D14204">
            <w:pPr>
              <w:pStyle w:val="BodyText"/>
            </w:pPr>
            <w:r w:rsidRPr="00463181">
              <w:rPr>
                <w:b/>
                <w:bCs/>
              </w:rPr>
              <w:t xml:space="preserve">Reasonableness: </w:t>
            </w:r>
          </w:p>
          <w:p w14:paraId="0DD024FB" w14:textId="4910D50E" w:rsidR="00D14204" w:rsidRPr="00463181" w:rsidRDefault="00D14204" w:rsidP="00D14204">
            <w:pPr>
              <w:pStyle w:val="BodyText"/>
            </w:pPr>
            <w:r w:rsidRPr="00463181">
              <w:t xml:space="preserve">Please confirm the disbursement is to be incurred in line with </w:t>
            </w:r>
            <w:r w:rsidR="009029BA" w:rsidRPr="009029BA">
              <w:t>para</w:t>
            </w:r>
            <w:r w:rsidRPr="009029BA">
              <w:t xml:space="preserve"> 4.24 of the </w:t>
            </w:r>
            <w:r w:rsidR="009029BA" w:rsidRPr="009029BA">
              <w:t xml:space="preserve">2024 </w:t>
            </w:r>
            <w:r w:rsidRPr="009029BA">
              <w:t xml:space="preserve">Standard Civil Contract </w:t>
            </w:r>
            <w:r w:rsidR="009029BA" w:rsidRPr="009029BA">
              <w:t xml:space="preserve">General </w:t>
            </w:r>
            <w:r w:rsidRPr="009029BA">
              <w:t>Specification in terms of reasonableness.</w:t>
            </w:r>
            <w:r w:rsidRPr="00463181">
              <w:t xml:space="preserve"> </w:t>
            </w:r>
          </w:p>
        </w:tc>
        <w:tc>
          <w:tcPr>
            <w:tcW w:w="1230" w:type="dxa"/>
          </w:tcPr>
          <w:p w14:paraId="06E19C64" w14:textId="77777777" w:rsidR="00D14204" w:rsidRPr="00463181" w:rsidRDefault="00D14204" w:rsidP="00D14204">
            <w:pPr>
              <w:pStyle w:val="BodyText"/>
              <w:rPr>
                <w:b/>
                <w:bCs/>
              </w:rPr>
            </w:pPr>
          </w:p>
        </w:tc>
      </w:tr>
      <w:tr w:rsidR="004B485D" w:rsidRPr="00463181" w14:paraId="27550911" w14:textId="77777777" w:rsidTr="3BE836D9">
        <w:trPr>
          <w:trHeight w:val="479"/>
          <w:jc w:val="center"/>
        </w:trPr>
        <w:tc>
          <w:tcPr>
            <w:tcW w:w="10297" w:type="dxa"/>
            <w:gridSpan w:val="2"/>
          </w:tcPr>
          <w:p w14:paraId="39BF989A" w14:textId="77777777" w:rsidR="004B0B39" w:rsidRDefault="004B0B39" w:rsidP="004B485D">
            <w:pPr>
              <w:pStyle w:val="BodyText"/>
              <w:rPr>
                <w:b/>
                <w:bCs/>
                <w:sz w:val="22"/>
              </w:rPr>
            </w:pPr>
          </w:p>
          <w:p w14:paraId="4B05EACD" w14:textId="5FC512E4" w:rsidR="00494F88" w:rsidRDefault="172AC11A" w:rsidP="24AE97D4">
            <w:pPr>
              <w:pStyle w:val="BodyText"/>
              <w:rPr>
                <w:b/>
                <w:bCs/>
                <w:szCs w:val="24"/>
              </w:rPr>
            </w:pPr>
            <w:r w:rsidRPr="24AE97D4">
              <w:rPr>
                <w:b/>
                <w:bCs/>
                <w:szCs w:val="24"/>
              </w:rPr>
              <w:t xml:space="preserve">Provider </w:t>
            </w:r>
            <w:r w:rsidR="00123C24">
              <w:rPr>
                <w:b/>
                <w:bCs/>
                <w:szCs w:val="24"/>
              </w:rPr>
              <w:t>n</w:t>
            </w:r>
            <w:r w:rsidRPr="24AE97D4">
              <w:rPr>
                <w:b/>
                <w:bCs/>
                <w:szCs w:val="24"/>
              </w:rPr>
              <w:t xml:space="preserve">ame: </w:t>
            </w:r>
          </w:p>
          <w:p w14:paraId="5EE6D202" w14:textId="13D2480E" w:rsidR="004B485D" w:rsidRDefault="004B485D" w:rsidP="004B485D">
            <w:pPr>
              <w:pStyle w:val="BodyText"/>
              <w:rPr>
                <w:b/>
                <w:bCs/>
              </w:rPr>
            </w:pPr>
            <w:r w:rsidRPr="004B485D">
              <w:rPr>
                <w:b/>
                <w:bCs/>
              </w:rPr>
              <w:t xml:space="preserve">Fee </w:t>
            </w:r>
            <w:r w:rsidR="00123C24">
              <w:rPr>
                <w:b/>
                <w:bCs/>
              </w:rPr>
              <w:t>e</w:t>
            </w:r>
            <w:r w:rsidRPr="004B485D">
              <w:rPr>
                <w:b/>
                <w:bCs/>
              </w:rPr>
              <w:t xml:space="preserve">arner: </w:t>
            </w:r>
          </w:p>
          <w:p w14:paraId="73AC5D97" w14:textId="77777777" w:rsidR="004B485D" w:rsidRDefault="004B485D" w:rsidP="004B485D">
            <w:pPr>
              <w:pStyle w:val="BodyText"/>
              <w:rPr>
                <w:b/>
                <w:bCs/>
              </w:rPr>
            </w:pPr>
            <w:r w:rsidRPr="004B485D">
              <w:rPr>
                <w:b/>
                <w:bCs/>
              </w:rPr>
              <w:t xml:space="preserve">Signature: </w:t>
            </w:r>
          </w:p>
          <w:p w14:paraId="1DC04AEF" w14:textId="77777777" w:rsidR="004B485D" w:rsidRDefault="004B485D" w:rsidP="004B485D">
            <w:pPr>
              <w:pStyle w:val="BodyText"/>
              <w:rPr>
                <w:b/>
                <w:bCs/>
              </w:rPr>
            </w:pPr>
            <w:r w:rsidRPr="004B485D">
              <w:rPr>
                <w:b/>
                <w:bCs/>
              </w:rPr>
              <w:t>Date:</w:t>
            </w:r>
          </w:p>
          <w:p w14:paraId="34CFEA1C" w14:textId="71D4F8E0" w:rsidR="003E2A79" w:rsidRPr="00463181" w:rsidRDefault="003E2A79" w:rsidP="004B485D">
            <w:pPr>
              <w:pStyle w:val="BodyText"/>
              <w:rPr>
                <w:b/>
                <w:bCs/>
              </w:rPr>
            </w:pPr>
            <w:r>
              <w:rPr>
                <w:b/>
                <w:bCs/>
              </w:rPr>
              <w:t xml:space="preserve">Prior </w:t>
            </w:r>
            <w:r w:rsidR="00123C24">
              <w:rPr>
                <w:b/>
                <w:bCs/>
              </w:rPr>
              <w:t>a</w:t>
            </w:r>
            <w:r>
              <w:rPr>
                <w:b/>
                <w:bCs/>
              </w:rPr>
              <w:t>uthority number allocated for this</w:t>
            </w:r>
            <w:r w:rsidR="000C7C80">
              <w:rPr>
                <w:b/>
                <w:bCs/>
              </w:rPr>
              <w:t xml:space="preserve"> use of the </w:t>
            </w:r>
            <w:r w:rsidR="00C72539">
              <w:rPr>
                <w:b/>
                <w:bCs/>
              </w:rPr>
              <w:t>‘</w:t>
            </w:r>
            <w:r w:rsidR="00080EEE">
              <w:rPr>
                <w:b/>
                <w:bCs/>
              </w:rPr>
              <w:t>Self-Grant Scheme</w:t>
            </w:r>
            <w:r w:rsidR="00C72539">
              <w:rPr>
                <w:b/>
                <w:bCs/>
              </w:rPr>
              <w:t>’</w:t>
            </w:r>
            <w:r>
              <w:rPr>
                <w:b/>
                <w:bCs/>
              </w:rPr>
              <w:t>:</w:t>
            </w:r>
            <w:r w:rsidR="000C7C80">
              <w:rPr>
                <w:b/>
                <w:bCs/>
              </w:rPr>
              <w:t xml:space="preserve"> S</w:t>
            </w:r>
            <w:r w:rsidR="00D55B74">
              <w:rPr>
                <w:b/>
                <w:bCs/>
              </w:rPr>
              <w:t xml:space="preserve"> __________</w:t>
            </w:r>
          </w:p>
        </w:tc>
      </w:tr>
    </w:tbl>
    <w:p w14:paraId="19110EDF" w14:textId="77777777" w:rsidR="00463181" w:rsidRDefault="00463181" w:rsidP="00A63F2C">
      <w:pPr>
        <w:pStyle w:val="BodyText"/>
      </w:pPr>
    </w:p>
    <w:sectPr w:rsidR="00463181" w:rsidSect="00D82D2E">
      <w:headerReference w:type="even" r:id="rId19"/>
      <w:headerReference w:type="default" r:id="rId20"/>
      <w:footerReference w:type="even" r:id="rId21"/>
      <w:footerReference w:type="default" r:id="rId22"/>
      <w:headerReference w:type="first" r:id="rId23"/>
      <w:footerReference w:type="first" r:id="rId24"/>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3A076" w14:textId="77777777" w:rsidR="003572CD" w:rsidRDefault="003572CD" w:rsidP="006D69A7">
      <w:pPr>
        <w:spacing w:after="0" w:line="240" w:lineRule="auto"/>
      </w:pPr>
      <w:r>
        <w:separator/>
      </w:r>
    </w:p>
  </w:endnote>
  <w:endnote w:type="continuationSeparator" w:id="0">
    <w:p w14:paraId="3DBFB6FC" w14:textId="77777777" w:rsidR="003572CD" w:rsidRDefault="003572CD" w:rsidP="006D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C02C" w14:textId="6D8B7632" w:rsidR="00157FC4" w:rsidRDefault="00157FC4">
    <w:pPr>
      <w:pStyle w:val="Footer"/>
    </w:pPr>
    <w:r>
      <w:rPr>
        <w:noProof/>
      </w:rPr>
      <mc:AlternateContent>
        <mc:Choice Requires="wps">
          <w:drawing>
            <wp:anchor distT="0" distB="0" distL="0" distR="0" simplePos="0" relativeHeight="251658245" behindDoc="0" locked="0" layoutInCell="1" allowOverlap="1" wp14:anchorId="1A425CD2" wp14:editId="3F0C0125">
              <wp:simplePos x="635" y="635"/>
              <wp:positionH relativeFrom="page">
                <wp:align>center</wp:align>
              </wp:positionH>
              <wp:positionV relativeFrom="page">
                <wp:align>bottom</wp:align>
              </wp:positionV>
              <wp:extent cx="551815" cy="404495"/>
              <wp:effectExtent l="0" t="0" r="635" b="0"/>
              <wp:wrapNone/>
              <wp:docPr id="15610876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D2CC48B" w14:textId="797CE5DB" w:rsidR="00157FC4" w:rsidRPr="00157FC4" w:rsidRDefault="00157FC4" w:rsidP="00157FC4">
                          <w:pPr>
                            <w:spacing w:after="0"/>
                            <w:rPr>
                              <w:rFonts w:ascii="Calibri" w:eastAsia="Calibri" w:hAnsi="Calibri" w:cs="Calibri"/>
                              <w:noProof/>
                              <w:color w:val="000000"/>
                              <w:szCs w:val="24"/>
                            </w:rPr>
                          </w:pPr>
                          <w:r w:rsidRPr="00157FC4">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9D940D9">
            <v:shapetype id="_x0000_t202" coordsize="21600,21600" o:spt="202" path="m,l,21600r21600,l21600,xe" w14:anchorId="1A425CD2">
              <v:stroke joinstyle="miter"/>
              <v:path gradientshapeok="t" o:connecttype="rect"/>
            </v:shapetype>
            <v:shape id="Text Box 5"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v:textbox style="mso-fit-shape-to-text:t" inset="0,0,0,15pt">
                <w:txbxContent>
                  <w:p w:rsidRPr="00157FC4" w:rsidR="00157FC4" w:rsidP="00157FC4" w:rsidRDefault="00157FC4" w14:paraId="09E77742" w14:textId="797CE5DB">
                    <w:pPr>
                      <w:spacing w:after="0"/>
                      <w:rPr>
                        <w:rFonts w:ascii="Calibri" w:hAnsi="Calibri" w:eastAsia="Calibri" w:cs="Calibri"/>
                        <w:noProof/>
                        <w:color w:val="000000"/>
                        <w:szCs w:val="24"/>
                      </w:rPr>
                    </w:pPr>
                    <w:r w:rsidRPr="00157FC4">
                      <w:rPr>
                        <w:rFonts w:ascii="Calibri" w:hAnsi="Calibri" w:eastAsia="Calibri" w:cs="Calibri"/>
                        <w:noProof/>
                        <w:color w:val="00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1A462" w14:textId="45E2ED5E" w:rsidR="00CA4174" w:rsidRDefault="00157FC4">
    <w:pPr>
      <w:pStyle w:val="Footer"/>
    </w:pPr>
    <w:r>
      <w:rPr>
        <w:noProof/>
      </w:rPr>
      <mc:AlternateContent>
        <mc:Choice Requires="wps">
          <w:drawing>
            <wp:anchor distT="0" distB="0" distL="0" distR="0" simplePos="0" relativeHeight="251658246" behindDoc="0" locked="0" layoutInCell="1" allowOverlap="1" wp14:anchorId="2DB8F74E" wp14:editId="4EF21428">
              <wp:simplePos x="723900" y="10160000"/>
              <wp:positionH relativeFrom="page">
                <wp:align>center</wp:align>
              </wp:positionH>
              <wp:positionV relativeFrom="page">
                <wp:align>bottom</wp:align>
              </wp:positionV>
              <wp:extent cx="551815" cy="404495"/>
              <wp:effectExtent l="0" t="0" r="635" b="0"/>
              <wp:wrapNone/>
              <wp:docPr id="157358100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3FD20B1" w14:textId="5DC1F3BA" w:rsidR="00157FC4" w:rsidRPr="00157FC4" w:rsidRDefault="00157FC4" w:rsidP="00157FC4">
                          <w:pPr>
                            <w:spacing w:after="0"/>
                            <w:rPr>
                              <w:rFonts w:ascii="Calibri" w:eastAsia="Calibri" w:hAnsi="Calibri" w:cs="Calibri"/>
                              <w:noProof/>
                              <w:color w:val="000000"/>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1438602">
            <v:shapetype id="_x0000_t202" coordsize="21600,21600" o:spt="202" path="m,l,21600r21600,l21600,xe" w14:anchorId="2DB8F74E">
              <v:stroke joinstyle="miter"/>
              <v:path gradientshapeok="t" o:connecttype="rect"/>
            </v:shapetype>
            <v:shape id="Text Box 6"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v:textbox style="mso-fit-shape-to-text:t" inset="0,0,0,15pt">
                <w:txbxContent>
                  <w:p w:rsidRPr="00157FC4" w:rsidR="00157FC4" w:rsidP="00157FC4" w:rsidRDefault="00157FC4" w14:paraId="672A6659" w14:textId="5DC1F3BA">
                    <w:pPr>
                      <w:spacing w:after="0"/>
                      <w:rPr>
                        <w:rFonts w:ascii="Calibri" w:hAnsi="Calibri" w:eastAsia="Calibri" w:cs="Calibri"/>
                        <w:noProof/>
                        <w:color w:val="000000"/>
                        <w:szCs w:val="24"/>
                      </w:rPr>
                    </w:pPr>
                  </w:p>
                </w:txbxContent>
              </v:textbox>
              <w10:wrap anchorx="page" anchory="page"/>
            </v:shape>
          </w:pict>
        </mc:Fallback>
      </mc:AlternateContent>
    </w:r>
    <w:r w:rsidR="00D82D2E">
      <w:fldChar w:fldCharType="begin"/>
    </w:r>
    <w:r w:rsidR="00D82D2E">
      <w:instrText xml:space="preserve"> PAGE   \* MERGEFORMAT </w:instrText>
    </w:r>
    <w:r w:rsidR="00D82D2E">
      <w:fldChar w:fldCharType="separate"/>
    </w:r>
    <w:r w:rsidR="00D82D2E">
      <w:rPr>
        <w:noProof/>
      </w:rPr>
      <w:t>1</w:t>
    </w:r>
    <w:r w:rsidR="00D82D2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5872" w14:textId="1642831F" w:rsidR="00D82D2E" w:rsidRDefault="00D82D2E" w:rsidP="00D82D2E">
    <w:pPr>
      <w:pStyle w:val="Footer"/>
      <w:spacing w:before="1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2F6AE" w14:textId="77777777" w:rsidR="003572CD" w:rsidRDefault="003572CD" w:rsidP="006D69A7">
      <w:pPr>
        <w:spacing w:after="0" w:line="240" w:lineRule="auto"/>
      </w:pPr>
      <w:r>
        <w:separator/>
      </w:r>
    </w:p>
  </w:footnote>
  <w:footnote w:type="continuationSeparator" w:id="0">
    <w:p w14:paraId="4F6628A4" w14:textId="77777777" w:rsidR="003572CD" w:rsidRDefault="003572CD" w:rsidP="006D6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B3D1" w14:textId="62441C42" w:rsidR="00157FC4" w:rsidRDefault="00157FC4">
    <w:pPr>
      <w:pStyle w:val="Header"/>
    </w:pPr>
    <w:r>
      <w:rPr>
        <w:noProof/>
      </w:rPr>
      <mc:AlternateContent>
        <mc:Choice Requires="wps">
          <w:drawing>
            <wp:anchor distT="0" distB="0" distL="0" distR="0" simplePos="0" relativeHeight="251658242" behindDoc="0" locked="0" layoutInCell="1" allowOverlap="1" wp14:anchorId="69FCE8EA" wp14:editId="4C03486E">
              <wp:simplePos x="635" y="635"/>
              <wp:positionH relativeFrom="page">
                <wp:align>center</wp:align>
              </wp:positionH>
              <wp:positionV relativeFrom="page">
                <wp:align>top</wp:align>
              </wp:positionV>
              <wp:extent cx="551815" cy="404495"/>
              <wp:effectExtent l="0" t="0" r="635" b="14605"/>
              <wp:wrapNone/>
              <wp:docPr id="8585449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A78523F" w14:textId="54F830E6" w:rsidR="00157FC4" w:rsidRPr="00157FC4" w:rsidRDefault="00157FC4" w:rsidP="00157FC4">
                          <w:pPr>
                            <w:spacing w:after="0"/>
                            <w:rPr>
                              <w:rFonts w:ascii="Calibri" w:eastAsia="Calibri" w:hAnsi="Calibri" w:cs="Calibri"/>
                              <w:noProof/>
                              <w:color w:val="000000"/>
                              <w:szCs w:val="24"/>
                            </w:rPr>
                          </w:pPr>
                          <w:r w:rsidRPr="00157FC4">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9B23DA9">
            <v:shapetype id="_x0000_t202" coordsize="21600,21600" o:spt="202" path="m,l,21600r21600,l21600,xe" w14:anchorId="69FCE8EA">
              <v:stroke joinstyle="miter"/>
              <v:path gradientshapeok="t" o:connecttype="rect"/>
            </v:shapetype>
            <v:shape id="Text Box 2"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v:textbox style="mso-fit-shape-to-text:t" inset="0,15pt,0,0">
                <w:txbxContent>
                  <w:p w:rsidRPr="00157FC4" w:rsidR="00157FC4" w:rsidP="00157FC4" w:rsidRDefault="00157FC4" w14:paraId="17D1F485" w14:textId="54F830E6">
                    <w:pPr>
                      <w:spacing w:after="0"/>
                      <w:rPr>
                        <w:rFonts w:ascii="Calibri" w:hAnsi="Calibri" w:eastAsia="Calibri" w:cs="Calibri"/>
                        <w:noProof/>
                        <w:color w:val="000000"/>
                        <w:szCs w:val="24"/>
                      </w:rPr>
                    </w:pPr>
                    <w:r w:rsidRPr="00157FC4">
                      <w:rPr>
                        <w:rFonts w:ascii="Calibri" w:hAnsi="Calibri" w:eastAsia="Calibri" w:cs="Calibri"/>
                        <w:noProof/>
                        <w:color w:val="00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A526" w14:textId="77777777" w:rsidR="00B816BC" w:rsidRDefault="00B816BC">
    <w:pPr>
      <w:pStyle w:val="Header"/>
    </w:pPr>
  </w:p>
  <w:p w14:paraId="7D6BAE36" w14:textId="290D3D73" w:rsidR="00D82D2E" w:rsidRDefault="00157FC4">
    <w:pPr>
      <w:pStyle w:val="Header"/>
    </w:pPr>
    <w:r>
      <w:rPr>
        <w:noProof/>
      </w:rPr>
      <mc:AlternateContent>
        <mc:Choice Requires="wps">
          <w:drawing>
            <wp:anchor distT="0" distB="0" distL="0" distR="0" simplePos="0" relativeHeight="251658243" behindDoc="0" locked="0" layoutInCell="1" allowOverlap="1" wp14:anchorId="05CE5DD3" wp14:editId="63D0AB94">
              <wp:simplePos x="723900" y="361950"/>
              <wp:positionH relativeFrom="page">
                <wp:align>center</wp:align>
              </wp:positionH>
              <wp:positionV relativeFrom="page">
                <wp:align>top</wp:align>
              </wp:positionV>
              <wp:extent cx="551815" cy="404495"/>
              <wp:effectExtent l="0" t="0" r="635" b="14605"/>
              <wp:wrapNone/>
              <wp:docPr id="16201551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0C8CBAC" w14:textId="523A3D88" w:rsidR="00157FC4" w:rsidRPr="00157FC4" w:rsidRDefault="00157FC4" w:rsidP="00157FC4">
                          <w:pPr>
                            <w:spacing w:after="0"/>
                            <w:rPr>
                              <w:rFonts w:ascii="Calibri" w:eastAsia="Calibri" w:hAnsi="Calibri" w:cs="Calibri"/>
                              <w:noProof/>
                              <w:color w:val="000000"/>
                              <w:szCs w:val="24"/>
                            </w:rPr>
                          </w:pPr>
                          <w:r w:rsidRPr="00157FC4">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3AFA0EF">
            <v:shapetype id="_x0000_t202" coordsize="21600,21600" o:spt="202" path="m,l,21600r21600,l21600,xe" w14:anchorId="05CE5DD3">
              <v:stroke joinstyle="miter"/>
              <v:path gradientshapeok="t" o:connecttype="rect"/>
            </v:shapetype>
            <v:shape id="Text Box 3"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v:textbox style="mso-fit-shape-to-text:t" inset="0,15pt,0,0">
                <w:txbxContent>
                  <w:p w:rsidRPr="00157FC4" w:rsidR="00157FC4" w:rsidP="00157FC4" w:rsidRDefault="00157FC4" w14:paraId="75F360E3" w14:textId="523A3D88">
                    <w:pPr>
                      <w:spacing w:after="0"/>
                      <w:rPr>
                        <w:rFonts w:ascii="Calibri" w:hAnsi="Calibri" w:eastAsia="Calibri" w:cs="Calibri"/>
                        <w:noProof/>
                        <w:color w:val="000000"/>
                        <w:szCs w:val="24"/>
                      </w:rPr>
                    </w:pPr>
                    <w:r w:rsidRPr="00157FC4">
                      <w:rPr>
                        <w:rFonts w:ascii="Calibri" w:hAnsi="Calibri" w:eastAsia="Calibri" w:cs="Calibri"/>
                        <w:noProof/>
                        <w:color w:val="000000"/>
                        <w:szCs w:val="24"/>
                      </w:rPr>
                      <w:t>OFFICIAL</w:t>
                    </w:r>
                  </w:p>
                </w:txbxContent>
              </v:textbox>
              <w10:wrap anchorx="page" anchory="page"/>
            </v:shape>
          </w:pict>
        </mc:Fallback>
      </mc:AlternateContent>
    </w:r>
    <w:r w:rsidR="3BE836D9">
      <w:t>IA Keycard 11 – V2.0 February 2026</w:t>
    </w:r>
  </w:p>
  <w:p w14:paraId="2A5CA556" w14:textId="319890AC" w:rsidR="3BE836D9" w:rsidRDefault="3BE836D9" w:rsidP="3BE836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5E79" w14:textId="34B98451" w:rsidR="00D82D2E" w:rsidRDefault="00157FC4">
    <w:pPr>
      <w:pStyle w:val="Header"/>
    </w:pPr>
    <w:r>
      <w:rPr>
        <w:noProof/>
      </w:rPr>
      <mc:AlternateContent>
        <mc:Choice Requires="wps">
          <w:drawing>
            <wp:anchor distT="0" distB="0" distL="0" distR="0" simplePos="0" relativeHeight="251658241" behindDoc="0" locked="0" layoutInCell="1" allowOverlap="1" wp14:anchorId="4C15D564" wp14:editId="1679225E">
              <wp:simplePos x="723900" y="361950"/>
              <wp:positionH relativeFrom="page">
                <wp:align>center</wp:align>
              </wp:positionH>
              <wp:positionV relativeFrom="page">
                <wp:align>top</wp:align>
              </wp:positionV>
              <wp:extent cx="551815" cy="404495"/>
              <wp:effectExtent l="0" t="0" r="635" b="14605"/>
              <wp:wrapNone/>
              <wp:docPr id="17272786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73F8693" w14:textId="1B1A8DD2" w:rsidR="00157FC4" w:rsidRPr="00157FC4" w:rsidRDefault="00157FC4" w:rsidP="00157FC4">
                          <w:pPr>
                            <w:spacing w:after="0"/>
                            <w:rPr>
                              <w:rFonts w:ascii="Calibri" w:eastAsia="Calibri" w:hAnsi="Calibri" w:cs="Calibri"/>
                              <w:noProof/>
                              <w:color w:val="000000"/>
                              <w:szCs w:val="24"/>
                            </w:rPr>
                          </w:pPr>
                          <w:r w:rsidRPr="00157FC4">
                            <w:rPr>
                              <w:rFonts w:ascii="Calibri" w:eastAsia="Calibri" w:hAnsi="Calibri" w:cs="Calibri"/>
                              <w:noProof/>
                              <w:color w:val="00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dec="http://schemas.microsoft.com/office/drawing/2017/decorative" xmlns:aclsh="http://schemas.microsoft.com/office/drawing/2020/classificationShape" xmlns:a="http://schemas.openxmlformats.org/drawingml/2006/main">
          <w:pict w14:anchorId="1269E425">
            <v:shapetype id="_x0000_t202" coordsize="21600,21600" o:spt="202" path="m,l,21600r21600,l21600,xe" w14:anchorId="4C15D564">
              <v:stroke joinstyle="miter"/>
              <v:path gradientshapeok="t" o:connecttype="rect"/>
            </v:shapetype>
            <v:shape id="Text Box 1" style="position:absolute;left:0;text-align:left;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v:textbox style="mso-fit-shape-to-text:t" inset="0,15pt,0,0">
                <w:txbxContent>
                  <w:p w:rsidRPr="00157FC4" w:rsidR="00157FC4" w:rsidP="00157FC4" w:rsidRDefault="00157FC4" w14:paraId="08CE8BEA" w14:textId="1B1A8DD2">
                    <w:pPr>
                      <w:spacing w:after="0"/>
                      <w:rPr>
                        <w:rFonts w:ascii="Calibri" w:hAnsi="Calibri" w:eastAsia="Calibri" w:cs="Calibri"/>
                        <w:noProof/>
                        <w:color w:val="000000"/>
                        <w:szCs w:val="24"/>
                      </w:rPr>
                    </w:pPr>
                    <w:r w:rsidRPr="00157FC4">
                      <w:rPr>
                        <w:rFonts w:ascii="Calibri" w:hAnsi="Calibri" w:eastAsia="Calibri" w:cs="Calibri"/>
                        <w:noProof/>
                        <w:color w:val="000000"/>
                        <w:szCs w:val="24"/>
                      </w:rPr>
                      <w:t>OFFICIAL</w:t>
                    </w:r>
                  </w:p>
                </w:txbxContent>
              </v:textbox>
              <w10:wrap anchorx="page" anchory="page"/>
            </v:shape>
          </w:pict>
        </mc:Fallback>
      </mc:AlternateContent>
    </w:r>
    <w:r w:rsidR="00D82D2E">
      <w:rPr>
        <w:noProof/>
      </w:rPr>
      <w:drawing>
        <wp:anchor distT="0" distB="0" distL="114300" distR="114300" simplePos="0" relativeHeight="251658240" behindDoc="1" locked="0" layoutInCell="1" allowOverlap="1" wp14:anchorId="01994F7C" wp14:editId="718AF513">
          <wp:simplePos x="0" y="0"/>
          <wp:positionH relativeFrom="page">
            <wp:posOffset>0</wp:posOffset>
          </wp:positionH>
          <wp:positionV relativeFrom="page">
            <wp:posOffset>6329</wp:posOffset>
          </wp:positionV>
          <wp:extent cx="7560000" cy="10693742"/>
          <wp:effectExtent l="0" t="0" r="3175" b="0"/>
          <wp:wrapNone/>
          <wp:docPr id="3" name="Picture 3" descr="Providing access to justice through working with others to achieve excellence in the delivery of legal ai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roviding access to justice through working with others to achieve excellence in the delivery of legal aid">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069374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036379E"/>
    <w:lvl w:ilvl="0">
      <w:start w:val="1"/>
      <w:numFmt w:val="bullet"/>
      <w:pStyle w:val="ListBullet2"/>
      <w:lvlText w:val=""/>
      <w:lvlJc w:val="left"/>
      <w:pPr>
        <w:ind w:left="717" w:hanging="360"/>
      </w:pPr>
      <w:rPr>
        <w:rFonts w:ascii="Symbol" w:hAnsi="Symbol" w:hint="default"/>
        <w:color w:val="A2D45E"/>
      </w:rPr>
    </w:lvl>
  </w:abstractNum>
  <w:abstractNum w:abstractNumId="1" w15:restartNumberingAfterBreak="0">
    <w:nsid w:val="FFFFFF88"/>
    <w:multiLevelType w:val="singleLevel"/>
    <w:tmpl w:val="B9463A3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13F29FA4"/>
    <w:lvl w:ilvl="0">
      <w:start w:val="1"/>
      <w:numFmt w:val="bullet"/>
      <w:pStyle w:val="ListBullet"/>
      <w:lvlText w:val=""/>
      <w:lvlJc w:val="left"/>
      <w:pPr>
        <w:ind w:left="360" w:hanging="360"/>
      </w:pPr>
      <w:rPr>
        <w:rFonts w:ascii="Symbol" w:hAnsi="Symbol" w:hint="default"/>
        <w:color w:val="006D55" w:themeColor="accent1"/>
      </w:rPr>
    </w:lvl>
  </w:abstractNum>
  <w:abstractNum w:abstractNumId="3" w15:restartNumberingAfterBreak="0">
    <w:nsid w:val="04247F8E"/>
    <w:multiLevelType w:val="hybridMultilevel"/>
    <w:tmpl w:val="682A8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73625"/>
    <w:multiLevelType w:val="multilevel"/>
    <w:tmpl w:val="BF36252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3DB16E5C"/>
    <w:multiLevelType w:val="hybridMultilevel"/>
    <w:tmpl w:val="1B4A65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7A0B1A"/>
    <w:multiLevelType w:val="hybridMultilevel"/>
    <w:tmpl w:val="440048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2B85195"/>
    <w:multiLevelType w:val="hybridMultilevel"/>
    <w:tmpl w:val="C090CE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4261CC"/>
    <w:multiLevelType w:val="multilevel"/>
    <w:tmpl w:val="39F4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920D6B"/>
    <w:multiLevelType w:val="multilevel"/>
    <w:tmpl w:val="DD70C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5052522">
    <w:abstractNumId w:val="2"/>
  </w:num>
  <w:num w:numId="2" w16cid:durableId="475223522">
    <w:abstractNumId w:val="0"/>
  </w:num>
  <w:num w:numId="3" w16cid:durableId="1412776768">
    <w:abstractNumId w:val="1"/>
  </w:num>
  <w:num w:numId="4" w16cid:durableId="1382632983">
    <w:abstractNumId w:val="7"/>
  </w:num>
  <w:num w:numId="5" w16cid:durableId="216282997">
    <w:abstractNumId w:val="5"/>
  </w:num>
  <w:num w:numId="6" w16cid:durableId="366881410">
    <w:abstractNumId w:val="3"/>
  </w:num>
  <w:num w:numId="7" w16cid:durableId="1656058970">
    <w:abstractNumId w:val="9"/>
  </w:num>
  <w:num w:numId="8" w16cid:durableId="1629356737">
    <w:abstractNumId w:val="8"/>
  </w:num>
  <w:num w:numId="9" w16cid:durableId="206533013">
    <w:abstractNumId w:val="6"/>
  </w:num>
  <w:num w:numId="10" w16cid:durableId="335035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4EF"/>
    <w:rsid w:val="0000511D"/>
    <w:rsid w:val="000079B4"/>
    <w:rsid w:val="00007EDB"/>
    <w:rsid w:val="00015B68"/>
    <w:rsid w:val="00016AD0"/>
    <w:rsid w:val="0002113E"/>
    <w:rsid w:val="00026E8B"/>
    <w:rsid w:val="0002753E"/>
    <w:rsid w:val="0002C181"/>
    <w:rsid w:val="000319E1"/>
    <w:rsid w:val="00031B2E"/>
    <w:rsid w:val="00037AD8"/>
    <w:rsid w:val="0005098B"/>
    <w:rsid w:val="000510BF"/>
    <w:rsid w:val="000522B7"/>
    <w:rsid w:val="00052E54"/>
    <w:rsid w:val="0005441E"/>
    <w:rsid w:val="00076139"/>
    <w:rsid w:val="00080EEE"/>
    <w:rsid w:val="00090B53"/>
    <w:rsid w:val="00090C5D"/>
    <w:rsid w:val="0009296C"/>
    <w:rsid w:val="00094F6B"/>
    <w:rsid w:val="000A320E"/>
    <w:rsid w:val="000A3347"/>
    <w:rsid w:val="000B0B3D"/>
    <w:rsid w:val="000C118F"/>
    <w:rsid w:val="000C350D"/>
    <w:rsid w:val="000C5493"/>
    <w:rsid w:val="000C7C80"/>
    <w:rsid w:val="000D0649"/>
    <w:rsid w:val="000D16EA"/>
    <w:rsid w:val="000D488E"/>
    <w:rsid w:val="000D7313"/>
    <w:rsid w:val="000E1673"/>
    <w:rsid w:val="000E1EAE"/>
    <w:rsid w:val="000F5D54"/>
    <w:rsid w:val="000F60E8"/>
    <w:rsid w:val="000F6B54"/>
    <w:rsid w:val="0010201C"/>
    <w:rsid w:val="00102C75"/>
    <w:rsid w:val="001031CB"/>
    <w:rsid w:val="00112403"/>
    <w:rsid w:val="00112B1F"/>
    <w:rsid w:val="00114CB1"/>
    <w:rsid w:val="001164F4"/>
    <w:rsid w:val="00117458"/>
    <w:rsid w:val="001174E5"/>
    <w:rsid w:val="00120891"/>
    <w:rsid w:val="00123C24"/>
    <w:rsid w:val="00126F10"/>
    <w:rsid w:val="0013129C"/>
    <w:rsid w:val="00131792"/>
    <w:rsid w:val="00131FC1"/>
    <w:rsid w:val="0013699B"/>
    <w:rsid w:val="001447B9"/>
    <w:rsid w:val="0015033C"/>
    <w:rsid w:val="00154B44"/>
    <w:rsid w:val="00157FC4"/>
    <w:rsid w:val="00167F3D"/>
    <w:rsid w:val="00170746"/>
    <w:rsid w:val="00171644"/>
    <w:rsid w:val="00174663"/>
    <w:rsid w:val="00177232"/>
    <w:rsid w:val="00185233"/>
    <w:rsid w:val="00190638"/>
    <w:rsid w:val="00190FFE"/>
    <w:rsid w:val="001946D5"/>
    <w:rsid w:val="0019768C"/>
    <w:rsid w:val="001A5ACD"/>
    <w:rsid w:val="001A770D"/>
    <w:rsid w:val="001B4399"/>
    <w:rsid w:val="001B5055"/>
    <w:rsid w:val="001B63A7"/>
    <w:rsid w:val="001B7ED0"/>
    <w:rsid w:val="001C1142"/>
    <w:rsid w:val="001D4C28"/>
    <w:rsid w:val="001D6BC2"/>
    <w:rsid w:val="001E47BA"/>
    <w:rsid w:val="001E5FE7"/>
    <w:rsid w:val="001E7C21"/>
    <w:rsid w:val="001F0AE3"/>
    <w:rsid w:val="001F298A"/>
    <w:rsid w:val="00201263"/>
    <w:rsid w:val="00202A8E"/>
    <w:rsid w:val="00204E4B"/>
    <w:rsid w:val="00205FEB"/>
    <w:rsid w:val="002078BD"/>
    <w:rsid w:val="00211A56"/>
    <w:rsid w:val="00211B1E"/>
    <w:rsid w:val="00213FDA"/>
    <w:rsid w:val="00223379"/>
    <w:rsid w:val="00224C8F"/>
    <w:rsid w:val="00225EBE"/>
    <w:rsid w:val="0023022D"/>
    <w:rsid w:val="00234167"/>
    <w:rsid w:val="0024340D"/>
    <w:rsid w:val="00250053"/>
    <w:rsid w:val="00253618"/>
    <w:rsid w:val="002612EB"/>
    <w:rsid w:val="00265642"/>
    <w:rsid w:val="00265918"/>
    <w:rsid w:val="002712B9"/>
    <w:rsid w:val="00276C74"/>
    <w:rsid w:val="002774EC"/>
    <w:rsid w:val="002840F0"/>
    <w:rsid w:val="00287D15"/>
    <w:rsid w:val="00291428"/>
    <w:rsid w:val="00296DF9"/>
    <w:rsid w:val="002A37D1"/>
    <w:rsid w:val="002B2045"/>
    <w:rsid w:val="002B47D4"/>
    <w:rsid w:val="002B7CEC"/>
    <w:rsid w:val="002C35DC"/>
    <w:rsid w:val="002C5B1F"/>
    <w:rsid w:val="002D57F7"/>
    <w:rsid w:val="002D6C6D"/>
    <w:rsid w:val="002E03A7"/>
    <w:rsid w:val="002E1245"/>
    <w:rsid w:val="002E1FF6"/>
    <w:rsid w:val="002E7CCA"/>
    <w:rsid w:val="002F01F5"/>
    <w:rsid w:val="002F154E"/>
    <w:rsid w:val="002F255D"/>
    <w:rsid w:val="003002ED"/>
    <w:rsid w:val="0030360C"/>
    <w:rsid w:val="0030784D"/>
    <w:rsid w:val="003134EF"/>
    <w:rsid w:val="00313B32"/>
    <w:rsid w:val="003140D3"/>
    <w:rsid w:val="00314F84"/>
    <w:rsid w:val="0032654D"/>
    <w:rsid w:val="00326B40"/>
    <w:rsid w:val="0032733A"/>
    <w:rsid w:val="0033026B"/>
    <w:rsid w:val="0033230E"/>
    <w:rsid w:val="0033288A"/>
    <w:rsid w:val="00334CAF"/>
    <w:rsid w:val="00344F44"/>
    <w:rsid w:val="00347CFD"/>
    <w:rsid w:val="003520F4"/>
    <w:rsid w:val="003572CD"/>
    <w:rsid w:val="00357405"/>
    <w:rsid w:val="0037145E"/>
    <w:rsid w:val="00375BE6"/>
    <w:rsid w:val="003762D5"/>
    <w:rsid w:val="00381247"/>
    <w:rsid w:val="0038233D"/>
    <w:rsid w:val="00385B9B"/>
    <w:rsid w:val="00391C54"/>
    <w:rsid w:val="003A5234"/>
    <w:rsid w:val="003A67D1"/>
    <w:rsid w:val="003B0B96"/>
    <w:rsid w:val="003B2A68"/>
    <w:rsid w:val="003B518D"/>
    <w:rsid w:val="003C700E"/>
    <w:rsid w:val="003C7632"/>
    <w:rsid w:val="003D2242"/>
    <w:rsid w:val="003E2A79"/>
    <w:rsid w:val="003E574C"/>
    <w:rsid w:val="0040076A"/>
    <w:rsid w:val="00403783"/>
    <w:rsid w:val="00413EB8"/>
    <w:rsid w:val="0041786C"/>
    <w:rsid w:val="00420327"/>
    <w:rsid w:val="00447E84"/>
    <w:rsid w:val="00451E04"/>
    <w:rsid w:val="004548C4"/>
    <w:rsid w:val="00454C11"/>
    <w:rsid w:val="00463181"/>
    <w:rsid w:val="00470BF3"/>
    <w:rsid w:val="004716AE"/>
    <w:rsid w:val="00471AC4"/>
    <w:rsid w:val="00473D9A"/>
    <w:rsid w:val="00475F44"/>
    <w:rsid w:val="0048173B"/>
    <w:rsid w:val="00481F54"/>
    <w:rsid w:val="0049014B"/>
    <w:rsid w:val="00491C53"/>
    <w:rsid w:val="00492D55"/>
    <w:rsid w:val="00494F88"/>
    <w:rsid w:val="0049729B"/>
    <w:rsid w:val="004B0B39"/>
    <w:rsid w:val="004B485D"/>
    <w:rsid w:val="004C361B"/>
    <w:rsid w:val="004C68E5"/>
    <w:rsid w:val="004D168F"/>
    <w:rsid w:val="004D5BFE"/>
    <w:rsid w:val="004E064D"/>
    <w:rsid w:val="004F53F4"/>
    <w:rsid w:val="00501BF9"/>
    <w:rsid w:val="00502997"/>
    <w:rsid w:val="00513028"/>
    <w:rsid w:val="005211AE"/>
    <w:rsid w:val="005246BE"/>
    <w:rsid w:val="005317F1"/>
    <w:rsid w:val="00533DD1"/>
    <w:rsid w:val="005364CF"/>
    <w:rsid w:val="005425DF"/>
    <w:rsid w:val="005577EE"/>
    <w:rsid w:val="005579E2"/>
    <w:rsid w:val="00564C4B"/>
    <w:rsid w:val="00576B5C"/>
    <w:rsid w:val="0058112F"/>
    <w:rsid w:val="00583E5A"/>
    <w:rsid w:val="00591A2A"/>
    <w:rsid w:val="00593ECA"/>
    <w:rsid w:val="005947D2"/>
    <w:rsid w:val="005A451A"/>
    <w:rsid w:val="005B1DFB"/>
    <w:rsid w:val="005D3195"/>
    <w:rsid w:val="005D3378"/>
    <w:rsid w:val="005D46C8"/>
    <w:rsid w:val="005D5007"/>
    <w:rsid w:val="005E036D"/>
    <w:rsid w:val="005E0D67"/>
    <w:rsid w:val="005E15CC"/>
    <w:rsid w:val="005E243F"/>
    <w:rsid w:val="005E2F3A"/>
    <w:rsid w:val="005E3186"/>
    <w:rsid w:val="005E3AC5"/>
    <w:rsid w:val="005F52EF"/>
    <w:rsid w:val="00602471"/>
    <w:rsid w:val="00602B1E"/>
    <w:rsid w:val="006104C9"/>
    <w:rsid w:val="006173BB"/>
    <w:rsid w:val="006209FD"/>
    <w:rsid w:val="00622919"/>
    <w:rsid w:val="00622F48"/>
    <w:rsid w:val="0062325D"/>
    <w:rsid w:val="00624FC7"/>
    <w:rsid w:val="006279AE"/>
    <w:rsid w:val="006400E9"/>
    <w:rsid w:val="00640368"/>
    <w:rsid w:val="0064047B"/>
    <w:rsid w:val="00643316"/>
    <w:rsid w:val="00645C8F"/>
    <w:rsid w:val="00650AB6"/>
    <w:rsid w:val="00652F2E"/>
    <w:rsid w:val="00656E45"/>
    <w:rsid w:val="00657A00"/>
    <w:rsid w:val="0066495F"/>
    <w:rsid w:val="00673CE9"/>
    <w:rsid w:val="0067412A"/>
    <w:rsid w:val="00675E5A"/>
    <w:rsid w:val="00680B07"/>
    <w:rsid w:val="00682075"/>
    <w:rsid w:val="00682348"/>
    <w:rsid w:val="00692520"/>
    <w:rsid w:val="006953AD"/>
    <w:rsid w:val="006A1C8E"/>
    <w:rsid w:val="006A1FCA"/>
    <w:rsid w:val="006C179D"/>
    <w:rsid w:val="006C1E3F"/>
    <w:rsid w:val="006C5FC1"/>
    <w:rsid w:val="006C68D3"/>
    <w:rsid w:val="006C79B0"/>
    <w:rsid w:val="006D3A5C"/>
    <w:rsid w:val="006D69A7"/>
    <w:rsid w:val="006E0B8C"/>
    <w:rsid w:val="006E5F77"/>
    <w:rsid w:val="006F1AE4"/>
    <w:rsid w:val="006F4B6F"/>
    <w:rsid w:val="007057F6"/>
    <w:rsid w:val="007067DE"/>
    <w:rsid w:val="0071003A"/>
    <w:rsid w:val="00713B2F"/>
    <w:rsid w:val="00715DBF"/>
    <w:rsid w:val="00721975"/>
    <w:rsid w:val="007355DF"/>
    <w:rsid w:val="0073634B"/>
    <w:rsid w:val="00736DDF"/>
    <w:rsid w:val="00745076"/>
    <w:rsid w:val="00750D0A"/>
    <w:rsid w:val="00751426"/>
    <w:rsid w:val="00751E5F"/>
    <w:rsid w:val="00766DFF"/>
    <w:rsid w:val="0077503C"/>
    <w:rsid w:val="00776172"/>
    <w:rsid w:val="00777C79"/>
    <w:rsid w:val="007812B8"/>
    <w:rsid w:val="00793EA4"/>
    <w:rsid w:val="007A046F"/>
    <w:rsid w:val="007A1F03"/>
    <w:rsid w:val="007A401B"/>
    <w:rsid w:val="007A49C0"/>
    <w:rsid w:val="007A766F"/>
    <w:rsid w:val="007E17F7"/>
    <w:rsid w:val="007E186D"/>
    <w:rsid w:val="007F38E4"/>
    <w:rsid w:val="007F59C2"/>
    <w:rsid w:val="008034D6"/>
    <w:rsid w:val="008047B0"/>
    <w:rsid w:val="008159AE"/>
    <w:rsid w:val="008235E5"/>
    <w:rsid w:val="00825BD2"/>
    <w:rsid w:val="0082603B"/>
    <w:rsid w:val="0082691F"/>
    <w:rsid w:val="00835752"/>
    <w:rsid w:val="00835A23"/>
    <w:rsid w:val="00835C81"/>
    <w:rsid w:val="00837DE8"/>
    <w:rsid w:val="00841C1E"/>
    <w:rsid w:val="00844B2B"/>
    <w:rsid w:val="00845AA2"/>
    <w:rsid w:val="00845C50"/>
    <w:rsid w:val="00851085"/>
    <w:rsid w:val="0086059B"/>
    <w:rsid w:val="0086147A"/>
    <w:rsid w:val="008635E6"/>
    <w:rsid w:val="008711EC"/>
    <w:rsid w:val="00871D1A"/>
    <w:rsid w:val="00872AAA"/>
    <w:rsid w:val="00875263"/>
    <w:rsid w:val="00877E66"/>
    <w:rsid w:val="00895627"/>
    <w:rsid w:val="008A2AC6"/>
    <w:rsid w:val="008A2BD9"/>
    <w:rsid w:val="008B4265"/>
    <w:rsid w:val="008B5D5D"/>
    <w:rsid w:val="008C03E0"/>
    <w:rsid w:val="008C05C0"/>
    <w:rsid w:val="008C5708"/>
    <w:rsid w:val="008C631A"/>
    <w:rsid w:val="008C67CC"/>
    <w:rsid w:val="008D2E8E"/>
    <w:rsid w:val="008E30DC"/>
    <w:rsid w:val="008F292A"/>
    <w:rsid w:val="008F487D"/>
    <w:rsid w:val="008F5302"/>
    <w:rsid w:val="008F5816"/>
    <w:rsid w:val="00901D43"/>
    <w:rsid w:val="009029BA"/>
    <w:rsid w:val="00904B96"/>
    <w:rsid w:val="00905CCA"/>
    <w:rsid w:val="00910645"/>
    <w:rsid w:val="00916FAE"/>
    <w:rsid w:val="009261E8"/>
    <w:rsid w:val="00941102"/>
    <w:rsid w:val="00960007"/>
    <w:rsid w:val="00962710"/>
    <w:rsid w:val="00973919"/>
    <w:rsid w:val="009743E8"/>
    <w:rsid w:val="00976252"/>
    <w:rsid w:val="0098533B"/>
    <w:rsid w:val="0098678E"/>
    <w:rsid w:val="009923AD"/>
    <w:rsid w:val="009A28DB"/>
    <w:rsid w:val="009A7A1E"/>
    <w:rsid w:val="009A7D57"/>
    <w:rsid w:val="009C2B91"/>
    <w:rsid w:val="009C631A"/>
    <w:rsid w:val="009C6465"/>
    <w:rsid w:val="009D41FD"/>
    <w:rsid w:val="009D549F"/>
    <w:rsid w:val="009E0E6B"/>
    <w:rsid w:val="009E68AF"/>
    <w:rsid w:val="009F08BD"/>
    <w:rsid w:val="009F15A4"/>
    <w:rsid w:val="009F27E9"/>
    <w:rsid w:val="00A0261B"/>
    <w:rsid w:val="00A03E1E"/>
    <w:rsid w:val="00A047A3"/>
    <w:rsid w:val="00A311C4"/>
    <w:rsid w:val="00A3319B"/>
    <w:rsid w:val="00A35578"/>
    <w:rsid w:val="00A35AD8"/>
    <w:rsid w:val="00A458AA"/>
    <w:rsid w:val="00A47A57"/>
    <w:rsid w:val="00A557BA"/>
    <w:rsid w:val="00A63F2C"/>
    <w:rsid w:val="00A66B06"/>
    <w:rsid w:val="00A7111B"/>
    <w:rsid w:val="00A74E23"/>
    <w:rsid w:val="00A75A6D"/>
    <w:rsid w:val="00A75FBE"/>
    <w:rsid w:val="00A832CA"/>
    <w:rsid w:val="00A83A45"/>
    <w:rsid w:val="00A866A8"/>
    <w:rsid w:val="00A87D43"/>
    <w:rsid w:val="00A92BBE"/>
    <w:rsid w:val="00A93057"/>
    <w:rsid w:val="00A95028"/>
    <w:rsid w:val="00A9660D"/>
    <w:rsid w:val="00AA21EC"/>
    <w:rsid w:val="00AB2397"/>
    <w:rsid w:val="00AB4972"/>
    <w:rsid w:val="00AB5F20"/>
    <w:rsid w:val="00AB6593"/>
    <w:rsid w:val="00AB7283"/>
    <w:rsid w:val="00AB7AED"/>
    <w:rsid w:val="00AC6E7F"/>
    <w:rsid w:val="00AD319E"/>
    <w:rsid w:val="00AD41C5"/>
    <w:rsid w:val="00AD60C1"/>
    <w:rsid w:val="00AE6834"/>
    <w:rsid w:val="00AF1FC5"/>
    <w:rsid w:val="00B00FE0"/>
    <w:rsid w:val="00B0394F"/>
    <w:rsid w:val="00B03A64"/>
    <w:rsid w:val="00B0A243"/>
    <w:rsid w:val="00B16E49"/>
    <w:rsid w:val="00B2667D"/>
    <w:rsid w:val="00B319EE"/>
    <w:rsid w:val="00B33907"/>
    <w:rsid w:val="00B33A69"/>
    <w:rsid w:val="00B350EC"/>
    <w:rsid w:val="00B43BDD"/>
    <w:rsid w:val="00B463E6"/>
    <w:rsid w:val="00B46F2B"/>
    <w:rsid w:val="00B5393E"/>
    <w:rsid w:val="00B53A14"/>
    <w:rsid w:val="00B556BA"/>
    <w:rsid w:val="00B55CED"/>
    <w:rsid w:val="00B62888"/>
    <w:rsid w:val="00B66CF0"/>
    <w:rsid w:val="00B67D62"/>
    <w:rsid w:val="00B73E8F"/>
    <w:rsid w:val="00B816BC"/>
    <w:rsid w:val="00B86E8A"/>
    <w:rsid w:val="00B91F1D"/>
    <w:rsid w:val="00B9644E"/>
    <w:rsid w:val="00B96ABE"/>
    <w:rsid w:val="00B97DD7"/>
    <w:rsid w:val="00BA13B4"/>
    <w:rsid w:val="00BA561B"/>
    <w:rsid w:val="00BA6B39"/>
    <w:rsid w:val="00BB679E"/>
    <w:rsid w:val="00BD45BE"/>
    <w:rsid w:val="00BD5A3A"/>
    <w:rsid w:val="00BE3279"/>
    <w:rsid w:val="00BE7CAE"/>
    <w:rsid w:val="00BE7DAC"/>
    <w:rsid w:val="00BF3782"/>
    <w:rsid w:val="00C03CEA"/>
    <w:rsid w:val="00C065E9"/>
    <w:rsid w:val="00C115C1"/>
    <w:rsid w:val="00C15D09"/>
    <w:rsid w:val="00C26FC8"/>
    <w:rsid w:val="00C316C5"/>
    <w:rsid w:val="00C40FBC"/>
    <w:rsid w:val="00C42D43"/>
    <w:rsid w:val="00C447F3"/>
    <w:rsid w:val="00C44DFD"/>
    <w:rsid w:val="00C5741F"/>
    <w:rsid w:val="00C626B8"/>
    <w:rsid w:val="00C63835"/>
    <w:rsid w:val="00C63991"/>
    <w:rsid w:val="00C648DA"/>
    <w:rsid w:val="00C70ECA"/>
    <w:rsid w:val="00C7146F"/>
    <w:rsid w:val="00C71F81"/>
    <w:rsid w:val="00C72539"/>
    <w:rsid w:val="00C725F2"/>
    <w:rsid w:val="00C72E55"/>
    <w:rsid w:val="00C755F2"/>
    <w:rsid w:val="00C84888"/>
    <w:rsid w:val="00CA0035"/>
    <w:rsid w:val="00CA36FF"/>
    <w:rsid w:val="00CA38AB"/>
    <w:rsid w:val="00CA4174"/>
    <w:rsid w:val="00CA55ED"/>
    <w:rsid w:val="00CB0424"/>
    <w:rsid w:val="00CB3514"/>
    <w:rsid w:val="00CB4AE7"/>
    <w:rsid w:val="00CC2210"/>
    <w:rsid w:val="00CC296E"/>
    <w:rsid w:val="00CC481A"/>
    <w:rsid w:val="00CC4A4C"/>
    <w:rsid w:val="00CC4CC3"/>
    <w:rsid w:val="00CD2F7A"/>
    <w:rsid w:val="00CD53D8"/>
    <w:rsid w:val="00CD606C"/>
    <w:rsid w:val="00CE5CDB"/>
    <w:rsid w:val="00CF3552"/>
    <w:rsid w:val="00D02F58"/>
    <w:rsid w:val="00D031E6"/>
    <w:rsid w:val="00D05841"/>
    <w:rsid w:val="00D065B3"/>
    <w:rsid w:val="00D14204"/>
    <w:rsid w:val="00D1609A"/>
    <w:rsid w:val="00D23082"/>
    <w:rsid w:val="00D301D3"/>
    <w:rsid w:val="00D3392B"/>
    <w:rsid w:val="00D33D7A"/>
    <w:rsid w:val="00D36FD1"/>
    <w:rsid w:val="00D43645"/>
    <w:rsid w:val="00D55B74"/>
    <w:rsid w:val="00D561BA"/>
    <w:rsid w:val="00D60C44"/>
    <w:rsid w:val="00D61DCD"/>
    <w:rsid w:val="00D62B8A"/>
    <w:rsid w:val="00D6340D"/>
    <w:rsid w:val="00D635D3"/>
    <w:rsid w:val="00D645D9"/>
    <w:rsid w:val="00D72107"/>
    <w:rsid w:val="00D72D12"/>
    <w:rsid w:val="00D82D2E"/>
    <w:rsid w:val="00D8358E"/>
    <w:rsid w:val="00D91258"/>
    <w:rsid w:val="00D91536"/>
    <w:rsid w:val="00D9522B"/>
    <w:rsid w:val="00DA1451"/>
    <w:rsid w:val="00DA5160"/>
    <w:rsid w:val="00DB12AA"/>
    <w:rsid w:val="00DB6C13"/>
    <w:rsid w:val="00DD0BB6"/>
    <w:rsid w:val="00DD1030"/>
    <w:rsid w:val="00DD4342"/>
    <w:rsid w:val="00DD4AE5"/>
    <w:rsid w:val="00DD5FF5"/>
    <w:rsid w:val="00DD799D"/>
    <w:rsid w:val="00DE4F4C"/>
    <w:rsid w:val="00DE7252"/>
    <w:rsid w:val="00DF5E4E"/>
    <w:rsid w:val="00DF636E"/>
    <w:rsid w:val="00E013F7"/>
    <w:rsid w:val="00E05A7A"/>
    <w:rsid w:val="00E10D96"/>
    <w:rsid w:val="00E15EAE"/>
    <w:rsid w:val="00E17DF9"/>
    <w:rsid w:val="00E202AA"/>
    <w:rsid w:val="00E2484B"/>
    <w:rsid w:val="00E267FC"/>
    <w:rsid w:val="00E3328A"/>
    <w:rsid w:val="00E33812"/>
    <w:rsid w:val="00E3417E"/>
    <w:rsid w:val="00E34802"/>
    <w:rsid w:val="00E40ED6"/>
    <w:rsid w:val="00E4283D"/>
    <w:rsid w:val="00E52F37"/>
    <w:rsid w:val="00E55C9B"/>
    <w:rsid w:val="00E56513"/>
    <w:rsid w:val="00E57AD3"/>
    <w:rsid w:val="00E607D6"/>
    <w:rsid w:val="00E624B4"/>
    <w:rsid w:val="00E66EA7"/>
    <w:rsid w:val="00E761B4"/>
    <w:rsid w:val="00E82E5D"/>
    <w:rsid w:val="00E90B22"/>
    <w:rsid w:val="00EA138B"/>
    <w:rsid w:val="00EA47C4"/>
    <w:rsid w:val="00EA6AF9"/>
    <w:rsid w:val="00EB03EE"/>
    <w:rsid w:val="00EB2AFD"/>
    <w:rsid w:val="00EB7C79"/>
    <w:rsid w:val="00ED0D69"/>
    <w:rsid w:val="00ED0DEF"/>
    <w:rsid w:val="00EE25F8"/>
    <w:rsid w:val="00EE57D2"/>
    <w:rsid w:val="00EF3276"/>
    <w:rsid w:val="00EF3F23"/>
    <w:rsid w:val="00F11D43"/>
    <w:rsid w:val="00F178B5"/>
    <w:rsid w:val="00F23931"/>
    <w:rsid w:val="00F30C8F"/>
    <w:rsid w:val="00F3409C"/>
    <w:rsid w:val="00F352F1"/>
    <w:rsid w:val="00F3BFEC"/>
    <w:rsid w:val="00F51902"/>
    <w:rsid w:val="00F53779"/>
    <w:rsid w:val="00F603D7"/>
    <w:rsid w:val="00F66DE7"/>
    <w:rsid w:val="00F67FBA"/>
    <w:rsid w:val="00F70BBF"/>
    <w:rsid w:val="00F71F4F"/>
    <w:rsid w:val="00F8501D"/>
    <w:rsid w:val="00F9074A"/>
    <w:rsid w:val="00F91050"/>
    <w:rsid w:val="00F926C7"/>
    <w:rsid w:val="00FA0865"/>
    <w:rsid w:val="00FA1EA8"/>
    <w:rsid w:val="00FA2138"/>
    <w:rsid w:val="00FB4AB1"/>
    <w:rsid w:val="00FC008E"/>
    <w:rsid w:val="00FC0DF3"/>
    <w:rsid w:val="00FC1CDA"/>
    <w:rsid w:val="00FC1F73"/>
    <w:rsid w:val="00FC52E1"/>
    <w:rsid w:val="00FC585E"/>
    <w:rsid w:val="00FD251C"/>
    <w:rsid w:val="00FD7BE8"/>
    <w:rsid w:val="00FE5D44"/>
    <w:rsid w:val="00FF42A0"/>
    <w:rsid w:val="01BE5C2E"/>
    <w:rsid w:val="01F0B287"/>
    <w:rsid w:val="01F7079D"/>
    <w:rsid w:val="02281B16"/>
    <w:rsid w:val="022A1800"/>
    <w:rsid w:val="022AF4F7"/>
    <w:rsid w:val="0288C35E"/>
    <w:rsid w:val="02B80521"/>
    <w:rsid w:val="0377E0F4"/>
    <w:rsid w:val="037965D8"/>
    <w:rsid w:val="03B6C8D3"/>
    <w:rsid w:val="03F07E85"/>
    <w:rsid w:val="04A43368"/>
    <w:rsid w:val="055AC622"/>
    <w:rsid w:val="05695B32"/>
    <w:rsid w:val="06355EA7"/>
    <w:rsid w:val="066BD1A4"/>
    <w:rsid w:val="067DF36C"/>
    <w:rsid w:val="06C7F782"/>
    <w:rsid w:val="07602395"/>
    <w:rsid w:val="07963F52"/>
    <w:rsid w:val="07A4E5C0"/>
    <w:rsid w:val="0850D16C"/>
    <w:rsid w:val="0854734D"/>
    <w:rsid w:val="08E32613"/>
    <w:rsid w:val="094CC0D8"/>
    <w:rsid w:val="096EC3EA"/>
    <w:rsid w:val="0A1504EF"/>
    <w:rsid w:val="0A1AB2A7"/>
    <w:rsid w:val="0A323F2F"/>
    <w:rsid w:val="0A988C42"/>
    <w:rsid w:val="0AC3216C"/>
    <w:rsid w:val="0AF5FFA3"/>
    <w:rsid w:val="0B5DB7A4"/>
    <w:rsid w:val="0C0691C5"/>
    <w:rsid w:val="0C5BF1E4"/>
    <w:rsid w:val="0D8F48D1"/>
    <w:rsid w:val="0DAEE75C"/>
    <w:rsid w:val="0DBD57D2"/>
    <w:rsid w:val="0DF804FB"/>
    <w:rsid w:val="0E2FFEA5"/>
    <w:rsid w:val="0E92E133"/>
    <w:rsid w:val="0EAD32E0"/>
    <w:rsid w:val="0F5B3DAC"/>
    <w:rsid w:val="0F934B9D"/>
    <w:rsid w:val="0F9778ED"/>
    <w:rsid w:val="0FC6EBFA"/>
    <w:rsid w:val="100B46B7"/>
    <w:rsid w:val="10EA2957"/>
    <w:rsid w:val="1161E6B3"/>
    <w:rsid w:val="12637883"/>
    <w:rsid w:val="128F506F"/>
    <w:rsid w:val="1297B0C6"/>
    <w:rsid w:val="135E7D63"/>
    <w:rsid w:val="13F0F51B"/>
    <w:rsid w:val="14F4E681"/>
    <w:rsid w:val="157A22B0"/>
    <w:rsid w:val="1581A2AA"/>
    <w:rsid w:val="15C46581"/>
    <w:rsid w:val="15FACB05"/>
    <w:rsid w:val="1611A06F"/>
    <w:rsid w:val="16FA5A0C"/>
    <w:rsid w:val="172AC11A"/>
    <w:rsid w:val="17A0AF02"/>
    <w:rsid w:val="17BDAAE8"/>
    <w:rsid w:val="17C7C96F"/>
    <w:rsid w:val="1829C0CA"/>
    <w:rsid w:val="1847E8C1"/>
    <w:rsid w:val="18628BA4"/>
    <w:rsid w:val="19B87405"/>
    <w:rsid w:val="19BC152D"/>
    <w:rsid w:val="19BEF748"/>
    <w:rsid w:val="19C46F12"/>
    <w:rsid w:val="1A93AA12"/>
    <w:rsid w:val="1AB2D425"/>
    <w:rsid w:val="1B4BA895"/>
    <w:rsid w:val="1B9398EA"/>
    <w:rsid w:val="1BC7BAC6"/>
    <w:rsid w:val="1BFA5D94"/>
    <w:rsid w:val="1C5182EA"/>
    <w:rsid w:val="1C767CDA"/>
    <w:rsid w:val="1C904E96"/>
    <w:rsid w:val="1D0F9876"/>
    <w:rsid w:val="1D341E69"/>
    <w:rsid w:val="1DC41D38"/>
    <w:rsid w:val="1DDD1566"/>
    <w:rsid w:val="1DF54796"/>
    <w:rsid w:val="1E15B33F"/>
    <w:rsid w:val="1E4B0DFA"/>
    <w:rsid w:val="1EB1C464"/>
    <w:rsid w:val="1ECA5CF8"/>
    <w:rsid w:val="1F0375A6"/>
    <w:rsid w:val="1F145C6B"/>
    <w:rsid w:val="1F1EB52A"/>
    <w:rsid w:val="1F49B795"/>
    <w:rsid w:val="1F725AFC"/>
    <w:rsid w:val="1FABBD92"/>
    <w:rsid w:val="20249636"/>
    <w:rsid w:val="20B68FFC"/>
    <w:rsid w:val="21FEDFC0"/>
    <w:rsid w:val="226E1CE5"/>
    <w:rsid w:val="22D9BFFA"/>
    <w:rsid w:val="23491044"/>
    <w:rsid w:val="234A5403"/>
    <w:rsid w:val="23D82039"/>
    <w:rsid w:val="244B9EFC"/>
    <w:rsid w:val="246C799B"/>
    <w:rsid w:val="248B4EE5"/>
    <w:rsid w:val="24AE97D4"/>
    <w:rsid w:val="255BF995"/>
    <w:rsid w:val="255F885E"/>
    <w:rsid w:val="25727544"/>
    <w:rsid w:val="257B092D"/>
    <w:rsid w:val="25CA5604"/>
    <w:rsid w:val="25D8BB1D"/>
    <w:rsid w:val="2626A812"/>
    <w:rsid w:val="26B03DCD"/>
    <w:rsid w:val="26C6FC32"/>
    <w:rsid w:val="27195651"/>
    <w:rsid w:val="2719AB28"/>
    <w:rsid w:val="2727C35D"/>
    <w:rsid w:val="2745049A"/>
    <w:rsid w:val="27780390"/>
    <w:rsid w:val="2783A7B9"/>
    <w:rsid w:val="27FF2BA5"/>
    <w:rsid w:val="2800BFF3"/>
    <w:rsid w:val="283DC60A"/>
    <w:rsid w:val="28BE778E"/>
    <w:rsid w:val="290B9B5B"/>
    <w:rsid w:val="29399D8E"/>
    <w:rsid w:val="2A298830"/>
    <w:rsid w:val="2A5B938F"/>
    <w:rsid w:val="2AAD300F"/>
    <w:rsid w:val="2B231969"/>
    <w:rsid w:val="2B26CEF4"/>
    <w:rsid w:val="2B7516B9"/>
    <w:rsid w:val="2BAFD75D"/>
    <w:rsid w:val="2BB91125"/>
    <w:rsid w:val="2BCEB59E"/>
    <w:rsid w:val="2C1FA994"/>
    <w:rsid w:val="2C4995B5"/>
    <w:rsid w:val="2D723A14"/>
    <w:rsid w:val="2DE3FBF4"/>
    <w:rsid w:val="2E0205D8"/>
    <w:rsid w:val="2EAC703D"/>
    <w:rsid w:val="2EC03932"/>
    <w:rsid w:val="2EE5AB2A"/>
    <w:rsid w:val="2EFD4D27"/>
    <w:rsid w:val="2F41B927"/>
    <w:rsid w:val="3040228A"/>
    <w:rsid w:val="30C7DFDC"/>
    <w:rsid w:val="314CC528"/>
    <w:rsid w:val="31747668"/>
    <w:rsid w:val="31C1F2DE"/>
    <w:rsid w:val="325C49B3"/>
    <w:rsid w:val="32612C2B"/>
    <w:rsid w:val="32D616E1"/>
    <w:rsid w:val="335E8017"/>
    <w:rsid w:val="339F28CC"/>
    <w:rsid w:val="33AB5752"/>
    <w:rsid w:val="33D39176"/>
    <w:rsid w:val="33D48721"/>
    <w:rsid w:val="33EB0185"/>
    <w:rsid w:val="33F49E96"/>
    <w:rsid w:val="33FCA670"/>
    <w:rsid w:val="344527B4"/>
    <w:rsid w:val="3463B5CC"/>
    <w:rsid w:val="34916AFA"/>
    <w:rsid w:val="355F3AB5"/>
    <w:rsid w:val="35B3DA08"/>
    <w:rsid w:val="36925D1E"/>
    <w:rsid w:val="36C4BE40"/>
    <w:rsid w:val="36C9F850"/>
    <w:rsid w:val="37737B5A"/>
    <w:rsid w:val="37D1B748"/>
    <w:rsid w:val="3894E4A0"/>
    <w:rsid w:val="38FA49F0"/>
    <w:rsid w:val="39E6BB05"/>
    <w:rsid w:val="39E9E251"/>
    <w:rsid w:val="3A2FBDAE"/>
    <w:rsid w:val="3A56589E"/>
    <w:rsid w:val="3A68F28C"/>
    <w:rsid w:val="3A7B75BA"/>
    <w:rsid w:val="3AF29E8F"/>
    <w:rsid w:val="3AF63768"/>
    <w:rsid w:val="3B72A7C3"/>
    <w:rsid w:val="3BA4C9ED"/>
    <w:rsid w:val="3BDED4B1"/>
    <w:rsid w:val="3BE836D9"/>
    <w:rsid w:val="3BF54525"/>
    <w:rsid w:val="3C5B743D"/>
    <w:rsid w:val="3C671409"/>
    <w:rsid w:val="3C827976"/>
    <w:rsid w:val="3CCE5397"/>
    <w:rsid w:val="3CE01572"/>
    <w:rsid w:val="3D9EA3EC"/>
    <w:rsid w:val="3EB42BE3"/>
    <w:rsid w:val="3EE1AD07"/>
    <w:rsid w:val="3F26F53F"/>
    <w:rsid w:val="3F7D82C6"/>
    <w:rsid w:val="3FAFDD7F"/>
    <w:rsid w:val="3FFCB464"/>
    <w:rsid w:val="40640778"/>
    <w:rsid w:val="40B993FB"/>
    <w:rsid w:val="40E7C833"/>
    <w:rsid w:val="41727F00"/>
    <w:rsid w:val="417C0FC8"/>
    <w:rsid w:val="422038A3"/>
    <w:rsid w:val="42209094"/>
    <w:rsid w:val="424A1547"/>
    <w:rsid w:val="428CDA85"/>
    <w:rsid w:val="4346C9E6"/>
    <w:rsid w:val="4388834A"/>
    <w:rsid w:val="43A67DA7"/>
    <w:rsid w:val="43E1A658"/>
    <w:rsid w:val="44271D5A"/>
    <w:rsid w:val="44E0A170"/>
    <w:rsid w:val="46CEC009"/>
    <w:rsid w:val="473CF266"/>
    <w:rsid w:val="478B3242"/>
    <w:rsid w:val="4816D616"/>
    <w:rsid w:val="48380C77"/>
    <w:rsid w:val="485C5CC2"/>
    <w:rsid w:val="48C75600"/>
    <w:rsid w:val="49C37E59"/>
    <w:rsid w:val="49D05525"/>
    <w:rsid w:val="49D92257"/>
    <w:rsid w:val="4A016AE7"/>
    <w:rsid w:val="4A0241AF"/>
    <w:rsid w:val="4A8B06E1"/>
    <w:rsid w:val="4AB21E7A"/>
    <w:rsid w:val="4AF12718"/>
    <w:rsid w:val="4B076A5E"/>
    <w:rsid w:val="4B0B20CA"/>
    <w:rsid w:val="4B13CF3F"/>
    <w:rsid w:val="4B406EBE"/>
    <w:rsid w:val="4BADF541"/>
    <w:rsid w:val="4C53A816"/>
    <w:rsid w:val="4C6CC67B"/>
    <w:rsid w:val="4C825169"/>
    <w:rsid w:val="4CC6F16D"/>
    <w:rsid w:val="4CE9DB35"/>
    <w:rsid w:val="4D4C76C2"/>
    <w:rsid w:val="4DA23C93"/>
    <w:rsid w:val="4DD8B5F7"/>
    <w:rsid w:val="4E0BF1CB"/>
    <w:rsid w:val="4E626679"/>
    <w:rsid w:val="4EAC7C1D"/>
    <w:rsid w:val="4F16DF78"/>
    <w:rsid w:val="4F1AF435"/>
    <w:rsid w:val="4F3AAB0A"/>
    <w:rsid w:val="4F5821B9"/>
    <w:rsid w:val="4F5EC841"/>
    <w:rsid w:val="4F6417DD"/>
    <w:rsid w:val="4F8831D3"/>
    <w:rsid w:val="4FBEB9E0"/>
    <w:rsid w:val="5010B3EF"/>
    <w:rsid w:val="5013055C"/>
    <w:rsid w:val="5050DBF8"/>
    <w:rsid w:val="5059B161"/>
    <w:rsid w:val="5069DDCF"/>
    <w:rsid w:val="50887982"/>
    <w:rsid w:val="50C3A02A"/>
    <w:rsid w:val="50C72DA2"/>
    <w:rsid w:val="51408FE2"/>
    <w:rsid w:val="514F237C"/>
    <w:rsid w:val="5277FA20"/>
    <w:rsid w:val="52BDF635"/>
    <w:rsid w:val="52BE9F40"/>
    <w:rsid w:val="5302EE39"/>
    <w:rsid w:val="531C9736"/>
    <w:rsid w:val="53D374FE"/>
    <w:rsid w:val="53E44DAB"/>
    <w:rsid w:val="5442A384"/>
    <w:rsid w:val="54A545E0"/>
    <w:rsid w:val="54C761F7"/>
    <w:rsid w:val="5592EFBA"/>
    <w:rsid w:val="55C2B5A6"/>
    <w:rsid w:val="55C4B582"/>
    <w:rsid w:val="55F6128B"/>
    <w:rsid w:val="56205F64"/>
    <w:rsid w:val="5683CB02"/>
    <w:rsid w:val="56BD7923"/>
    <w:rsid w:val="56CD07EB"/>
    <w:rsid w:val="56EC022D"/>
    <w:rsid w:val="57C4EB50"/>
    <w:rsid w:val="57CDB735"/>
    <w:rsid w:val="57F9B244"/>
    <w:rsid w:val="58D16EBE"/>
    <w:rsid w:val="59EF1F9B"/>
    <w:rsid w:val="5B16FD52"/>
    <w:rsid w:val="5C15D4CE"/>
    <w:rsid w:val="5C1C0A96"/>
    <w:rsid w:val="5C48EC30"/>
    <w:rsid w:val="5CC13604"/>
    <w:rsid w:val="5CC353BA"/>
    <w:rsid w:val="5CCB5E5E"/>
    <w:rsid w:val="5D244693"/>
    <w:rsid w:val="5D4A57BE"/>
    <w:rsid w:val="5D8F52EF"/>
    <w:rsid w:val="5DAC9832"/>
    <w:rsid w:val="5E69E428"/>
    <w:rsid w:val="5F391A8C"/>
    <w:rsid w:val="5F525E27"/>
    <w:rsid w:val="5F9361B5"/>
    <w:rsid w:val="5F9A08B5"/>
    <w:rsid w:val="5FBCF7B9"/>
    <w:rsid w:val="5FE9EA17"/>
    <w:rsid w:val="601C729E"/>
    <w:rsid w:val="603FDE4A"/>
    <w:rsid w:val="61047B70"/>
    <w:rsid w:val="614EEC2A"/>
    <w:rsid w:val="61E4562B"/>
    <w:rsid w:val="61EC4530"/>
    <w:rsid w:val="62694354"/>
    <w:rsid w:val="627DF655"/>
    <w:rsid w:val="6369E291"/>
    <w:rsid w:val="639F97D5"/>
    <w:rsid w:val="641ED5F9"/>
    <w:rsid w:val="64A1FFF0"/>
    <w:rsid w:val="64DD3729"/>
    <w:rsid w:val="654F2863"/>
    <w:rsid w:val="655511F3"/>
    <w:rsid w:val="656D4C37"/>
    <w:rsid w:val="65B1972B"/>
    <w:rsid w:val="65DC6869"/>
    <w:rsid w:val="6649094D"/>
    <w:rsid w:val="669E5CCE"/>
    <w:rsid w:val="66D11C5F"/>
    <w:rsid w:val="670D1871"/>
    <w:rsid w:val="6733C733"/>
    <w:rsid w:val="67BA9C2E"/>
    <w:rsid w:val="687804F6"/>
    <w:rsid w:val="68C925CF"/>
    <w:rsid w:val="698F1724"/>
    <w:rsid w:val="6995C31E"/>
    <w:rsid w:val="69B17589"/>
    <w:rsid w:val="69CE6A20"/>
    <w:rsid w:val="6A16AD8A"/>
    <w:rsid w:val="6A240CC1"/>
    <w:rsid w:val="6A2A9FFB"/>
    <w:rsid w:val="6A542C44"/>
    <w:rsid w:val="6AC516F0"/>
    <w:rsid w:val="6AD475D9"/>
    <w:rsid w:val="6ADEF312"/>
    <w:rsid w:val="6B7A8F2C"/>
    <w:rsid w:val="6B9AF97D"/>
    <w:rsid w:val="6BF700F7"/>
    <w:rsid w:val="6C2834C5"/>
    <w:rsid w:val="6C57A8C9"/>
    <w:rsid w:val="6CB021AE"/>
    <w:rsid w:val="6CCFE2AC"/>
    <w:rsid w:val="6CD79244"/>
    <w:rsid w:val="6E219924"/>
    <w:rsid w:val="6E2929BC"/>
    <w:rsid w:val="6E49EAEF"/>
    <w:rsid w:val="6E7FDC54"/>
    <w:rsid w:val="6EC03382"/>
    <w:rsid w:val="6ED755AC"/>
    <w:rsid w:val="6F082D07"/>
    <w:rsid w:val="6FA53A9F"/>
    <w:rsid w:val="6FED1D6E"/>
    <w:rsid w:val="70872AA9"/>
    <w:rsid w:val="70CC123A"/>
    <w:rsid w:val="7119098D"/>
    <w:rsid w:val="713C8619"/>
    <w:rsid w:val="7172307F"/>
    <w:rsid w:val="718DAB2E"/>
    <w:rsid w:val="71AFA143"/>
    <w:rsid w:val="71DF5B61"/>
    <w:rsid w:val="723CC383"/>
    <w:rsid w:val="727EAA06"/>
    <w:rsid w:val="729CBCF7"/>
    <w:rsid w:val="72BCFCF1"/>
    <w:rsid w:val="734B28A7"/>
    <w:rsid w:val="73C1ABB2"/>
    <w:rsid w:val="73FF6386"/>
    <w:rsid w:val="7432DDDF"/>
    <w:rsid w:val="743D6F31"/>
    <w:rsid w:val="7446C411"/>
    <w:rsid w:val="744FF6F4"/>
    <w:rsid w:val="75305DEF"/>
    <w:rsid w:val="75E97022"/>
    <w:rsid w:val="76D537BF"/>
    <w:rsid w:val="7734664B"/>
    <w:rsid w:val="7753CEDC"/>
    <w:rsid w:val="77C7AE09"/>
    <w:rsid w:val="77D92EB4"/>
    <w:rsid w:val="77D9CC25"/>
    <w:rsid w:val="78107587"/>
    <w:rsid w:val="787ED24D"/>
    <w:rsid w:val="79048652"/>
    <w:rsid w:val="7909E946"/>
    <w:rsid w:val="7910A7F2"/>
    <w:rsid w:val="7979AB88"/>
    <w:rsid w:val="79DF4D2F"/>
    <w:rsid w:val="7A1A60A0"/>
    <w:rsid w:val="7A2E0143"/>
    <w:rsid w:val="7A63106D"/>
    <w:rsid w:val="7ACB195B"/>
    <w:rsid w:val="7B3677D5"/>
    <w:rsid w:val="7C6D9DB6"/>
    <w:rsid w:val="7CA04E18"/>
    <w:rsid w:val="7D3200FF"/>
    <w:rsid w:val="7D6B410E"/>
    <w:rsid w:val="7D70C7B2"/>
    <w:rsid w:val="7D86B068"/>
    <w:rsid w:val="7DBCCAD8"/>
    <w:rsid w:val="7E67017A"/>
    <w:rsid w:val="7EED9117"/>
    <w:rsid w:val="7F4E5622"/>
    <w:rsid w:val="7F6DED09"/>
    <w:rsid w:val="7FB52143"/>
    <w:rsid w:val="7FCBCD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4CA66"/>
  <w15:chartTrackingRefBased/>
  <w15:docId w15:val="{CFDAC175-9DA9-4FB2-9327-A364920E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8" w:qFormat="1"/>
    <w:lsdException w:name="heading 1" w:uiPriority="0" w:qFormat="1"/>
    <w:lsdException w:name="heading 2" w:uiPriority="0" w:qFormat="1"/>
    <w:lsdException w:name="heading 3" w:uiPriority="0" w:qFormat="1"/>
    <w:lsdException w:name="heading 4" w:uiPriority="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1" w:qFormat="1"/>
    <w:lsdException w:name="annotation text" w:semiHidden="1"/>
    <w:lsdException w:name="index heading" w:semiHidden="1"/>
    <w:lsdException w:name="caption" w:semiHidden="1"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lsdException w:name="table of authorities" w:semiHidden="1"/>
    <w:lsdException w:name="macro" w:semiHidden="1"/>
    <w:lsdException w:name="toa heading" w:semiHidden="1"/>
    <w:lsdException w:name="List" w:semiHidden="1"/>
    <w:lsdException w:name="List Bullet" w:uiPriority="1" w:qFormat="1"/>
    <w:lsdException w:name="List Number" w:uiPriority="1" w:qFormat="1"/>
    <w:lsdException w:name="List 2" w:semiHidden="1"/>
    <w:lsdException w:name="List 3" w:semiHidden="1"/>
    <w:lsdException w:name="List 4" w:semiHidden="1"/>
    <w:lsdException w:name="List 5" w:semiHidden="1"/>
    <w:lsdException w:name="List Bullet 2" w:uiPriority="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uiPriority="1" w:unhideWhenUsed="1"/>
    <w:lsdException w:name="Body Text" w:uiPriority="1" w:qFormat="1"/>
    <w:lsdException w:name="Body Text Indent" w:uiPriority="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7" w:qFormat="1"/>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8"/>
    <w:semiHidden/>
    <w:qFormat/>
    <w:rsid w:val="00A92BBE"/>
    <w:pPr>
      <w:spacing w:after="240" w:line="276" w:lineRule="auto"/>
    </w:pPr>
    <w:rPr>
      <w:sz w:val="24"/>
    </w:rPr>
  </w:style>
  <w:style w:type="paragraph" w:styleId="Heading1">
    <w:name w:val="heading 1"/>
    <w:next w:val="BodyText"/>
    <w:link w:val="Heading1Char"/>
    <w:qFormat/>
    <w:rsid w:val="00D82D2E"/>
    <w:pPr>
      <w:keepNext/>
      <w:keepLines/>
      <w:spacing w:before="480" w:after="480" w:line="240" w:lineRule="auto"/>
      <w:outlineLvl w:val="0"/>
    </w:pPr>
    <w:rPr>
      <w:rFonts w:asciiTheme="majorHAnsi" w:eastAsiaTheme="majorEastAsia" w:hAnsiTheme="majorHAnsi" w:cstheme="majorBidi"/>
      <w:b/>
      <w:color w:val="00513F" w:themeColor="accent1" w:themeShade="BF"/>
      <w:sz w:val="48"/>
      <w:szCs w:val="32"/>
    </w:rPr>
  </w:style>
  <w:style w:type="paragraph" w:styleId="Heading2">
    <w:name w:val="heading 2"/>
    <w:basedOn w:val="BodyText"/>
    <w:next w:val="BodyText"/>
    <w:link w:val="Heading2Char"/>
    <w:qFormat/>
    <w:rsid w:val="00766DFF"/>
    <w:pPr>
      <w:keepNext/>
      <w:keepLines/>
      <w:spacing w:before="480"/>
      <w:outlineLvl w:val="1"/>
    </w:pPr>
    <w:rPr>
      <w:rFonts w:asciiTheme="majorHAnsi" w:eastAsiaTheme="majorEastAsia" w:hAnsiTheme="majorHAnsi" w:cstheme="majorBidi"/>
      <w:b/>
      <w:sz w:val="32"/>
      <w:szCs w:val="26"/>
    </w:rPr>
  </w:style>
  <w:style w:type="paragraph" w:styleId="Heading3">
    <w:name w:val="heading 3"/>
    <w:basedOn w:val="BodyText"/>
    <w:next w:val="BodyText"/>
    <w:link w:val="Heading3Char"/>
    <w:qFormat/>
    <w:rsid w:val="00673CE9"/>
    <w:pPr>
      <w:keepNext/>
      <w:keepLines/>
      <w:spacing w:before="240" w:after="0"/>
      <w:outlineLvl w:val="2"/>
    </w:pPr>
    <w:rPr>
      <w:rFonts w:asciiTheme="majorHAnsi" w:eastAsiaTheme="majorEastAsia" w:hAnsiTheme="majorHAnsi" w:cstheme="majorBidi"/>
      <w:b/>
      <w:szCs w:val="24"/>
    </w:rPr>
  </w:style>
  <w:style w:type="paragraph" w:styleId="Heading4">
    <w:name w:val="heading 4"/>
    <w:basedOn w:val="BodyText"/>
    <w:next w:val="BodyText"/>
    <w:link w:val="Heading4Char"/>
    <w:qFormat/>
    <w:rsid w:val="00673CE9"/>
    <w:pPr>
      <w:keepNext/>
      <w:keepLines/>
      <w:spacing w:before="2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6D69A7"/>
    <w:pPr>
      <w:spacing w:after="240" w:line="240" w:lineRule="auto"/>
    </w:pPr>
    <w:rPr>
      <w:sz w:val="24"/>
    </w:rPr>
  </w:style>
  <w:style w:type="character" w:customStyle="1" w:styleId="BodyTextChar">
    <w:name w:val="Body Text Char"/>
    <w:basedOn w:val="DefaultParagraphFont"/>
    <w:link w:val="BodyText"/>
    <w:uiPriority w:val="1"/>
    <w:rsid w:val="006D69A7"/>
    <w:rPr>
      <w:sz w:val="24"/>
    </w:rPr>
  </w:style>
  <w:style w:type="paragraph" w:styleId="Title">
    <w:name w:val="Title"/>
    <w:basedOn w:val="BodyText"/>
    <w:next w:val="BodyText"/>
    <w:link w:val="TitleChar"/>
    <w:uiPriority w:val="99"/>
    <w:semiHidden/>
    <w:qFormat/>
    <w:rsid w:val="00D82D2E"/>
    <w:pPr>
      <w:spacing w:after="0"/>
      <w:contextualSpacing/>
    </w:pPr>
    <w:rPr>
      <w:rFonts w:asciiTheme="majorHAnsi" w:eastAsiaTheme="majorEastAsia" w:hAnsiTheme="majorHAnsi" w:cstheme="majorBidi"/>
      <w:b/>
      <w:color w:val="214A35"/>
      <w:sz w:val="68"/>
      <w:szCs w:val="56"/>
    </w:rPr>
  </w:style>
  <w:style w:type="character" w:customStyle="1" w:styleId="TitleChar">
    <w:name w:val="Title Char"/>
    <w:basedOn w:val="DefaultParagraphFont"/>
    <w:link w:val="Title"/>
    <w:uiPriority w:val="99"/>
    <w:semiHidden/>
    <w:rsid w:val="00D82D2E"/>
    <w:rPr>
      <w:rFonts w:asciiTheme="majorHAnsi" w:eastAsiaTheme="majorEastAsia" w:hAnsiTheme="majorHAnsi" w:cstheme="majorBidi"/>
      <w:b/>
      <w:color w:val="214A35"/>
      <w:sz w:val="68"/>
      <w:szCs w:val="56"/>
    </w:rPr>
  </w:style>
  <w:style w:type="paragraph" w:styleId="Subtitle">
    <w:name w:val="Subtitle"/>
    <w:basedOn w:val="BodyText"/>
    <w:next w:val="BodyText"/>
    <w:link w:val="SubtitleChar"/>
    <w:uiPriority w:val="99"/>
    <w:semiHidden/>
    <w:qFormat/>
    <w:rsid w:val="00D82D2E"/>
    <w:pPr>
      <w:numPr>
        <w:ilvl w:val="1"/>
      </w:numPr>
      <w:spacing w:after="480"/>
    </w:pPr>
    <w:rPr>
      <w:rFonts w:eastAsiaTheme="minorEastAsia"/>
      <w:b/>
      <w:color w:val="214A35"/>
      <w:sz w:val="48"/>
    </w:rPr>
  </w:style>
  <w:style w:type="character" w:customStyle="1" w:styleId="SubtitleChar">
    <w:name w:val="Subtitle Char"/>
    <w:basedOn w:val="DefaultParagraphFont"/>
    <w:link w:val="Subtitle"/>
    <w:uiPriority w:val="99"/>
    <w:semiHidden/>
    <w:rsid w:val="00D82D2E"/>
    <w:rPr>
      <w:rFonts w:eastAsiaTheme="minorEastAsia"/>
      <w:b/>
      <w:color w:val="214A35"/>
      <w:sz w:val="48"/>
    </w:rPr>
  </w:style>
  <w:style w:type="paragraph" w:styleId="Date">
    <w:name w:val="Date"/>
    <w:basedOn w:val="BodyText"/>
    <w:next w:val="BodyText"/>
    <w:link w:val="DateChar"/>
    <w:uiPriority w:val="99"/>
    <w:semiHidden/>
    <w:rsid w:val="00EA6AF9"/>
    <w:pPr>
      <w:spacing w:after="0"/>
    </w:pPr>
  </w:style>
  <w:style w:type="character" w:customStyle="1" w:styleId="DateChar">
    <w:name w:val="Date Char"/>
    <w:basedOn w:val="DefaultParagraphFont"/>
    <w:link w:val="Date"/>
    <w:uiPriority w:val="99"/>
    <w:semiHidden/>
    <w:rsid w:val="009A28DB"/>
    <w:rPr>
      <w:sz w:val="24"/>
    </w:rPr>
  </w:style>
  <w:style w:type="paragraph" w:styleId="Header">
    <w:name w:val="header"/>
    <w:basedOn w:val="BodyText"/>
    <w:link w:val="HeaderChar"/>
    <w:uiPriority w:val="99"/>
    <w:semiHidden/>
    <w:rsid w:val="006D69A7"/>
    <w:pPr>
      <w:spacing w:after="0"/>
      <w:jc w:val="center"/>
    </w:pPr>
    <w:rPr>
      <w:sz w:val="18"/>
    </w:rPr>
  </w:style>
  <w:style w:type="character" w:customStyle="1" w:styleId="HeaderChar">
    <w:name w:val="Header Char"/>
    <w:basedOn w:val="DefaultParagraphFont"/>
    <w:link w:val="Header"/>
    <w:uiPriority w:val="99"/>
    <w:semiHidden/>
    <w:rsid w:val="009A28DB"/>
    <w:rPr>
      <w:sz w:val="18"/>
    </w:rPr>
  </w:style>
  <w:style w:type="paragraph" w:styleId="Footer">
    <w:name w:val="footer"/>
    <w:basedOn w:val="BodyText"/>
    <w:link w:val="FooterChar"/>
    <w:uiPriority w:val="99"/>
    <w:semiHidden/>
    <w:rsid w:val="006D69A7"/>
    <w:pPr>
      <w:spacing w:after="0"/>
      <w:jc w:val="center"/>
    </w:pPr>
    <w:rPr>
      <w:b/>
    </w:rPr>
  </w:style>
  <w:style w:type="character" w:customStyle="1" w:styleId="FooterChar">
    <w:name w:val="Footer Char"/>
    <w:basedOn w:val="DefaultParagraphFont"/>
    <w:link w:val="Footer"/>
    <w:uiPriority w:val="99"/>
    <w:semiHidden/>
    <w:rsid w:val="009A28DB"/>
    <w:rPr>
      <w:b/>
      <w:sz w:val="24"/>
    </w:rPr>
  </w:style>
  <w:style w:type="character" w:customStyle="1" w:styleId="Heading1Char">
    <w:name w:val="Heading 1 Char"/>
    <w:basedOn w:val="DefaultParagraphFont"/>
    <w:link w:val="Heading1"/>
    <w:uiPriority w:val="9"/>
    <w:rsid w:val="00D82D2E"/>
    <w:rPr>
      <w:rFonts w:asciiTheme="majorHAnsi" w:eastAsiaTheme="majorEastAsia" w:hAnsiTheme="majorHAnsi" w:cstheme="majorBidi"/>
      <w:b/>
      <w:color w:val="00513F" w:themeColor="accent1" w:themeShade="BF"/>
      <w:sz w:val="48"/>
      <w:szCs w:val="32"/>
    </w:rPr>
  </w:style>
  <w:style w:type="paragraph" w:styleId="TOCHeading">
    <w:name w:val="TOC Heading"/>
    <w:basedOn w:val="Heading1"/>
    <w:next w:val="BodyText"/>
    <w:uiPriority w:val="99"/>
    <w:semiHidden/>
    <w:qFormat/>
    <w:rsid w:val="00673CE9"/>
    <w:pPr>
      <w:outlineLvl w:val="9"/>
    </w:pPr>
  </w:style>
  <w:style w:type="paragraph" w:styleId="TOC1">
    <w:name w:val="toc 1"/>
    <w:basedOn w:val="BodyText"/>
    <w:next w:val="BodyText"/>
    <w:uiPriority w:val="99"/>
    <w:semiHidden/>
    <w:rsid w:val="000A320E"/>
    <w:pPr>
      <w:keepNext/>
      <w:keepLines/>
      <w:spacing w:before="240" w:after="40"/>
    </w:pPr>
    <w:rPr>
      <w:b/>
    </w:rPr>
  </w:style>
  <w:style w:type="paragraph" w:styleId="TOC2">
    <w:name w:val="toc 2"/>
    <w:basedOn w:val="BodyText"/>
    <w:next w:val="BodyText"/>
    <w:uiPriority w:val="99"/>
    <w:semiHidden/>
    <w:rsid w:val="00673CE9"/>
    <w:pPr>
      <w:keepLines/>
      <w:spacing w:after="0"/>
      <w:ind w:left="454"/>
    </w:pPr>
  </w:style>
  <w:style w:type="paragraph" w:styleId="TOC3">
    <w:name w:val="toc 3"/>
    <w:basedOn w:val="BodyText"/>
    <w:next w:val="BodyText"/>
    <w:uiPriority w:val="99"/>
    <w:semiHidden/>
    <w:rsid w:val="00673CE9"/>
    <w:pPr>
      <w:spacing w:after="0"/>
      <w:ind w:left="907"/>
    </w:pPr>
  </w:style>
  <w:style w:type="character" w:customStyle="1" w:styleId="Heading2Char">
    <w:name w:val="Heading 2 Char"/>
    <w:basedOn w:val="DefaultParagraphFont"/>
    <w:link w:val="Heading2"/>
    <w:rsid w:val="00766DFF"/>
    <w:rPr>
      <w:rFonts w:asciiTheme="majorHAnsi" w:eastAsiaTheme="majorEastAsia" w:hAnsiTheme="majorHAnsi" w:cstheme="majorBidi"/>
      <w:b/>
      <w:sz w:val="32"/>
      <w:szCs w:val="26"/>
    </w:rPr>
  </w:style>
  <w:style w:type="character" w:customStyle="1" w:styleId="Heading3Char">
    <w:name w:val="Heading 3 Char"/>
    <w:basedOn w:val="DefaultParagraphFont"/>
    <w:link w:val="Heading3"/>
    <w:rsid w:val="00673CE9"/>
    <w:rPr>
      <w:rFonts w:asciiTheme="majorHAnsi" w:eastAsiaTheme="majorEastAsia" w:hAnsiTheme="majorHAnsi" w:cstheme="majorBidi"/>
      <w:b/>
      <w:sz w:val="24"/>
      <w:szCs w:val="24"/>
    </w:rPr>
  </w:style>
  <w:style w:type="character" w:customStyle="1" w:styleId="Heading4Char">
    <w:name w:val="Heading 4 Char"/>
    <w:basedOn w:val="DefaultParagraphFont"/>
    <w:link w:val="Heading4"/>
    <w:rsid w:val="00673CE9"/>
    <w:rPr>
      <w:rFonts w:asciiTheme="majorHAnsi" w:eastAsiaTheme="majorEastAsia" w:hAnsiTheme="majorHAnsi" w:cstheme="majorBidi"/>
      <w:i/>
      <w:iCs/>
      <w:sz w:val="24"/>
    </w:rPr>
  </w:style>
  <w:style w:type="paragraph" w:styleId="ListBullet">
    <w:name w:val="List Bullet"/>
    <w:basedOn w:val="BodyText"/>
    <w:uiPriority w:val="1"/>
    <w:qFormat/>
    <w:rsid w:val="00673CE9"/>
    <w:pPr>
      <w:numPr>
        <w:numId w:val="1"/>
      </w:numPr>
      <w:contextualSpacing/>
    </w:pPr>
  </w:style>
  <w:style w:type="paragraph" w:styleId="ListBullet2">
    <w:name w:val="List Bullet 2"/>
    <w:basedOn w:val="BodyText"/>
    <w:uiPriority w:val="1"/>
    <w:qFormat/>
    <w:rsid w:val="000A320E"/>
    <w:pPr>
      <w:numPr>
        <w:numId w:val="2"/>
      </w:numPr>
      <w:tabs>
        <w:tab w:val="left" w:pos="720"/>
      </w:tabs>
      <w:contextualSpacing/>
    </w:pPr>
  </w:style>
  <w:style w:type="paragraph" w:styleId="BodyTextIndent">
    <w:name w:val="Body Text Indent"/>
    <w:basedOn w:val="BodyText"/>
    <w:link w:val="BodyTextIndentChar"/>
    <w:uiPriority w:val="1"/>
    <w:qFormat/>
    <w:rsid w:val="00120891"/>
    <w:pPr>
      <w:ind w:left="357"/>
    </w:pPr>
  </w:style>
  <w:style w:type="character" w:customStyle="1" w:styleId="BodyTextIndentChar">
    <w:name w:val="Body Text Indent Char"/>
    <w:basedOn w:val="DefaultParagraphFont"/>
    <w:link w:val="BodyTextIndent"/>
    <w:uiPriority w:val="1"/>
    <w:rsid w:val="00120891"/>
    <w:rPr>
      <w:sz w:val="24"/>
    </w:rPr>
  </w:style>
  <w:style w:type="paragraph" w:styleId="ListNumber">
    <w:name w:val="List Number"/>
    <w:basedOn w:val="BodyText"/>
    <w:uiPriority w:val="1"/>
    <w:qFormat/>
    <w:rsid w:val="00120891"/>
    <w:pPr>
      <w:numPr>
        <w:numId w:val="3"/>
      </w:numPr>
      <w:ind w:left="357" w:hanging="357"/>
    </w:pPr>
  </w:style>
  <w:style w:type="paragraph" w:customStyle="1" w:styleId="EmphasisHeading">
    <w:name w:val="Emphasis Heading"/>
    <w:basedOn w:val="BodyText"/>
    <w:uiPriority w:val="1"/>
    <w:qFormat/>
    <w:rsid w:val="00211B1E"/>
    <w:pPr>
      <w:keepNext/>
      <w:keepLines/>
      <w:pBdr>
        <w:top w:val="single" w:sz="48" w:space="12" w:color="EEF3DA"/>
        <w:left w:val="single" w:sz="48" w:space="12" w:color="EEF3DA"/>
        <w:bottom w:val="single" w:sz="48" w:space="12" w:color="EEF3DA"/>
        <w:right w:val="single" w:sz="48" w:space="12" w:color="EEF3DA"/>
      </w:pBdr>
      <w:shd w:val="clear" w:color="auto" w:fill="EEF3DA"/>
      <w:ind w:left="340" w:right="340"/>
    </w:pPr>
    <w:rPr>
      <w:b/>
    </w:rPr>
  </w:style>
  <w:style w:type="paragraph" w:customStyle="1" w:styleId="EmphasisText">
    <w:name w:val="Emphasis Text"/>
    <w:basedOn w:val="EmphasisHeading"/>
    <w:uiPriority w:val="1"/>
    <w:qFormat/>
    <w:rsid w:val="00211B1E"/>
    <w:pPr>
      <w:keepNext w:val="0"/>
    </w:pPr>
    <w:rPr>
      <w:b w:val="0"/>
    </w:rPr>
  </w:style>
  <w:style w:type="paragraph" w:customStyle="1" w:styleId="TableText">
    <w:name w:val="Table Text"/>
    <w:basedOn w:val="BodyText"/>
    <w:uiPriority w:val="2"/>
    <w:qFormat/>
    <w:rsid w:val="00CA55ED"/>
    <w:pPr>
      <w:spacing w:after="0"/>
    </w:pPr>
  </w:style>
  <w:style w:type="character" w:styleId="Hyperlink">
    <w:name w:val="Hyperlink"/>
    <w:basedOn w:val="DefaultParagraphFont"/>
    <w:uiPriority w:val="7"/>
    <w:qFormat/>
    <w:rsid w:val="00C15D09"/>
    <w:rPr>
      <w:color w:val="006D55" w:themeColor="accent1"/>
      <w:u w:val="dotted" w:color="006D55" w:themeColor="accent1"/>
    </w:rPr>
  </w:style>
  <w:style w:type="table" w:styleId="TableGrid">
    <w:name w:val="Table Grid"/>
    <w:aliases w:val="LAA table for text - green"/>
    <w:basedOn w:val="TableNormal"/>
    <w:uiPriority w:val="39"/>
    <w:rsid w:val="00CA4174"/>
    <w:pPr>
      <w:spacing w:after="0" w:line="240" w:lineRule="auto"/>
    </w:pPr>
    <w:rPr>
      <w:sz w:val="24"/>
    </w:rPr>
    <w:tblPr>
      <w:tblBorders>
        <w:top w:val="single" w:sz="8" w:space="0" w:color="006D55" w:themeColor="accent1"/>
        <w:left w:val="single" w:sz="8" w:space="0" w:color="006D55" w:themeColor="accent1"/>
        <w:bottom w:val="single" w:sz="8" w:space="0" w:color="006D55" w:themeColor="accent1"/>
        <w:right w:val="single" w:sz="8" w:space="0" w:color="006D55" w:themeColor="accent1"/>
        <w:insideH w:val="single" w:sz="8" w:space="0" w:color="006D55" w:themeColor="accent1"/>
        <w:insideV w:val="single" w:sz="8" w:space="0" w:color="006D55" w:themeColor="accent1"/>
      </w:tblBorders>
      <w:tblCellMar>
        <w:top w:w="227" w:type="dxa"/>
        <w:left w:w="227" w:type="dxa"/>
        <w:bottom w:w="227" w:type="dxa"/>
        <w:right w:w="227" w:type="dxa"/>
      </w:tblCellMar>
    </w:tblPr>
    <w:tblStylePr w:type="firstRow">
      <w:rPr>
        <w:b/>
      </w:rPr>
      <w:tblPr/>
      <w:tcPr>
        <w:tcBorders>
          <w:top w:val="single" w:sz="8" w:space="0" w:color="006D55" w:themeColor="accent1"/>
          <w:left w:val="single" w:sz="8" w:space="0" w:color="006D55" w:themeColor="accent1"/>
          <w:bottom w:val="single" w:sz="8" w:space="0" w:color="006D55" w:themeColor="accent1"/>
          <w:right w:val="single" w:sz="8" w:space="0" w:color="006D55" w:themeColor="accent1"/>
          <w:insideH w:val="single" w:sz="8" w:space="0" w:color="006D55" w:themeColor="accent1"/>
          <w:insideV w:val="single" w:sz="8" w:space="0" w:color="006D55" w:themeColor="accent1"/>
          <w:tl2br w:val="nil"/>
          <w:tr2bl w:val="nil"/>
        </w:tcBorders>
        <w:shd w:val="clear" w:color="auto" w:fill="AFCF46"/>
      </w:tcPr>
    </w:tblStylePr>
    <w:tblStylePr w:type="firstCol">
      <w:rPr>
        <w:b/>
      </w:rPr>
    </w:tblStylePr>
  </w:style>
  <w:style w:type="character" w:styleId="UnresolvedMention">
    <w:name w:val="Unresolved Mention"/>
    <w:basedOn w:val="DefaultParagraphFont"/>
    <w:uiPriority w:val="99"/>
    <w:semiHidden/>
    <w:rsid w:val="009A28DB"/>
    <w:rPr>
      <w:color w:val="605E5C"/>
      <w:shd w:val="clear" w:color="auto" w:fill="E1DFDD"/>
    </w:rPr>
  </w:style>
  <w:style w:type="table" w:customStyle="1" w:styleId="LAAtablefornumbers-green">
    <w:name w:val="LAA table for numbers - green"/>
    <w:basedOn w:val="TableGrid"/>
    <w:uiPriority w:val="99"/>
    <w:rsid w:val="009A28DB"/>
    <w:tblPr>
      <w:tblCellMar>
        <w:top w:w="57" w:type="dxa"/>
        <w:left w:w="57" w:type="dxa"/>
        <w:bottom w:w="57" w:type="dxa"/>
        <w:right w:w="57" w:type="dxa"/>
      </w:tblCellMar>
    </w:tblPr>
    <w:tblStylePr w:type="firstRow">
      <w:rPr>
        <w:b/>
      </w:rPr>
      <w:tblPr/>
      <w:tcPr>
        <w:tcBorders>
          <w:top w:val="single" w:sz="8" w:space="0" w:color="006D55" w:themeColor="accent1"/>
          <w:left w:val="single" w:sz="8" w:space="0" w:color="006D55" w:themeColor="accent1"/>
          <w:bottom w:val="single" w:sz="8" w:space="0" w:color="006D55" w:themeColor="accent1"/>
          <w:right w:val="single" w:sz="8" w:space="0" w:color="006D55" w:themeColor="accent1"/>
          <w:insideH w:val="single" w:sz="8" w:space="0" w:color="006D55" w:themeColor="accent1"/>
          <w:insideV w:val="single" w:sz="8" w:space="0" w:color="006D55" w:themeColor="accent1"/>
          <w:tl2br w:val="nil"/>
          <w:tr2bl w:val="nil"/>
        </w:tcBorders>
        <w:shd w:val="clear" w:color="auto" w:fill="AFCF46"/>
      </w:tcPr>
    </w:tblStylePr>
    <w:tblStylePr w:type="firstCol">
      <w:rPr>
        <w:b/>
      </w:rPr>
    </w:tblStylePr>
  </w:style>
  <w:style w:type="paragraph" w:styleId="FootnoteText">
    <w:name w:val="footnote text"/>
    <w:basedOn w:val="BodyText"/>
    <w:link w:val="FootnoteTextChar"/>
    <w:uiPriority w:val="1"/>
    <w:qFormat/>
    <w:rsid w:val="009A28DB"/>
    <w:pPr>
      <w:keepLines/>
      <w:spacing w:after="0"/>
      <w:ind w:left="357" w:hanging="357"/>
    </w:pPr>
    <w:rPr>
      <w:sz w:val="22"/>
      <w:szCs w:val="20"/>
    </w:rPr>
  </w:style>
  <w:style w:type="character" w:customStyle="1" w:styleId="FootnoteTextChar">
    <w:name w:val="Footnote Text Char"/>
    <w:basedOn w:val="DefaultParagraphFont"/>
    <w:link w:val="FootnoteText"/>
    <w:uiPriority w:val="1"/>
    <w:rsid w:val="009A28DB"/>
    <w:rPr>
      <w:szCs w:val="20"/>
    </w:rPr>
  </w:style>
  <w:style w:type="character" w:styleId="FootnoteReference">
    <w:name w:val="footnote reference"/>
    <w:uiPriority w:val="99"/>
    <w:semiHidden/>
    <w:rsid w:val="009A28DB"/>
    <w:rPr>
      <w:vertAlign w:val="superscript"/>
    </w:rPr>
  </w:style>
  <w:style w:type="paragraph" w:styleId="EndnoteText">
    <w:name w:val="endnote text"/>
    <w:basedOn w:val="FootnoteText"/>
    <w:link w:val="EndnoteTextChar"/>
    <w:uiPriority w:val="99"/>
    <w:semiHidden/>
    <w:rsid w:val="009A28DB"/>
    <w:rPr>
      <w:sz w:val="20"/>
    </w:rPr>
  </w:style>
  <w:style w:type="character" w:customStyle="1" w:styleId="EndnoteTextChar">
    <w:name w:val="Endnote Text Char"/>
    <w:basedOn w:val="DefaultParagraphFont"/>
    <w:link w:val="EndnoteText"/>
    <w:uiPriority w:val="99"/>
    <w:semiHidden/>
    <w:rsid w:val="009A28DB"/>
    <w:rPr>
      <w:sz w:val="20"/>
      <w:szCs w:val="20"/>
    </w:rPr>
  </w:style>
  <w:style w:type="character" w:styleId="EndnoteReference">
    <w:name w:val="endnote reference"/>
    <w:uiPriority w:val="99"/>
    <w:semiHidden/>
    <w:rsid w:val="009A28DB"/>
    <w:rPr>
      <w:vertAlign w:val="superscript"/>
    </w:rPr>
  </w:style>
  <w:style w:type="character" w:styleId="FollowedHyperlink">
    <w:name w:val="FollowedHyperlink"/>
    <w:basedOn w:val="Hyperlink"/>
    <w:uiPriority w:val="99"/>
    <w:semiHidden/>
    <w:rsid w:val="00C15D09"/>
    <w:rPr>
      <w:color w:val="006D55" w:themeColor="accent1"/>
      <w:u w:val="dotted" w:color="006D55" w:themeColor="accent1"/>
    </w:rPr>
  </w:style>
  <w:style w:type="paragraph" w:styleId="ListParagraph">
    <w:name w:val="List Paragraph"/>
    <w:basedOn w:val="Normal"/>
    <w:uiPriority w:val="34"/>
    <w:qFormat/>
    <w:rsid w:val="00962710"/>
    <w:pPr>
      <w:spacing w:after="160" w:line="259" w:lineRule="auto"/>
      <w:ind w:left="720"/>
      <w:contextualSpacing/>
    </w:pPr>
    <w:rPr>
      <w:sz w:val="22"/>
    </w:rPr>
  </w:style>
  <w:style w:type="paragraph" w:customStyle="1" w:styleId="Default">
    <w:name w:val="Default"/>
    <w:rsid w:val="00962710"/>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F298A"/>
    <w:pPr>
      <w:spacing w:after="0" w:line="240" w:lineRule="auto"/>
    </w:pPr>
    <w:rPr>
      <w:sz w:val="24"/>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rsid w:val="00BB679E"/>
    <w:rPr>
      <w:b/>
      <w:bCs/>
    </w:rPr>
  </w:style>
  <w:style w:type="character" w:customStyle="1" w:styleId="CommentSubjectChar">
    <w:name w:val="Comment Subject Char"/>
    <w:basedOn w:val="CommentTextChar"/>
    <w:link w:val="CommentSubject"/>
    <w:uiPriority w:val="99"/>
    <w:semiHidden/>
    <w:rsid w:val="00BB679E"/>
    <w:rPr>
      <w:b/>
      <w:bCs/>
      <w:sz w:val="20"/>
      <w:szCs w:val="20"/>
    </w:rPr>
  </w:style>
  <w:style w:type="character" w:styleId="Mention">
    <w:name w:val="Mention"/>
    <w:basedOn w:val="DefaultParagraphFont"/>
    <w:uiPriority w:val="99"/>
    <w:semiHidden/>
    <w:rsid w:val="00154B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82659">
      <w:bodyDiv w:val="1"/>
      <w:marLeft w:val="0"/>
      <w:marRight w:val="0"/>
      <w:marTop w:val="0"/>
      <w:marBottom w:val="0"/>
      <w:divBdr>
        <w:top w:val="none" w:sz="0" w:space="0" w:color="auto"/>
        <w:left w:val="none" w:sz="0" w:space="0" w:color="auto"/>
        <w:bottom w:val="none" w:sz="0" w:space="0" w:color="auto"/>
        <w:right w:val="none" w:sz="0" w:space="0" w:color="auto"/>
      </w:divBdr>
    </w:div>
    <w:div w:id="565997509">
      <w:bodyDiv w:val="1"/>
      <w:marLeft w:val="0"/>
      <w:marRight w:val="0"/>
      <w:marTop w:val="0"/>
      <w:marBottom w:val="0"/>
      <w:divBdr>
        <w:top w:val="none" w:sz="0" w:space="0" w:color="auto"/>
        <w:left w:val="none" w:sz="0" w:space="0" w:color="auto"/>
        <w:bottom w:val="none" w:sz="0" w:space="0" w:color="auto"/>
        <w:right w:val="none" w:sz="0" w:space="0" w:color="auto"/>
      </w:divBdr>
    </w:div>
    <w:div w:id="701250331">
      <w:bodyDiv w:val="1"/>
      <w:marLeft w:val="0"/>
      <w:marRight w:val="0"/>
      <w:marTop w:val="0"/>
      <w:marBottom w:val="0"/>
      <w:divBdr>
        <w:top w:val="none" w:sz="0" w:space="0" w:color="auto"/>
        <w:left w:val="none" w:sz="0" w:space="0" w:color="auto"/>
        <w:bottom w:val="none" w:sz="0" w:space="0" w:color="auto"/>
        <w:right w:val="none" w:sz="0" w:space="0" w:color="auto"/>
      </w:divBdr>
    </w:div>
    <w:div w:id="878203620">
      <w:bodyDiv w:val="1"/>
      <w:marLeft w:val="0"/>
      <w:marRight w:val="0"/>
      <w:marTop w:val="0"/>
      <w:marBottom w:val="0"/>
      <w:divBdr>
        <w:top w:val="none" w:sz="0" w:space="0" w:color="auto"/>
        <w:left w:val="none" w:sz="0" w:space="0" w:color="auto"/>
        <w:bottom w:val="none" w:sz="0" w:space="0" w:color="auto"/>
        <w:right w:val="none" w:sz="0" w:space="0" w:color="auto"/>
      </w:divBdr>
    </w:div>
    <w:div w:id="1137912436">
      <w:bodyDiv w:val="1"/>
      <w:marLeft w:val="0"/>
      <w:marRight w:val="0"/>
      <w:marTop w:val="0"/>
      <w:marBottom w:val="0"/>
      <w:divBdr>
        <w:top w:val="none" w:sz="0" w:space="0" w:color="auto"/>
        <w:left w:val="none" w:sz="0" w:space="0" w:color="auto"/>
        <w:bottom w:val="none" w:sz="0" w:space="0" w:color="auto"/>
        <w:right w:val="none" w:sz="0" w:space="0" w:color="auto"/>
      </w:divBdr>
    </w:div>
    <w:div w:id="1189878926">
      <w:bodyDiv w:val="1"/>
      <w:marLeft w:val="0"/>
      <w:marRight w:val="0"/>
      <w:marTop w:val="0"/>
      <w:marBottom w:val="0"/>
      <w:divBdr>
        <w:top w:val="none" w:sz="0" w:space="0" w:color="auto"/>
        <w:left w:val="none" w:sz="0" w:space="0" w:color="auto"/>
        <w:bottom w:val="none" w:sz="0" w:space="0" w:color="auto"/>
        <w:right w:val="none" w:sz="0" w:space="0" w:color="auto"/>
      </w:divBdr>
    </w:div>
    <w:div w:id="1548370983">
      <w:bodyDiv w:val="1"/>
      <w:marLeft w:val="0"/>
      <w:marRight w:val="0"/>
      <w:marTop w:val="0"/>
      <w:marBottom w:val="0"/>
      <w:divBdr>
        <w:top w:val="none" w:sz="0" w:space="0" w:color="auto"/>
        <w:left w:val="none" w:sz="0" w:space="0" w:color="auto"/>
        <w:bottom w:val="none" w:sz="0" w:space="0" w:color="auto"/>
        <w:right w:val="none" w:sz="0" w:space="0" w:color="auto"/>
      </w:divBdr>
    </w:div>
    <w:div w:id="185961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w3@justice.gov.uk" TargetMode="External"/><Relationship Id="rId18" Type="http://schemas.openxmlformats.org/officeDocument/2006/relationships/hyperlink" Target="https://www.gov.uk/government/uploads/system/uploads/attachment_data/file/438774/escape-cases-guidance.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cw3@justice.gov.uk" TargetMode="External"/><Relationship Id="rId17" Type="http://schemas.openxmlformats.org/officeDocument/2006/relationships/hyperlink" Target="http://www.legislation.gov.uk/uksi/2013/422/schedule/5/ma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si/2013/422/conten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assets.publishing.service.gov.uk/media/6949746372075a1d4a508a12/2024_Immigration_and_Asylum_Category_Specific_Rules_22_December_2025.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cw3-extension-of-upper-cost-limit-in-controlled-work-cases"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jq65q\Downloads\laa-word-template-green%20(2).dotx" TargetMode="External"/></Relationships>
</file>

<file path=word/theme/theme1.xml><?xml version="1.0" encoding="utf-8"?>
<a:theme xmlns:a="http://schemas.openxmlformats.org/drawingml/2006/main" name="Office Theme">
  <a:themeElements>
    <a:clrScheme name="Legal Aid Agency - green">
      <a:dk1>
        <a:sysClr val="windowText" lastClr="000000"/>
      </a:dk1>
      <a:lt1>
        <a:sysClr val="window" lastClr="FFFFFF"/>
      </a:lt1>
      <a:dk2>
        <a:srgbClr val="000000"/>
      </a:dk2>
      <a:lt2>
        <a:srgbClr val="FFFFFF"/>
      </a:lt2>
      <a:accent1>
        <a:srgbClr val="006D55"/>
      </a:accent1>
      <a:accent2>
        <a:srgbClr val="565B96"/>
      </a:accent2>
      <a:accent3>
        <a:srgbClr val="EE7127"/>
      </a:accent3>
      <a:accent4>
        <a:srgbClr val="A0A5B4"/>
      </a:accent4>
      <a:accent5>
        <a:srgbClr val="00A5A1"/>
      </a:accent5>
      <a:accent6>
        <a:srgbClr val="D0333A"/>
      </a:accent6>
      <a:hlink>
        <a:srgbClr val="565B96"/>
      </a:hlink>
      <a:folHlink>
        <a:srgbClr val="565B96"/>
      </a:folHlink>
    </a:clrScheme>
    <a:fontScheme name="Legal Aid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286FD82001DB47A9D8993500F587FA" ma:contentTypeVersion="20" ma:contentTypeDescription="Create a new document." ma:contentTypeScope="" ma:versionID="9e04e5d6af0cd449caae70e5256ca75c">
  <xsd:schema xmlns:xsd="http://www.w3.org/2001/XMLSchema" xmlns:xs="http://www.w3.org/2001/XMLSchema" xmlns:p="http://schemas.microsoft.com/office/2006/metadata/properties" xmlns:ns2="20aff1f9-9da8-4d1d-b303-31e42bde3bc9" xmlns:ns3="d7a46744-1f95-421d-b878-d0a1fa3e6555" targetNamespace="http://schemas.microsoft.com/office/2006/metadata/properties" ma:root="true" ma:fieldsID="e70b42b443166e8691e0b675b226ffbe" ns2:_="" ns3:_="">
    <xsd:import namespace="20aff1f9-9da8-4d1d-b303-31e42bde3bc9"/>
    <xsd:import namespace="d7a46744-1f95-421d-b878-d0a1fa3e65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DateofEmail" minOccurs="0"/>
                <xsd:element ref="ns2:MediaServiceObjectDetectorVersions" minOccurs="0"/>
                <xsd:element ref="ns2:MediaServiceSearchProperties" minOccurs="0"/>
                <xsd:element ref="ns2:CivilorCr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ff1f9-9da8-4d1d-b303-31e42bde3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DateofEmail" ma:index="23" nillable="true" ma:displayName="Date of Email" ma:format="DateTime" ma:internalName="DateofEmail">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ivilorCrime" ma:index="26" nillable="true" ma:displayName="Civil or Crime" ma:format="Dropdown" ma:internalName="CivilorCrime">
      <xsd:simpleType>
        <xsd:restriction base="dms:Text">
          <xsd:maxLength value="255"/>
        </xsd:restrictio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46744-1f95-421d-b878-d0a1fa3e65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22bba5-53c1-40ac-9d50-b8157b69c575}" ma:internalName="TaxCatchAll" ma:showField="CatchAllData" ma:web="d7a46744-1f95-421d-b878-d0a1fa3e6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ivilorCrime xmlns="20aff1f9-9da8-4d1d-b303-31e42bde3bc9" xsi:nil="true"/>
    <DateofEmail xmlns="20aff1f9-9da8-4d1d-b303-31e42bde3bc9" xsi:nil="true"/>
    <TaxCatchAll xmlns="d7a46744-1f95-421d-b878-d0a1fa3e6555" xsi:nil="true"/>
    <lcf76f155ced4ddcb4097134ff3c332f xmlns="20aff1f9-9da8-4d1d-b303-31e42bde3bc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72B547-A435-4FFB-9517-BAE924023FF2}">
  <ds:schemaRefs>
    <ds:schemaRef ds:uri="http://schemas.openxmlformats.org/officeDocument/2006/bibliography"/>
  </ds:schemaRefs>
</ds:datastoreItem>
</file>

<file path=customXml/itemProps2.xml><?xml version="1.0" encoding="utf-8"?>
<ds:datastoreItem xmlns:ds="http://schemas.openxmlformats.org/officeDocument/2006/customXml" ds:itemID="{554F3D36-57F2-4D50-BA72-B7C8811B1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ff1f9-9da8-4d1d-b303-31e42bde3bc9"/>
    <ds:schemaRef ds:uri="d7a46744-1f95-421d-b878-d0a1fa3e6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01B7B2-0248-4800-8A77-36FB4239A859}">
  <ds:schemaRefs>
    <ds:schemaRef ds:uri="http://schemas.microsoft.com/office/2006/metadata/properties"/>
    <ds:schemaRef ds:uri="http://schemas.microsoft.com/office/infopath/2007/PartnerControls"/>
    <ds:schemaRef ds:uri="20aff1f9-9da8-4d1d-b303-31e42bde3bc9"/>
    <ds:schemaRef ds:uri="d7a46744-1f95-421d-b878-d0a1fa3e6555"/>
  </ds:schemaRefs>
</ds:datastoreItem>
</file>

<file path=customXml/itemProps4.xml><?xml version="1.0" encoding="utf-8"?>
<ds:datastoreItem xmlns:ds="http://schemas.openxmlformats.org/officeDocument/2006/customXml" ds:itemID="{1EDC976E-606E-4C61-A676-EDB78642F8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laa-word-template-green (2)</Template>
  <TotalTime>0</TotalTime>
  <Pages>11</Pages>
  <Words>2928</Words>
  <Characters>16690</Characters>
  <Application>Microsoft Office Word</Application>
  <DocSecurity>0</DocSecurity>
  <Lines>139</Lines>
  <Paragraphs>39</Paragraphs>
  <ScaleCrop>false</ScaleCrop>
  <Manager>Legal Aid Agency</Manager>
  <Company>Legal Aid Agency</Company>
  <LinksUpToDate>false</LinksUpToDate>
  <CharactersWithSpaces>19579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 or description]</dc:subject>
  <dc:creator>Goddard, Tammy | She/Hers</dc:creator>
  <cp:keywords>[Key words separated by commas]</cp:keywords>
  <dc:description/>
  <cp:lastModifiedBy>Sharp, Catherine | She/Hers</cp:lastModifiedBy>
  <cp:revision>54</cp:revision>
  <dcterms:created xsi:type="dcterms:W3CDTF">2026-01-27T11:56:00Z</dcterms:created>
  <dcterms:modified xsi:type="dcterms:W3CDTF">2026-03-09T14:04:00Z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66f42e59,332c5b0f,9a8291b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460bb5a2,5d0c4e84,5dcaf0cf</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eed1d2f5-2977-4ce1-839d-57a403841e1f_Enabled">
    <vt:lpwstr>true</vt:lpwstr>
  </property>
  <property fmtid="{D5CDD505-2E9C-101B-9397-08002B2CF9AE}" pid="9" name="MSIP_Label_eed1d2f5-2977-4ce1-839d-57a403841e1f_SetDate">
    <vt:lpwstr>2025-06-03T14:45:09Z</vt:lpwstr>
  </property>
  <property fmtid="{D5CDD505-2E9C-101B-9397-08002B2CF9AE}" pid="10" name="MSIP_Label_eed1d2f5-2977-4ce1-839d-57a403841e1f_Method">
    <vt:lpwstr>Privileged</vt:lpwstr>
  </property>
  <property fmtid="{D5CDD505-2E9C-101B-9397-08002B2CF9AE}" pid="11" name="MSIP_Label_eed1d2f5-2977-4ce1-839d-57a403841e1f_Name">
    <vt:lpwstr>OFFICIAL</vt:lpwstr>
  </property>
  <property fmtid="{D5CDD505-2E9C-101B-9397-08002B2CF9AE}" pid="12" name="MSIP_Label_eed1d2f5-2977-4ce1-839d-57a403841e1f_SiteId">
    <vt:lpwstr>c6874728-71e6-41fe-a9e1-2e8c36776ad8</vt:lpwstr>
  </property>
  <property fmtid="{D5CDD505-2E9C-101B-9397-08002B2CF9AE}" pid="13" name="MSIP_Label_eed1d2f5-2977-4ce1-839d-57a403841e1f_ActionId">
    <vt:lpwstr>7df92655-af04-4eac-ade5-6b8b3b0fd9ea</vt:lpwstr>
  </property>
  <property fmtid="{D5CDD505-2E9C-101B-9397-08002B2CF9AE}" pid="14" name="MSIP_Label_eed1d2f5-2977-4ce1-839d-57a403841e1f_ContentBits">
    <vt:lpwstr>3</vt:lpwstr>
  </property>
  <property fmtid="{D5CDD505-2E9C-101B-9397-08002B2CF9AE}" pid="15" name="MSIP_Label_eed1d2f5-2977-4ce1-839d-57a403841e1f_Tag">
    <vt:lpwstr>10, 0, 1, 1</vt:lpwstr>
  </property>
  <property fmtid="{D5CDD505-2E9C-101B-9397-08002B2CF9AE}" pid="16" name="ContentTypeId">
    <vt:lpwstr>0x0101003C286FD82001DB47A9D8993500F587FA</vt:lpwstr>
  </property>
  <property fmtid="{D5CDD505-2E9C-101B-9397-08002B2CF9AE}" pid="17" name="MediaServiceImageTags">
    <vt:lpwstr/>
  </property>
  <property fmtid="{D5CDD505-2E9C-101B-9397-08002B2CF9AE}" pid="18" name="docLang">
    <vt:lpwstr>en</vt:lpwstr>
  </property>
</Properties>
</file>