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3"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5"/>
        <w:gridCol w:w="2268"/>
        <w:gridCol w:w="2002"/>
        <w:gridCol w:w="833"/>
        <w:gridCol w:w="3256"/>
        <w:gridCol w:w="9"/>
      </w:tblGrid>
      <w:tr w:rsidR="00B50649" w14:paraId="544C7B44" w14:textId="77777777" w:rsidTr="00894819">
        <w:trPr>
          <w:trHeight w:hRule="exact" w:val="2420"/>
        </w:trPr>
        <w:tc>
          <w:tcPr>
            <w:tcW w:w="6255" w:type="dxa"/>
            <w:gridSpan w:val="3"/>
            <w:tcBorders>
              <w:top w:val="single" w:sz="4" w:space="0" w:color="auto"/>
              <w:bottom w:val="single" w:sz="4" w:space="0" w:color="auto"/>
            </w:tcBorders>
          </w:tcPr>
          <w:p w14:paraId="072B3CC8" w14:textId="77777777" w:rsidR="007F0ED9" w:rsidRPr="00102870" w:rsidRDefault="00495404" w:rsidP="00A90857">
            <w:pPr>
              <w:pStyle w:val="IATitle"/>
            </w:pPr>
            <w:r w:rsidRPr="00A90857">
              <w:rPr>
                <w:b/>
              </w:rPr>
              <w:t>Title</w:t>
            </w:r>
            <w:r w:rsidR="00B00194" w:rsidRPr="00A90857">
              <w:rPr>
                <w:b/>
              </w:rPr>
              <w:t>:</w:t>
            </w:r>
            <w:r w:rsidR="00B00194">
              <w:t xml:space="preserve">    </w:t>
            </w:r>
            <w:bookmarkStart w:id="0" w:name="IATitle"/>
            <w:r w:rsidR="004C1BBB" w:rsidRPr="005F32E7">
              <w:fldChar w:fldCharType="begin">
                <w:ffData>
                  <w:name w:val="IATitle"/>
                  <w:enabled/>
                  <w:calcOnExit w:val="0"/>
                  <w:textInput>
                    <w:maxLength w:val="800"/>
                  </w:textInput>
                </w:ffData>
              </w:fldChar>
            </w:r>
            <w:r w:rsidR="004C1BBB" w:rsidRPr="005F32E7">
              <w:instrText xml:space="preserve"> FORMTEXT </w:instrText>
            </w:r>
            <w:r w:rsidR="004C1BBB" w:rsidRPr="005F32E7">
              <w:fldChar w:fldCharType="separate"/>
            </w:r>
            <w:r w:rsidR="004C1BBB" w:rsidRPr="007E190E">
              <w:rPr>
                <w:rFonts w:eastAsia="Times New Roman"/>
              </w:rPr>
              <w:t> </w:t>
            </w:r>
            <w:r w:rsidR="004C1BBB" w:rsidRPr="007E190E">
              <w:rPr>
                <w:rFonts w:eastAsia="Times New Roman"/>
              </w:rPr>
              <w:t> </w:t>
            </w:r>
            <w:r w:rsidR="004C1BBB" w:rsidRPr="007E190E">
              <w:rPr>
                <w:rFonts w:eastAsia="Times New Roman"/>
              </w:rPr>
              <w:t> </w:t>
            </w:r>
            <w:r w:rsidR="004C1BBB" w:rsidRPr="007E190E">
              <w:rPr>
                <w:rFonts w:eastAsia="Times New Roman"/>
              </w:rPr>
              <w:t> </w:t>
            </w:r>
            <w:r w:rsidR="004C1BBB" w:rsidRPr="007E190E">
              <w:rPr>
                <w:rFonts w:eastAsia="Times New Roman"/>
              </w:rPr>
              <w:t> </w:t>
            </w:r>
            <w:r w:rsidR="004C1BBB" w:rsidRPr="005F32E7">
              <w:fldChar w:fldCharType="end"/>
            </w:r>
            <w:bookmarkEnd w:id="0"/>
            <w:r w:rsidR="00894819">
              <w:t>Devolved Tribunals in Wales</w:t>
            </w:r>
          </w:p>
          <w:p w14:paraId="20C776EF" w14:textId="77777777" w:rsidR="00E14792" w:rsidRPr="00B00194" w:rsidRDefault="00D50283" w:rsidP="00B00194">
            <w:pPr>
              <w:pStyle w:val="IAHeadTitle"/>
              <w:ind w:left="113"/>
              <w:rPr>
                <w:rStyle w:val="IANoChar"/>
                <w:b/>
                <w:color w:val="auto"/>
                <w:sz w:val="20"/>
                <w:szCs w:val="20"/>
                <w:lang w:eastAsia="zh-CN"/>
              </w:rPr>
            </w:pPr>
            <w:r w:rsidRPr="007E190E">
              <w:rPr>
                <w:sz w:val="20"/>
                <w:szCs w:val="20"/>
              </w:rPr>
              <w:t>IA No:</w:t>
            </w:r>
            <w:r w:rsidR="00B00194">
              <w:rPr>
                <w:sz w:val="20"/>
                <w:szCs w:val="20"/>
              </w:rPr>
              <w:t xml:space="preserve"> </w:t>
            </w:r>
            <w:r w:rsidRPr="007E190E">
              <w:rPr>
                <w:sz w:val="20"/>
                <w:szCs w:val="20"/>
              </w:rPr>
              <w:t xml:space="preserve"> </w:t>
            </w:r>
            <w:bookmarkStart w:id="1" w:name="IANo"/>
            <w:r w:rsidR="00290335" w:rsidRPr="007E190E">
              <w:rPr>
                <w:rStyle w:val="IANoChar"/>
                <w:rFonts w:cs="Arial"/>
                <w:sz w:val="20"/>
                <w:szCs w:val="20"/>
              </w:rPr>
              <w:fldChar w:fldCharType="begin">
                <w:ffData>
                  <w:name w:val="IANo"/>
                  <w:enabled/>
                  <w:calcOnExit w:val="0"/>
                  <w:textInput>
                    <w:maxLength w:val="20"/>
                  </w:textInput>
                </w:ffData>
              </w:fldChar>
            </w:r>
            <w:r w:rsidR="00290335" w:rsidRPr="007E190E">
              <w:rPr>
                <w:rStyle w:val="IANoChar"/>
                <w:rFonts w:cs="Arial"/>
                <w:sz w:val="20"/>
                <w:szCs w:val="20"/>
              </w:rPr>
              <w:instrText xml:space="preserve"> FORMTEXT </w:instrText>
            </w:r>
            <w:r w:rsidR="00290335" w:rsidRPr="007E190E">
              <w:rPr>
                <w:rStyle w:val="IANoChar"/>
                <w:rFonts w:cs="Arial"/>
                <w:sz w:val="20"/>
                <w:szCs w:val="20"/>
              </w:rPr>
            </w:r>
            <w:r w:rsidR="00290335" w:rsidRPr="007E190E">
              <w:rPr>
                <w:rStyle w:val="IANoChar"/>
                <w:rFonts w:cs="Arial"/>
                <w:sz w:val="20"/>
                <w:szCs w:val="20"/>
              </w:rPr>
              <w:fldChar w:fldCharType="separate"/>
            </w:r>
            <w:r w:rsidR="00290335" w:rsidRPr="007E190E">
              <w:rPr>
                <w:rStyle w:val="IANoChar"/>
                <w:rFonts w:cs="Arial"/>
                <w:sz w:val="20"/>
                <w:szCs w:val="20"/>
              </w:rPr>
              <w:t> </w:t>
            </w:r>
            <w:r w:rsidR="00290335" w:rsidRPr="007E190E">
              <w:rPr>
                <w:rStyle w:val="IANoChar"/>
                <w:rFonts w:cs="Arial"/>
                <w:sz w:val="20"/>
                <w:szCs w:val="20"/>
              </w:rPr>
              <w:t> </w:t>
            </w:r>
            <w:r w:rsidR="00290335" w:rsidRPr="007E190E">
              <w:rPr>
                <w:rStyle w:val="IANoChar"/>
                <w:rFonts w:cs="Arial"/>
                <w:sz w:val="20"/>
                <w:szCs w:val="20"/>
              </w:rPr>
              <w:t> </w:t>
            </w:r>
            <w:r w:rsidR="00290335" w:rsidRPr="007E190E">
              <w:rPr>
                <w:rStyle w:val="IANoChar"/>
                <w:rFonts w:cs="Arial"/>
                <w:sz w:val="20"/>
                <w:szCs w:val="20"/>
              </w:rPr>
              <w:t> </w:t>
            </w:r>
            <w:r w:rsidR="00290335" w:rsidRPr="007E190E">
              <w:rPr>
                <w:rStyle w:val="IANoChar"/>
                <w:rFonts w:cs="Arial"/>
                <w:sz w:val="20"/>
                <w:szCs w:val="20"/>
              </w:rPr>
              <w:t> </w:t>
            </w:r>
            <w:r w:rsidR="00290335" w:rsidRPr="007E190E">
              <w:rPr>
                <w:rStyle w:val="IANoChar"/>
                <w:rFonts w:cs="Arial"/>
                <w:sz w:val="20"/>
                <w:szCs w:val="20"/>
              </w:rPr>
              <w:fldChar w:fldCharType="end"/>
            </w:r>
            <w:bookmarkEnd w:id="1"/>
            <w:r w:rsidR="00894819">
              <w:rPr>
                <w:rStyle w:val="IANoChar"/>
                <w:rFonts w:cs="Arial"/>
                <w:sz w:val="20"/>
                <w:szCs w:val="20"/>
              </w:rPr>
              <w:t>LAWCOM0070</w:t>
            </w:r>
          </w:p>
          <w:p w14:paraId="1F2A8418" w14:textId="77777777" w:rsidR="008C3539" w:rsidRDefault="008C3539" w:rsidP="008C3539">
            <w:pPr>
              <w:pStyle w:val="IAHeadLabel"/>
              <w:ind w:left="113"/>
            </w:pPr>
            <w:r>
              <w:t xml:space="preserve">RPC Reference No:   </w:t>
            </w:r>
            <w:bookmarkStart w:id="2" w:name="IARPCReference"/>
            <w:r w:rsidR="00C60191">
              <w:fldChar w:fldCharType="begin">
                <w:ffData>
                  <w:name w:val="IARPCReference"/>
                  <w:enabled/>
                  <w:calcOnExit w:val="0"/>
                  <w:textInput/>
                </w:ffData>
              </w:fldChar>
            </w:r>
            <w:r w:rsidR="00C60191">
              <w:instrText xml:space="preserve"> FORMTEXT </w:instrText>
            </w:r>
            <w:r w:rsidR="00C60191">
              <w:fldChar w:fldCharType="separate"/>
            </w:r>
            <w:r w:rsidR="00C60191">
              <w:rPr>
                <w:noProof/>
              </w:rPr>
              <w:t> </w:t>
            </w:r>
            <w:r w:rsidR="00C60191">
              <w:rPr>
                <w:noProof/>
              </w:rPr>
              <w:t> </w:t>
            </w:r>
            <w:r w:rsidR="00C60191">
              <w:rPr>
                <w:noProof/>
              </w:rPr>
              <w:t> </w:t>
            </w:r>
            <w:r w:rsidR="00C60191">
              <w:rPr>
                <w:noProof/>
              </w:rPr>
              <w:t> </w:t>
            </w:r>
            <w:r w:rsidR="00C60191">
              <w:rPr>
                <w:noProof/>
              </w:rPr>
              <w:t> </w:t>
            </w:r>
            <w:r w:rsidR="00C60191">
              <w:fldChar w:fldCharType="end"/>
            </w:r>
            <w:bookmarkEnd w:id="2"/>
          </w:p>
          <w:p w14:paraId="3D1A5B52" w14:textId="77777777" w:rsidR="001D5EC9" w:rsidRPr="005F32E7" w:rsidRDefault="00495404" w:rsidP="00A90857">
            <w:pPr>
              <w:pStyle w:val="IALeadDept"/>
            </w:pPr>
            <w:r w:rsidRPr="00A90857">
              <w:rPr>
                <w:b/>
              </w:rPr>
              <w:t>Lead department or agency:</w:t>
            </w:r>
            <w:r w:rsidR="00B00194">
              <w:t xml:space="preserve">   </w:t>
            </w:r>
            <w:r w:rsidR="00894819">
              <w:t>Law Commission</w:t>
            </w:r>
            <w:r w:rsidR="00B00194">
              <w:t xml:space="preserve">      </w:t>
            </w:r>
            <w:bookmarkStart w:id="3" w:name="IALeadDept"/>
            <w:r w:rsidR="00290335" w:rsidRPr="005F32E7">
              <w:fldChar w:fldCharType="begin">
                <w:ffData>
                  <w:name w:val="IALeadDept"/>
                  <w:enabled/>
                  <w:calcOnExit w:val="0"/>
                  <w:textInput>
                    <w:maxLength w:val="100"/>
                  </w:textInput>
                </w:ffData>
              </w:fldChar>
            </w:r>
            <w:r w:rsidR="00290335" w:rsidRPr="005F32E7">
              <w:instrText xml:space="preserve"> FORMTEXT </w:instrText>
            </w:r>
            <w:r w:rsidR="00290335" w:rsidRPr="005F32E7">
              <w:fldChar w:fldCharType="separate"/>
            </w:r>
            <w:r w:rsidR="00290335" w:rsidRPr="005F32E7">
              <w:t> </w:t>
            </w:r>
            <w:r w:rsidR="00B00194">
              <w:t xml:space="preserve">   </w:t>
            </w:r>
            <w:r w:rsidR="00290335" w:rsidRPr="005F32E7">
              <w:t> </w:t>
            </w:r>
            <w:r w:rsidR="00290335" w:rsidRPr="005F32E7">
              <w:t> </w:t>
            </w:r>
            <w:r w:rsidR="00290335" w:rsidRPr="005F32E7">
              <w:t> </w:t>
            </w:r>
            <w:r w:rsidR="00290335" w:rsidRPr="005F32E7">
              <w:fldChar w:fldCharType="end"/>
            </w:r>
            <w:bookmarkEnd w:id="3"/>
          </w:p>
          <w:p w14:paraId="372E2105" w14:textId="77777777" w:rsidR="00B93466" w:rsidRDefault="00495404" w:rsidP="00B00194">
            <w:pPr>
              <w:pStyle w:val="IATableLabel"/>
              <w:spacing w:after="0"/>
            </w:pPr>
            <w:r w:rsidRPr="003E0510">
              <w:t>Other dep</w:t>
            </w:r>
            <w:r w:rsidRPr="00E217A2">
              <w:t>a</w:t>
            </w:r>
            <w:r w:rsidRPr="003E0510">
              <w:t>rtments or agencies:</w:t>
            </w:r>
            <w:r w:rsidR="00B00194">
              <w:t xml:space="preserve">  </w:t>
            </w:r>
            <w:r w:rsidR="00DF2F4B">
              <w:t xml:space="preserve"> </w:t>
            </w:r>
            <w:r w:rsidR="00894819">
              <w:t>Welsh Government</w:t>
            </w:r>
          </w:p>
        </w:tc>
        <w:tc>
          <w:tcPr>
            <w:tcW w:w="4098" w:type="dxa"/>
            <w:gridSpan w:val="3"/>
            <w:tcBorders>
              <w:top w:val="single" w:sz="4" w:space="0" w:color="auto"/>
              <w:bottom w:val="single" w:sz="4" w:space="0" w:color="auto"/>
            </w:tcBorders>
          </w:tcPr>
          <w:tbl>
            <w:tblPr>
              <w:tblW w:w="4088" w:type="dxa"/>
              <w:tblInd w:w="5" w:type="dxa"/>
              <w:tblBorders>
                <w:insideH w:val="single" w:sz="4" w:space="0" w:color="333333"/>
                <w:insideV w:val="single" w:sz="4" w:space="0" w:color="333333"/>
              </w:tblBorders>
              <w:tblLayout w:type="fixed"/>
              <w:tblCellMar>
                <w:left w:w="0" w:type="dxa"/>
                <w:right w:w="0" w:type="dxa"/>
              </w:tblCellMar>
              <w:tblLook w:val="01E0" w:firstRow="1" w:lastRow="1" w:firstColumn="1" w:lastColumn="1" w:noHBand="0" w:noVBand="0"/>
            </w:tblPr>
            <w:tblGrid>
              <w:gridCol w:w="4088"/>
            </w:tblGrid>
            <w:tr w:rsidR="00B50649" w:rsidRPr="00383295" w14:paraId="74F6F5FA" w14:textId="77777777" w:rsidTr="007E190E">
              <w:trPr>
                <w:trHeight w:hRule="exact" w:val="539"/>
              </w:trPr>
              <w:tc>
                <w:tcPr>
                  <w:tcW w:w="4088" w:type="dxa"/>
                  <w:tcBorders>
                    <w:bottom w:val="single" w:sz="4" w:space="0" w:color="333333"/>
                  </w:tcBorders>
                  <w:shd w:val="clear" w:color="auto" w:fill="333333"/>
                  <w:vAlign w:val="center"/>
                </w:tcPr>
                <w:p w14:paraId="7FB59A8C" w14:textId="77777777" w:rsidR="00B50649" w:rsidRPr="00383295" w:rsidRDefault="00B50649" w:rsidP="00E90731">
                  <w:pPr>
                    <w:pStyle w:val="Title"/>
                  </w:pPr>
                  <w:r w:rsidRPr="00383295">
                    <w:t>Impact Assessment (IA)</w:t>
                  </w:r>
                </w:p>
              </w:tc>
            </w:tr>
            <w:tr w:rsidR="00B50649" w:rsidRPr="00966271" w14:paraId="6A6A773D" w14:textId="77777777" w:rsidTr="007E190E">
              <w:tc>
                <w:tcPr>
                  <w:tcW w:w="4088" w:type="dxa"/>
                  <w:tcBorders>
                    <w:top w:val="single" w:sz="4" w:space="0" w:color="333333"/>
                    <w:bottom w:val="single" w:sz="4" w:space="0" w:color="333333"/>
                  </w:tcBorders>
                </w:tcPr>
                <w:p w14:paraId="4147613F" w14:textId="4BCDE289" w:rsidR="001F69E9" w:rsidRPr="00631B4C" w:rsidRDefault="00B50649" w:rsidP="00C46EA7">
                  <w:pPr>
                    <w:pStyle w:val="IATableLabel"/>
                  </w:pPr>
                  <w:r w:rsidRPr="00631B4C">
                    <w:t>Date:</w:t>
                  </w:r>
                  <w:r w:rsidR="0071686F">
                    <w:t xml:space="preserve"> </w:t>
                  </w:r>
                  <w:r w:rsidR="00562E19">
                    <w:rPr>
                      <w:rStyle w:val="IADateChar"/>
                      <w:sz w:val="20"/>
                    </w:rPr>
                    <w:t>0</w:t>
                  </w:r>
                  <w:r w:rsidR="00B56A51">
                    <w:rPr>
                      <w:rStyle w:val="IADateChar"/>
                      <w:sz w:val="20"/>
                    </w:rPr>
                    <w:t>8</w:t>
                  </w:r>
                  <w:r w:rsidR="00562E19">
                    <w:rPr>
                      <w:rStyle w:val="IADateChar"/>
                      <w:sz w:val="20"/>
                    </w:rPr>
                    <w:t>/1</w:t>
                  </w:r>
                  <w:r w:rsidR="00B56A51">
                    <w:rPr>
                      <w:rStyle w:val="IADateChar"/>
                      <w:sz w:val="20"/>
                    </w:rPr>
                    <w:t>2</w:t>
                  </w:r>
                  <w:r w:rsidR="00562E19">
                    <w:rPr>
                      <w:rStyle w:val="IADateChar"/>
                      <w:sz w:val="20"/>
                    </w:rPr>
                    <w:t>/2021</w:t>
                  </w:r>
                </w:p>
              </w:tc>
            </w:tr>
            <w:tr w:rsidR="00B50649" w:rsidRPr="00966271" w14:paraId="2AF06FF8" w14:textId="77777777" w:rsidTr="007E190E">
              <w:tc>
                <w:tcPr>
                  <w:tcW w:w="4088" w:type="dxa"/>
                  <w:tcBorders>
                    <w:top w:val="single" w:sz="4" w:space="0" w:color="333333"/>
                    <w:bottom w:val="single" w:sz="4" w:space="0" w:color="333333"/>
                  </w:tcBorders>
                </w:tcPr>
                <w:p w14:paraId="116D58B2" w14:textId="77777777" w:rsidR="00B50649" w:rsidRPr="007F0ED9" w:rsidRDefault="00941D69" w:rsidP="00E90731">
                  <w:pPr>
                    <w:pStyle w:val="IATableLabel"/>
                  </w:pPr>
                  <w:bookmarkStart w:id="4" w:name="Stage"/>
                  <w:r w:rsidRPr="007F0ED9">
                    <w:t xml:space="preserve">Stage: </w:t>
                  </w:r>
                  <w:r w:rsidRPr="007E190E">
                    <w:rPr>
                      <w:rStyle w:val="IAStageChar"/>
                      <w:sz w:val="20"/>
                    </w:rPr>
                    <w:fldChar w:fldCharType="begin"/>
                  </w:r>
                  <w:r w:rsidRPr="007E190E">
                    <w:rPr>
                      <w:rStyle w:val="IAStageChar"/>
                      <w:sz w:val="20"/>
                    </w:rPr>
                    <w:instrText xml:space="preserve"> DOCPROPERTY  Stage </w:instrText>
                  </w:r>
                  <w:r w:rsidRPr="007E190E">
                    <w:rPr>
                      <w:rStyle w:val="IAStageChar"/>
                      <w:sz w:val="20"/>
                    </w:rPr>
                    <w:fldChar w:fldCharType="separate"/>
                  </w:r>
                  <w:r w:rsidR="00044FE7">
                    <w:rPr>
                      <w:rStyle w:val="IAStageChar"/>
                      <w:sz w:val="20"/>
                    </w:rPr>
                    <w:t>Development/Options</w:t>
                  </w:r>
                  <w:r w:rsidRPr="007E190E">
                    <w:rPr>
                      <w:rStyle w:val="IAStageChar"/>
                      <w:sz w:val="20"/>
                    </w:rPr>
                    <w:fldChar w:fldCharType="end"/>
                  </w:r>
                  <w:bookmarkEnd w:id="4"/>
                </w:p>
              </w:tc>
            </w:tr>
            <w:tr w:rsidR="00B50649" w:rsidRPr="00966271" w14:paraId="6FEFDE5E" w14:textId="77777777" w:rsidTr="007E190E">
              <w:tc>
                <w:tcPr>
                  <w:tcW w:w="4088" w:type="dxa"/>
                  <w:tcBorders>
                    <w:top w:val="single" w:sz="4" w:space="0" w:color="333333"/>
                    <w:bottom w:val="single" w:sz="4" w:space="0" w:color="333333"/>
                  </w:tcBorders>
                </w:tcPr>
                <w:p w14:paraId="6504459F" w14:textId="77777777" w:rsidR="00B50649" w:rsidRPr="007F0ED9" w:rsidRDefault="0071686F" w:rsidP="00E90731">
                  <w:pPr>
                    <w:pStyle w:val="IATableLabel"/>
                  </w:pPr>
                  <w:r w:rsidRPr="007F0ED9">
                    <w:t xml:space="preserve">Source </w:t>
                  </w:r>
                  <w:r w:rsidR="006A56C1" w:rsidRPr="007F0ED9">
                    <w:t xml:space="preserve">of </w:t>
                  </w:r>
                  <w:r w:rsidRPr="007F0ED9">
                    <w:t>intervention:</w:t>
                  </w:r>
                  <w:r w:rsidR="00B50649" w:rsidRPr="007F0ED9">
                    <w:t xml:space="preserve"> </w:t>
                  </w:r>
                  <w:bookmarkStart w:id="5" w:name="IAInterSource"/>
                  <w:r w:rsidR="00290335" w:rsidRPr="007E190E">
                    <w:rPr>
                      <w:rStyle w:val="IASOIChar"/>
                      <w:sz w:val="20"/>
                    </w:rPr>
                    <w:fldChar w:fldCharType="begin">
                      <w:ffData>
                        <w:name w:val="IAInterSource"/>
                        <w:enabled/>
                        <w:calcOnExit w:val="0"/>
                        <w:ddList>
                          <w:listEntry w:val="Domestic"/>
                          <w:listEntry w:val="EU"/>
                          <w:listEntry w:val="International"/>
                        </w:ddList>
                      </w:ffData>
                    </w:fldChar>
                  </w:r>
                  <w:r w:rsidR="00290335" w:rsidRPr="007E190E">
                    <w:rPr>
                      <w:rStyle w:val="IASOIChar"/>
                      <w:sz w:val="20"/>
                    </w:rPr>
                    <w:instrText xml:space="preserve"> FORMDROPDOWN </w:instrText>
                  </w:r>
                  <w:r w:rsidR="00FE6328">
                    <w:rPr>
                      <w:rStyle w:val="IASOIChar"/>
                      <w:sz w:val="20"/>
                    </w:rPr>
                  </w:r>
                  <w:r w:rsidR="00FE6328">
                    <w:rPr>
                      <w:rStyle w:val="IASOIChar"/>
                      <w:sz w:val="20"/>
                    </w:rPr>
                    <w:fldChar w:fldCharType="separate"/>
                  </w:r>
                  <w:r w:rsidR="00290335" w:rsidRPr="007E190E">
                    <w:rPr>
                      <w:rStyle w:val="IASOIChar"/>
                      <w:sz w:val="20"/>
                    </w:rPr>
                    <w:fldChar w:fldCharType="end"/>
                  </w:r>
                  <w:bookmarkEnd w:id="5"/>
                </w:p>
              </w:tc>
            </w:tr>
            <w:tr w:rsidR="00052F44" w:rsidRPr="007E190E" w14:paraId="144E4795" w14:textId="77777777" w:rsidTr="007E190E">
              <w:tc>
                <w:tcPr>
                  <w:tcW w:w="4088" w:type="dxa"/>
                  <w:tcBorders>
                    <w:top w:val="single" w:sz="4" w:space="0" w:color="333333"/>
                    <w:bottom w:val="single" w:sz="4" w:space="0" w:color="333333"/>
                  </w:tcBorders>
                </w:tcPr>
                <w:p w14:paraId="6032B4C8" w14:textId="77777777" w:rsidR="00052F44" w:rsidRPr="007E190E" w:rsidRDefault="00052F44" w:rsidP="00E90731">
                  <w:pPr>
                    <w:pStyle w:val="IATableLabel"/>
                    <w:rPr>
                      <w:b w:val="0"/>
                    </w:rPr>
                  </w:pPr>
                  <w:r w:rsidRPr="007F0ED9">
                    <w:t xml:space="preserve">Type of measure: </w:t>
                  </w:r>
                  <w:bookmarkStart w:id="6" w:name="IAMeasureType"/>
                  <w:r w:rsidR="00290335" w:rsidRPr="007E190E">
                    <w:rPr>
                      <w:rStyle w:val="IATOMChar"/>
                      <w:sz w:val="20"/>
                    </w:rPr>
                    <w:fldChar w:fldCharType="begin">
                      <w:ffData>
                        <w:name w:val="IAMeasureType"/>
                        <w:enabled/>
                        <w:calcOnExit w:val="0"/>
                        <w:ddList>
                          <w:listEntry w:val="Primary legislation"/>
                          <w:listEntry w:val="Secondary legislation"/>
                          <w:listEntry w:val="Other"/>
                        </w:ddList>
                      </w:ffData>
                    </w:fldChar>
                  </w:r>
                  <w:r w:rsidR="00290335" w:rsidRPr="007E190E">
                    <w:rPr>
                      <w:rStyle w:val="IATOMChar"/>
                      <w:sz w:val="20"/>
                    </w:rPr>
                    <w:instrText xml:space="preserve"> FORMDROPDOWN </w:instrText>
                  </w:r>
                  <w:r w:rsidR="00FE6328">
                    <w:rPr>
                      <w:rStyle w:val="IATOMChar"/>
                      <w:sz w:val="20"/>
                    </w:rPr>
                  </w:r>
                  <w:r w:rsidR="00FE6328">
                    <w:rPr>
                      <w:rStyle w:val="IATOMChar"/>
                      <w:sz w:val="20"/>
                    </w:rPr>
                    <w:fldChar w:fldCharType="separate"/>
                  </w:r>
                  <w:r w:rsidR="00290335" w:rsidRPr="007E190E">
                    <w:rPr>
                      <w:rStyle w:val="IATOMChar"/>
                      <w:sz w:val="20"/>
                    </w:rPr>
                    <w:fldChar w:fldCharType="end"/>
                  </w:r>
                  <w:bookmarkEnd w:id="6"/>
                </w:p>
              </w:tc>
            </w:tr>
            <w:tr w:rsidR="00B50649" w:rsidRPr="007E190E" w14:paraId="5FF068A9" w14:textId="77777777" w:rsidTr="007E190E">
              <w:trPr>
                <w:trHeight w:val="1115"/>
              </w:trPr>
              <w:tc>
                <w:tcPr>
                  <w:tcW w:w="4088" w:type="dxa"/>
                  <w:tcBorders>
                    <w:top w:val="single" w:sz="4" w:space="0" w:color="333333"/>
                    <w:bottom w:val="single" w:sz="4" w:space="0" w:color="333333"/>
                  </w:tcBorders>
                </w:tcPr>
                <w:p w14:paraId="1A1CDA53" w14:textId="77777777" w:rsidR="00023080" w:rsidRPr="000F004E" w:rsidRDefault="00773719" w:rsidP="007E190E">
                  <w:pPr>
                    <w:ind w:left="113" w:right="113"/>
                  </w:pPr>
                  <w:r w:rsidRPr="007E190E">
                    <w:rPr>
                      <w:rStyle w:val="IATableLabelCharChar"/>
                      <w:sz w:val="20"/>
                      <w:szCs w:val="20"/>
                    </w:rPr>
                    <w:t>Contact for enquiries:</w:t>
                  </w:r>
                  <w:r w:rsidRPr="00D337D1">
                    <w:t xml:space="preserve"> </w:t>
                  </w:r>
                  <w:bookmarkStart w:id="7" w:name="IAEnquiryContacts"/>
                  <w:r w:rsidR="00894819">
                    <w:t>Sarah Smith@lawcommission.gov.uk</w:t>
                  </w:r>
                  <w:r w:rsidRPr="007E190E">
                    <w:rPr>
                      <w:rStyle w:val="IACOEChar"/>
                      <w:b w:val="0"/>
                      <w:sz w:val="20"/>
                    </w:rPr>
                    <w:fldChar w:fldCharType="begin">
                      <w:ffData>
                        <w:name w:val="IAEnquiryContacts"/>
                        <w:enabled/>
                        <w:calcOnExit w:val="0"/>
                        <w:textInput>
                          <w:maxLength w:val="200"/>
                        </w:textInput>
                      </w:ffData>
                    </w:fldChar>
                  </w:r>
                  <w:r w:rsidRPr="007E190E">
                    <w:rPr>
                      <w:rStyle w:val="IACOEChar"/>
                      <w:b w:val="0"/>
                      <w:sz w:val="20"/>
                    </w:rPr>
                    <w:instrText xml:space="preserve"> FORMTEXT </w:instrText>
                  </w:r>
                  <w:r w:rsidRPr="007E190E">
                    <w:rPr>
                      <w:rStyle w:val="IACOEChar"/>
                      <w:b w:val="0"/>
                      <w:sz w:val="20"/>
                    </w:rPr>
                  </w:r>
                  <w:r w:rsidRPr="007E190E">
                    <w:rPr>
                      <w:rStyle w:val="IACOEChar"/>
                      <w:b w:val="0"/>
                      <w:sz w:val="20"/>
                    </w:rPr>
                    <w:fldChar w:fldCharType="separate"/>
                  </w:r>
                  <w:r w:rsidRPr="007E190E">
                    <w:rPr>
                      <w:rStyle w:val="IACOEChar"/>
                      <w:b w:val="0"/>
                      <w:sz w:val="20"/>
                    </w:rPr>
                    <w:t> </w:t>
                  </w:r>
                  <w:r w:rsidRPr="007E190E">
                    <w:rPr>
                      <w:rStyle w:val="IACOEChar"/>
                      <w:b w:val="0"/>
                      <w:sz w:val="20"/>
                    </w:rPr>
                    <w:t> </w:t>
                  </w:r>
                  <w:r w:rsidRPr="007E190E">
                    <w:rPr>
                      <w:rStyle w:val="IACOEChar"/>
                      <w:b w:val="0"/>
                      <w:sz w:val="20"/>
                    </w:rPr>
                    <w:t> </w:t>
                  </w:r>
                  <w:r w:rsidRPr="007E190E">
                    <w:rPr>
                      <w:rStyle w:val="IACOEChar"/>
                      <w:b w:val="0"/>
                      <w:sz w:val="20"/>
                    </w:rPr>
                    <w:t> </w:t>
                  </w:r>
                  <w:r w:rsidRPr="007E190E">
                    <w:rPr>
                      <w:rStyle w:val="IACOEChar"/>
                      <w:b w:val="0"/>
                      <w:sz w:val="20"/>
                    </w:rPr>
                    <w:t> </w:t>
                  </w:r>
                  <w:r w:rsidRPr="007E190E">
                    <w:rPr>
                      <w:rStyle w:val="IACOEChar"/>
                      <w:b w:val="0"/>
                      <w:sz w:val="20"/>
                    </w:rPr>
                    <w:fldChar w:fldCharType="end"/>
                  </w:r>
                  <w:bookmarkEnd w:id="7"/>
                </w:p>
              </w:tc>
            </w:tr>
            <w:tr w:rsidR="000C1D45" w:rsidRPr="007E190E" w14:paraId="0ABBB584" w14:textId="77777777" w:rsidTr="007E190E">
              <w:trPr>
                <w:trHeight w:val="1115"/>
              </w:trPr>
              <w:tc>
                <w:tcPr>
                  <w:tcW w:w="4088" w:type="dxa"/>
                  <w:tcBorders>
                    <w:top w:val="single" w:sz="4" w:space="0" w:color="333333"/>
                    <w:bottom w:val="single" w:sz="4" w:space="0" w:color="333333"/>
                  </w:tcBorders>
                </w:tcPr>
                <w:p w14:paraId="24EBF250" w14:textId="77777777" w:rsidR="000C1D45" w:rsidRPr="007E190E" w:rsidRDefault="000C1D45" w:rsidP="00A32793">
                  <w:pPr>
                    <w:pStyle w:val="IATableLines"/>
                    <w:rPr>
                      <w:b/>
                      <w:color w:val="000000"/>
                      <w:sz w:val="20"/>
                    </w:rPr>
                  </w:pPr>
                </w:p>
              </w:tc>
            </w:tr>
            <w:tr w:rsidR="000C1D45" w:rsidRPr="007E190E" w14:paraId="5633ADDD" w14:textId="77777777" w:rsidTr="007E190E">
              <w:trPr>
                <w:trHeight w:val="1115"/>
              </w:trPr>
              <w:tc>
                <w:tcPr>
                  <w:tcW w:w="4088" w:type="dxa"/>
                  <w:tcBorders>
                    <w:top w:val="single" w:sz="4" w:space="0" w:color="333333"/>
                    <w:bottom w:val="single" w:sz="4" w:space="0" w:color="333333"/>
                  </w:tcBorders>
                </w:tcPr>
                <w:p w14:paraId="5E2F433F" w14:textId="77777777" w:rsidR="000C1D45" w:rsidRPr="007E190E" w:rsidRDefault="000C1D45" w:rsidP="00A32793">
                  <w:pPr>
                    <w:pStyle w:val="IATableLines"/>
                    <w:rPr>
                      <w:b/>
                      <w:color w:val="000000"/>
                      <w:sz w:val="20"/>
                    </w:rPr>
                  </w:pPr>
                </w:p>
              </w:tc>
            </w:tr>
            <w:tr w:rsidR="000C1D45" w:rsidRPr="007E190E" w14:paraId="3719DC34" w14:textId="77777777" w:rsidTr="007E190E">
              <w:trPr>
                <w:trHeight w:val="1115"/>
              </w:trPr>
              <w:tc>
                <w:tcPr>
                  <w:tcW w:w="4088" w:type="dxa"/>
                  <w:tcBorders>
                    <w:top w:val="single" w:sz="4" w:space="0" w:color="333333"/>
                    <w:bottom w:val="single" w:sz="4" w:space="0" w:color="333333"/>
                  </w:tcBorders>
                </w:tcPr>
                <w:p w14:paraId="17A1D94B" w14:textId="77777777" w:rsidR="000C1D45" w:rsidRPr="007E190E" w:rsidRDefault="000C1D45" w:rsidP="00A32793">
                  <w:pPr>
                    <w:pStyle w:val="IATableLines"/>
                    <w:rPr>
                      <w:b/>
                      <w:color w:val="000000"/>
                      <w:sz w:val="20"/>
                    </w:rPr>
                  </w:pPr>
                </w:p>
              </w:tc>
            </w:tr>
            <w:tr w:rsidR="000C1D45" w:rsidRPr="007E190E" w14:paraId="7C957753" w14:textId="77777777" w:rsidTr="007E190E">
              <w:trPr>
                <w:trHeight w:val="1115"/>
              </w:trPr>
              <w:tc>
                <w:tcPr>
                  <w:tcW w:w="4088" w:type="dxa"/>
                  <w:tcBorders>
                    <w:top w:val="single" w:sz="4" w:space="0" w:color="333333"/>
                    <w:bottom w:val="single" w:sz="4" w:space="0" w:color="333333"/>
                  </w:tcBorders>
                </w:tcPr>
                <w:p w14:paraId="76217514" w14:textId="77777777" w:rsidR="000C1D45" w:rsidRPr="007E190E" w:rsidRDefault="000C1D45" w:rsidP="00A32793">
                  <w:pPr>
                    <w:pStyle w:val="IATableLines"/>
                    <w:rPr>
                      <w:b/>
                      <w:color w:val="000000"/>
                      <w:sz w:val="20"/>
                    </w:rPr>
                  </w:pPr>
                </w:p>
              </w:tc>
            </w:tr>
            <w:tr w:rsidR="000C1D45" w:rsidRPr="007E190E" w14:paraId="2B0B6C61" w14:textId="77777777" w:rsidTr="007E190E">
              <w:trPr>
                <w:trHeight w:val="1115"/>
              </w:trPr>
              <w:tc>
                <w:tcPr>
                  <w:tcW w:w="4088" w:type="dxa"/>
                  <w:tcBorders>
                    <w:top w:val="single" w:sz="4" w:space="0" w:color="333333"/>
                    <w:bottom w:val="single" w:sz="4" w:space="0" w:color="333333"/>
                  </w:tcBorders>
                </w:tcPr>
                <w:p w14:paraId="0D0F9D1F" w14:textId="77777777" w:rsidR="000C1D45" w:rsidRPr="007E190E" w:rsidRDefault="000C1D45" w:rsidP="00A32793">
                  <w:pPr>
                    <w:pStyle w:val="IATableLines"/>
                    <w:rPr>
                      <w:b/>
                      <w:color w:val="000000"/>
                      <w:sz w:val="20"/>
                    </w:rPr>
                  </w:pPr>
                </w:p>
              </w:tc>
            </w:tr>
            <w:tr w:rsidR="000C1D45" w:rsidRPr="007E190E" w14:paraId="50FE8FBE" w14:textId="77777777" w:rsidTr="007E190E">
              <w:trPr>
                <w:trHeight w:val="1115"/>
              </w:trPr>
              <w:tc>
                <w:tcPr>
                  <w:tcW w:w="4088" w:type="dxa"/>
                  <w:tcBorders>
                    <w:top w:val="single" w:sz="4" w:space="0" w:color="333333"/>
                  </w:tcBorders>
                </w:tcPr>
                <w:p w14:paraId="70498EF7" w14:textId="77777777" w:rsidR="000C1D45" w:rsidRPr="007E190E" w:rsidRDefault="000C1D45" w:rsidP="00A32793">
                  <w:pPr>
                    <w:pStyle w:val="IATableLines"/>
                    <w:rPr>
                      <w:b/>
                      <w:color w:val="000000"/>
                      <w:sz w:val="20"/>
                    </w:rPr>
                  </w:pPr>
                </w:p>
              </w:tc>
            </w:tr>
          </w:tbl>
          <w:p w14:paraId="50DD4929" w14:textId="77777777" w:rsidR="00B50649" w:rsidRPr="007E190E" w:rsidRDefault="00B50649">
            <w:pPr>
              <w:rPr>
                <w:rFonts w:eastAsia="SimSun"/>
              </w:rPr>
            </w:pPr>
          </w:p>
        </w:tc>
      </w:tr>
      <w:tr w:rsidR="000C1D45" w:rsidRPr="007E190E" w14:paraId="444D6E7C" w14:textId="77777777" w:rsidTr="00950571">
        <w:trPr>
          <w:trHeight w:hRule="exact" w:val="410"/>
        </w:trPr>
        <w:tc>
          <w:tcPr>
            <w:tcW w:w="6255" w:type="dxa"/>
            <w:gridSpan w:val="3"/>
            <w:tcBorders>
              <w:top w:val="single" w:sz="4" w:space="0" w:color="auto"/>
              <w:left w:val="nil"/>
              <w:bottom w:val="single" w:sz="4" w:space="0" w:color="auto"/>
            </w:tcBorders>
          </w:tcPr>
          <w:p w14:paraId="1521C396" w14:textId="77777777" w:rsidR="000C1D45" w:rsidRPr="007E190E" w:rsidRDefault="000C1D45" w:rsidP="007E190E">
            <w:pPr>
              <w:pStyle w:val="Heading1"/>
              <w:spacing w:before="60"/>
              <w:rPr>
                <w:rFonts w:eastAsia="SimSun"/>
                <w:sz w:val="28"/>
                <w:szCs w:val="28"/>
              </w:rPr>
            </w:pPr>
            <w:r w:rsidRPr="007E190E">
              <w:rPr>
                <w:rFonts w:eastAsia="SimSun"/>
                <w:sz w:val="28"/>
                <w:szCs w:val="28"/>
              </w:rPr>
              <w:t xml:space="preserve">Summary: Intervention and Options </w:t>
            </w:r>
          </w:p>
          <w:p w14:paraId="4B5909D7" w14:textId="77777777" w:rsidR="000C1D45" w:rsidRPr="007E190E" w:rsidRDefault="000C1D45" w:rsidP="007E190E">
            <w:pPr>
              <w:pStyle w:val="IAHeadLabel0"/>
              <w:spacing w:before="50"/>
              <w:ind w:left="113"/>
              <w:rPr>
                <w:sz w:val="28"/>
                <w:szCs w:val="28"/>
              </w:rPr>
            </w:pPr>
          </w:p>
        </w:tc>
        <w:tc>
          <w:tcPr>
            <w:tcW w:w="4098" w:type="dxa"/>
            <w:gridSpan w:val="3"/>
            <w:tcBorders>
              <w:top w:val="single" w:sz="4" w:space="0" w:color="auto"/>
              <w:bottom w:val="single" w:sz="4" w:space="0" w:color="auto"/>
            </w:tcBorders>
            <w:shd w:val="clear" w:color="auto" w:fill="E0E0E0"/>
            <w:vAlign w:val="center"/>
          </w:tcPr>
          <w:p w14:paraId="31DB475C" w14:textId="77777777" w:rsidR="000C1D45" w:rsidRPr="007E190E" w:rsidRDefault="000C1D45" w:rsidP="00307737">
            <w:pPr>
              <w:pStyle w:val="Title"/>
              <w:rPr>
                <w:rFonts w:eastAsia="SimSun"/>
                <w:b/>
                <w:color w:val="auto"/>
                <w:sz w:val="24"/>
                <w:szCs w:val="24"/>
              </w:rPr>
            </w:pPr>
            <w:r w:rsidRPr="007E190E">
              <w:rPr>
                <w:rFonts w:eastAsia="SimSun"/>
                <w:b/>
                <w:color w:val="auto"/>
                <w:sz w:val="24"/>
                <w:szCs w:val="24"/>
              </w:rPr>
              <w:t>RPC</w:t>
            </w:r>
            <w:r w:rsidR="00EC6B93" w:rsidRPr="007E190E">
              <w:rPr>
                <w:rFonts w:eastAsia="SimSun"/>
                <w:b/>
                <w:color w:val="auto"/>
                <w:sz w:val="24"/>
                <w:szCs w:val="24"/>
              </w:rPr>
              <w:t xml:space="preserve"> Opinion</w:t>
            </w:r>
            <w:r w:rsidRPr="007E190E">
              <w:rPr>
                <w:rFonts w:eastAsia="SimSun"/>
                <w:b/>
                <w:color w:val="auto"/>
                <w:sz w:val="24"/>
                <w:szCs w:val="24"/>
              </w:rPr>
              <w:t xml:space="preserve">: </w:t>
            </w:r>
            <w:r w:rsidR="00DE39C4">
              <w:rPr>
                <w:rStyle w:val="IARPCChar"/>
                <w:szCs w:val="24"/>
              </w:rPr>
              <w:fldChar w:fldCharType="begin">
                <w:ffData>
                  <w:name w:val="IARPC"/>
                  <w:enabled/>
                  <w:calcOnExit w:val="0"/>
                  <w:ddList>
                    <w:listEntry w:val="RPC Opinion Status"/>
                    <w:listEntry w:val="Awaiting Scrutiny"/>
                    <w:listEntry w:val="RED"/>
                    <w:listEntry w:val="AMBER"/>
                    <w:listEntry w:val="GREEN"/>
                    <w:listEntry w:val="EANDCB Validated"/>
                    <w:listEntry w:val="Not Applicable"/>
                  </w:ddList>
                </w:ffData>
              </w:fldChar>
            </w:r>
            <w:bookmarkStart w:id="8" w:name="IARPC"/>
            <w:r w:rsidR="00DE39C4">
              <w:rPr>
                <w:rStyle w:val="IARPCChar"/>
                <w:szCs w:val="24"/>
              </w:rPr>
              <w:instrText xml:space="preserve"> FORMDROPDOWN </w:instrText>
            </w:r>
            <w:r w:rsidR="00FE6328">
              <w:rPr>
                <w:rStyle w:val="IARPCChar"/>
                <w:szCs w:val="24"/>
              </w:rPr>
            </w:r>
            <w:r w:rsidR="00FE6328">
              <w:rPr>
                <w:rStyle w:val="IARPCChar"/>
                <w:szCs w:val="24"/>
              </w:rPr>
              <w:fldChar w:fldCharType="separate"/>
            </w:r>
            <w:r w:rsidR="00DE39C4">
              <w:rPr>
                <w:rStyle w:val="IARPCChar"/>
                <w:szCs w:val="24"/>
              </w:rPr>
              <w:fldChar w:fldCharType="end"/>
            </w:r>
            <w:bookmarkEnd w:id="8"/>
          </w:p>
        </w:tc>
      </w:tr>
      <w:tr w:rsidR="00372A69" w:rsidRPr="007E190E" w14:paraId="7ED7D426" w14:textId="77777777" w:rsidTr="00950571">
        <w:trPr>
          <w:trHeight w:hRule="exact" w:val="90"/>
        </w:trPr>
        <w:tc>
          <w:tcPr>
            <w:tcW w:w="10353" w:type="dxa"/>
            <w:gridSpan w:val="6"/>
            <w:tcBorders>
              <w:top w:val="single" w:sz="4" w:space="0" w:color="auto"/>
              <w:left w:val="nil"/>
              <w:bottom w:val="nil"/>
            </w:tcBorders>
          </w:tcPr>
          <w:p w14:paraId="6994719F" w14:textId="77777777" w:rsidR="00372A69" w:rsidRPr="007E190E" w:rsidRDefault="00372A69" w:rsidP="00372A69">
            <w:pPr>
              <w:rPr>
                <w:rFonts w:eastAsia="SimSun"/>
              </w:rPr>
            </w:pPr>
          </w:p>
        </w:tc>
      </w:tr>
      <w:tr w:rsidR="00372A69" w:rsidRPr="000E02BE" w14:paraId="50AACE94" w14:textId="77777777" w:rsidTr="00950571">
        <w:tblPrEx>
          <w:tblBorders>
            <w:insideV w:val="none" w:sz="0" w:space="0" w:color="auto"/>
          </w:tblBorders>
        </w:tblPrEx>
        <w:trPr>
          <w:gridAfter w:val="1"/>
          <w:wAfter w:w="9" w:type="dxa"/>
          <w:trHeight w:hRule="exact" w:val="312"/>
        </w:trPr>
        <w:tc>
          <w:tcPr>
            <w:tcW w:w="10344" w:type="dxa"/>
            <w:gridSpan w:val="5"/>
            <w:tcBorders>
              <w:top w:val="single" w:sz="4" w:space="0" w:color="auto"/>
              <w:bottom w:val="nil"/>
            </w:tcBorders>
            <w:shd w:val="clear" w:color="auto" w:fill="E0E0E0"/>
          </w:tcPr>
          <w:p w14:paraId="38F2AB85" w14:textId="46C3EE86" w:rsidR="00372A69" w:rsidRPr="000E02BE" w:rsidRDefault="00372A69" w:rsidP="006A0557">
            <w:pPr>
              <w:pStyle w:val="IATableLabel"/>
              <w:ind w:left="0"/>
              <w:jc w:val="center"/>
            </w:pPr>
            <w:bookmarkStart w:id="9" w:name="CostText"/>
            <w:r>
              <w:t>Cost of Preferred (or more likely) Optio</w:t>
            </w:r>
            <w:r w:rsidR="00F06858">
              <w:t>n</w:t>
            </w:r>
            <w:bookmarkEnd w:id="9"/>
            <w:r w:rsidR="00310BBC">
              <w:t xml:space="preserve"> </w:t>
            </w:r>
            <w:r w:rsidR="00310BBC" w:rsidRPr="00310BBC">
              <w:rPr>
                <w:b w:val="0"/>
              </w:rPr>
              <w:t>(in 20</w:t>
            </w:r>
            <w:r w:rsidR="008946DD">
              <w:rPr>
                <w:b w:val="0"/>
              </w:rPr>
              <w:t>20</w:t>
            </w:r>
            <w:r w:rsidR="00310BBC" w:rsidRPr="00310BBC">
              <w:rPr>
                <w:b w:val="0"/>
              </w:rPr>
              <w:t xml:space="preserve"> prices)</w:t>
            </w:r>
          </w:p>
        </w:tc>
      </w:tr>
      <w:tr w:rsidR="00DE39C4" w:rsidRPr="000E02BE" w14:paraId="2D85E8A4" w14:textId="77777777" w:rsidTr="00BF5F48">
        <w:trPr>
          <w:gridAfter w:val="1"/>
          <w:wAfter w:w="9" w:type="dxa"/>
          <w:trHeight w:hRule="exact" w:val="756"/>
        </w:trPr>
        <w:tc>
          <w:tcPr>
            <w:tcW w:w="1985" w:type="dxa"/>
            <w:tcBorders>
              <w:top w:val="single" w:sz="4" w:space="0" w:color="auto"/>
              <w:bottom w:val="nil"/>
              <w:right w:val="single" w:sz="4" w:space="0" w:color="auto"/>
            </w:tcBorders>
            <w:shd w:val="clear" w:color="auto" w:fill="E0E0E0"/>
            <w:vAlign w:val="center"/>
          </w:tcPr>
          <w:p w14:paraId="43C3E59F" w14:textId="77777777" w:rsidR="00DE39C4" w:rsidRPr="000E02BE" w:rsidRDefault="00DE39C4" w:rsidP="006A0557">
            <w:pPr>
              <w:pStyle w:val="IATableLabel"/>
              <w:spacing w:before="0" w:after="0"/>
            </w:pPr>
            <w:r>
              <w:t>Total Net Present Social Value</w:t>
            </w:r>
          </w:p>
        </w:tc>
        <w:tc>
          <w:tcPr>
            <w:tcW w:w="2268" w:type="dxa"/>
            <w:tcBorders>
              <w:top w:val="single" w:sz="4" w:space="0" w:color="auto"/>
              <w:bottom w:val="nil"/>
              <w:right w:val="single" w:sz="4" w:space="0" w:color="auto"/>
            </w:tcBorders>
            <w:shd w:val="clear" w:color="auto" w:fill="E0E0E0"/>
            <w:vAlign w:val="center"/>
          </w:tcPr>
          <w:p w14:paraId="4D4CE724" w14:textId="77777777" w:rsidR="00DE39C4" w:rsidRPr="000E02BE" w:rsidRDefault="00DE39C4" w:rsidP="006A0557">
            <w:pPr>
              <w:pStyle w:val="IATableLabel"/>
              <w:spacing w:before="0" w:after="0"/>
            </w:pPr>
            <w:r>
              <w:t>Business Net Present Value</w:t>
            </w:r>
          </w:p>
        </w:tc>
        <w:tc>
          <w:tcPr>
            <w:tcW w:w="2835" w:type="dxa"/>
            <w:gridSpan w:val="2"/>
            <w:tcBorders>
              <w:top w:val="single" w:sz="4" w:space="0" w:color="auto"/>
              <w:bottom w:val="nil"/>
              <w:right w:val="single" w:sz="4" w:space="0" w:color="auto"/>
            </w:tcBorders>
            <w:shd w:val="clear" w:color="auto" w:fill="E0E0E0"/>
            <w:vAlign w:val="center"/>
          </w:tcPr>
          <w:p w14:paraId="1A4C3CE0" w14:textId="77777777" w:rsidR="00DE39C4" w:rsidRPr="000E02BE" w:rsidRDefault="00DE39C4" w:rsidP="006C6483">
            <w:pPr>
              <w:pStyle w:val="IATableLabel"/>
              <w:spacing w:before="0" w:after="0"/>
            </w:pPr>
            <w:r>
              <w:t xml:space="preserve">Net cost to business per year </w:t>
            </w:r>
          </w:p>
        </w:tc>
        <w:tc>
          <w:tcPr>
            <w:tcW w:w="3256" w:type="dxa"/>
            <w:vMerge w:val="restart"/>
            <w:tcBorders>
              <w:top w:val="single" w:sz="4" w:space="0" w:color="auto"/>
              <w:left w:val="single" w:sz="4" w:space="0" w:color="auto"/>
            </w:tcBorders>
            <w:shd w:val="clear" w:color="auto" w:fill="E0E0E0"/>
            <w:vAlign w:val="center"/>
          </w:tcPr>
          <w:p w14:paraId="79C82D52" w14:textId="77777777" w:rsidR="00DE39C4" w:rsidRDefault="00DE39C4" w:rsidP="00000766">
            <w:pPr>
              <w:pStyle w:val="IATableLabel"/>
              <w:spacing w:before="0" w:after="0"/>
            </w:pPr>
            <w:r>
              <w:t>Business Impact Target Status</w:t>
            </w:r>
          </w:p>
          <w:bookmarkStart w:id="10" w:name="IAPrefMQ"/>
          <w:p w14:paraId="0F7F9BBA" w14:textId="77777777" w:rsidR="00DE39C4" w:rsidRPr="000E02BE" w:rsidRDefault="00DE39C4" w:rsidP="008369A3">
            <w:pPr>
              <w:pStyle w:val="IAIOPrefMQ"/>
            </w:pPr>
            <w:r>
              <w:fldChar w:fldCharType="begin">
                <w:ffData>
                  <w:name w:val="IAPrefMQ"/>
                  <w:enabled/>
                  <w:calcOnExit w:val="0"/>
                  <w:ddList>
                    <w:listEntry w:val="Qualifying provision"/>
                    <w:listEntry w:val="Non qualifying provision"/>
                    <w:listEntry w:val="Not a regulatory provision"/>
                  </w:ddList>
                </w:ffData>
              </w:fldChar>
            </w:r>
            <w:r>
              <w:instrText xml:space="preserve"> FORMDROPDOWN </w:instrText>
            </w:r>
            <w:r w:rsidR="00FE6328">
              <w:fldChar w:fldCharType="separate"/>
            </w:r>
            <w:r>
              <w:fldChar w:fldCharType="end"/>
            </w:r>
            <w:bookmarkEnd w:id="10"/>
          </w:p>
        </w:tc>
      </w:tr>
      <w:tr w:rsidR="00DE39C4" w:rsidRPr="0061761A" w14:paraId="679E09E1" w14:textId="77777777" w:rsidTr="00950571">
        <w:tblPrEx>
          <w:tblBorders>
            <w:insideV w:val="none" w:sz="0" w:space="0" w:color="auto"/>
          </w:tblBorders>
        </w:tblPrEx>
        <w:trPr>
          <w:gridAfter w:val="1"/>
          <w:wAfter w:w="9" w:type="dxa"/>
          <w:trHeight w:hRule="exact" w:val="340"/>
        </w:trPr>
        <w:tc>
          <w:tcPr>
            <w:tcW w:w="1985" w:type="dxa"/>
            <w:tcBorders>
              <w:top w:val="nil"/>
              <w:bottom w:val="single" w:sz="4" w:space="0" w:color="auto"/>
              <w:right w:val="single" w:sz="4" w:space="0" w:color="auto"/>
            </w:tcBorders>
            <w:shd w:val="clear" w:color="auto" w:fill="E0E0E0"/>
            <w:vAlign w:val="center"/>
          </w:tcPr>
          <w:p w14:paraId="053AACA8" w14:textId="038AE6AE" w:rsidR="00DE39C4" w:rsidRPr="000E02BE" w:rsidRDefault="00CD1306" w:rsidP="008369A3">
            <w:pPr>
              <w:pStyle w:val="IAIIOTNPV"/>
            </w:pPr>
            <w:bookmarkStart w:id="11" w:name="IATNPV"/>
            <w:r>
              <w:t>-</w:t>
            </w:r>
            <w:r w:rsidR="0097119B">
              <w:t>£2.1</w:t>
            </w:r>
            <w:r w:rsidR="008F6416">
              <w:t xml:space="preserve">6 </w:t>
            </w:r>
            <w:r w:rsidR="0097119B">
              <w:t>m</w:t>
            </w:r>
            <w:bookmarkEnd w:id="11"/>
          </w:p>
        </w:tc>
        <w:bookmarkStart w:id="12" w:name="IABNPV"/>
        <w:tc>
          <w:tcPr>
            <w:tcW w:w="2268" w:type="dxa"/>
            <w:tcBorders>
              <w:top w:val="nil"/>
              <w:bottom w:val="single" w:sz="4" w:space="0" w:color="auto"/>
              <w:right w:val="single" w:sz="4" w:space="0" w:color="auto"/>
            </w:tcBorders>
            <w:shd w:val="clear" w:color="auto" w:fill="E0E0E0"/>
            <w:vAlign w:val="center"/>
          </w:tcPr>
          <w:p w14:paraId="36FE4AAD" w14:textId="77777777" w:rsidR="00DE39C4" w:rsidRPr="000E02BE" w:rsidRDefault="00DE39C4" w:rsidP="008369A3">
            <w:pPr>
              <w:pStyle w:val="IAIOBNPV"/>
            </w:pPr>
            <w:r>
              <w:fldChar w:fldCharType="begin">
                <w:ffData>
                  <w:name w:val="IABNPV"/>
                  <w:enabled/>
                  <w:calcOnExit w:val="0"/>
                  <w:textInput>
                    <w:default w:val="£m"/>
                    <w:maxLength w:val="9"/>
                  </w:textInput>
                </w:ffData>
              </w:fldChar>
            </w:r>
            <w:r>
              <w:instrText xml:space="preserve"> FORMTEXT </w:instrText>
            </w:r>
            <w:r>
              <w:fldChar w:fldCharType="separate"/>
            </w:r>
            <w:r>
              <w:rPr>
                <w:noProof/>
              </w:rPr>
              <w:t>£m</w:t>
            </w:r>
            <w:r>
              <w:fldChar w:fldCharType="end"/>
            </w:r>
            <w:bookmarkEnd w:id="12"/>
          </w:p>
        </w:tc>
        <w:bookmarkStart w:id="13" w:name="IANCTBPY"/>
        <w:tc>
          <w:tcPr>
            <w:tcW w:w="2835" w:type="dxa"/>
            <w:gridSpan w:val="2"/>
            <w:tcBorders>
              <w:top w:val="nil"/>
              <w:bottom w:val="single" w:sz="4" w:space="0" w:color="auto"/>
              <w:right w:val="single" w:sz="4" w:space="0" w:color="auto"/>
            </w:tcBorders>
            <w:shd w:val="clear" w:color="auto" w:fill="E0E0E0"/>
            <w:vAlign w:val="center"/>
          </w:tcPr>
          <w:p w14:paraId="548397AD" w14:textId="77777777" w:rsidR="00DE39C4" w:rsidRPr="000E02BE" w:rsidRDefault="00DE39C4" w:rsidP="008369A3">
            <w:pPr>
              <w:pStyle w:val="IAIONCTBPY"/>
            </w:pPr>
            <w:r>
              <w:fldChar w:fldCharType="begin">
                <w:ffData>
                  <w:name w:val="IANCTBPY"/>
                  <w:enabled/>
                  <w:calcOnExit w:val="0"/>
                  <w:textInput>
                    <w:default w:val="£m"/>
                    <w:maxLength w:val="9"/>
                  </w:textInput>
                </w:ffData>
              </w:fldChar>
            </w:r>
            <w:r>
              <w:instrText xml:space="preserve"> FORMTEXT </w:instrText>
            </w:r>
            <w:r>
              <w:fldChar w:fldCharType="separate"/>
            </w:r>
            <w:r>
              <w:rPr>
                <w:noProof/>
              </w:rPr>
              <w:t>£m</w:t>
            </w:r>
            <w:r>
              <w:fldChar w:fldCharType="end"/>
            </w:r>
            <w:bookmarkEnd w:id="13"/>
          </w:p>
        </w:tc>
        <w:tc>
          <w:tcPr>
            <w:tcW w:w="3256" w:type="dxa"/>
            <w:vMerge/>
            <w:tcBorders>
              <w:left w:val="single" w:sz="4" w:space="0" w:color="auto"/>
              <w:bottom w:val="single" w:sz="4" w:space="0" w:color="auto"/>
            </w:tcBorders>
            <w:shd w:val="clear" w:color="auto" w:fill="E0E0E0"/>
            <w:vAlign w:val="center"/>
          </w:tcPr>
          <w:p w14:paraId="575EB6F7" w14:textId="77777777" w:rsidR="00DE39C4" w:rsidRPr="000E02BE" w:rsidRDefault="00DE39C4" w:rsidP="008369A3">
            <w:pPr>
              <w:pStyle w:val="IAIOPrefMQ"/>
            </w:pPr>
          </w:p>
        </w:tc>
      </w:tr>
      <w:tr w:rsidR="007208D9" w:rsidRPr="00826F71" w14:paraId="70130C2D" w14:textId="77777777" w:rsidTr="00582997">
        <w:tblPrEx>
          <w:tblBorders>
            <w:insideV w:val="none" w:sz="0" w:space="0" w:color="auto"/>
          </w:tblBorders>
        </w:tblPrEx>
        <w:trPr>
          <w:gridAfter w:val="1"/>
          <w:wAfter w:w="9" w:type="dxa"/>
          <w:trHeight w:hRule="exact" w:val="1960"/>
        </w:trPr>
        <w:tc>
          <w:tcPr>
            <w:tcW w:w="10344" w:type="dxa"/>
            <w:gridSpan w:val="5"/>
            <w:tcBorders>
              <w:top w:val="single" w:sz="4" w:space="0" w:color="auto"/>
              <w:bottom w:val="single" w:sz="4" w:space="0" w:color="auto"/>
            </w:tcBorders>
          </w:tcPr>
          <w:p w14:paraId="34EDE903" w14:textId="77777777" w:rsidR="007208D9" w:rsidRPr="00EA0B74" w:rsidRDefault="00686F5E" w:rsidP="008369A3">
            <w:pPr>
              <w:pStyle w:val="IAIOQ1"/>
            </w:pPr>
            <w:bookmarkStart w:id="14" w:name="Summary1"/>
            <w:r>
              <w:t>What is the problem under consideration? Why is government</w:t>
            </w:r>
            <w:r w:rsidR="00D64409">
              <w:t xml:space="preserve"> action or</w:t>
            </w:r>
            <w:r>
              <w:t xml:space="preserve"> intervention necessary?</w:t>
            </w:r>
            <w:bookmarkEnd w:id="14"/>
          </w:p>
          <w:p w14:paraId="2610DDA0" w14:textId="77777777" w:rsidR="00E75380" w:rsidRPr="00C120C0" w:rsidRDefault="00780C8A" w:rsidP="000B308F">
            <w:pPr>
              <w:pStyle w:val="IATableLines"/>
              <w:ind w:left="0"/>
            </w:pPr>
            <w:r>
              <w:t>D</w:t>
            </w:r>
            <w:r w:rsidR="00CC5943">
              <w:t xml:space="preserve">uring the twentieth century </w:t>
            </w:r>
            <w:r>
              <w:t xml:space="preserve">tribunals in </w:t>
            </w:r>
            <w:r w:rsidR="00CC5943">
              <w:t xml:space="preserve">England and </w:t>
            </w:r>
            <w:r>
              <w:t xml:space="preserve">Wales developed in an ad hoc way, in response to the policy needs of individual departments. </w:t>
            </w:r>
            <w:r w:rsidR="00CC5943">
              <w:t xml:space="preserve">Tribunals operating in devolved fields in Wales were not included in the reforms made by the Tribunals, Courts and Enforcement Act 2007. </w:t>
            </w:r>
            <w:r>
              <w:t xml:space="preserve">As a result their processes </w:t>
            </w:r>
            <w:r w:rsidR="005A7C77">
              <w:t>and procedures are inconsistent, and the system as a whole lacks coherence.</w:t>
            </w:r>
            <w:r>
              <w:t xml:space="preserve"> </w:t>
            </w:r>
            <w:r w:rsidR="005A7C77">
              <w:t xml:space="preserve">The Wales Act 2017 created the office of President of Welsh Tribunals to supervise a list of devolved Welsh tribunals, but </w:t>
            </w:r>
            <w:r w:rsidR="00CC5943">
              <w:t xml:space="preserve">the list </w:t>
            </w:r>
            <w:r w:rsidR="005A7C77">
              <w:t xml:space="preserve">does not </w:t>
            </w:r>
            <w:r w:rsidR="00902645">
              <w:t>include</w:t>
            </w:r>
            <w:r w:rsidR="00CC5943">
              <w:t xml:space="preserve"> </w:t>
            </w:r>
            <w:r w:rsidR="005A7C77">
              <w:t xml:space="preserve">the </w:t>
            </w:r>
            <w:r w:rsidR="00C25BE0">
              <w:t>Valuation Tribunal for Wales</w:t>
            </w:r>
            <w:r w:rsidR="005A7C77">
              <w:t xml:space="preserve"> or school admission and exclusion appeal panels in Wales. The Welsh Tribunals Unit, which administers some devolved Welsh tribunals, is formally a part of Welsh Government and lacks structural independence.</w:t>
            </w:r>
          </w:p>
        </w:tc>
      </w:tr>
    </w:tbl>
    <w:p w14:paraId="25C71E60" w14:textId="77777777" w:rsidR="007208D9" w:rsidRDefault="007208D9" w:rsidP="007208D9">
      <w:pPr>
        <w:pStyle w:val="IASpacer"/>
      </w:pPr>
    </w:p>
    <w:tbl>
      <w:tblPr>
        <w:tblW w:w="5067" w:type="pct"/>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332"/>
      </w:tblGrid>
      <w:tr w:rsidR="007208D9" w:rsidRPr="00826F71" w14:paraId="6D4F90A2" w14:textId="77777777" w:rsidTr="000B308F">
        <w:trPr>
          <w:trHeight w:hRule="exact" w:val="2187"/>
        </w:trPr>
        <w:tc>
          <w:tcPr>
            <w:tcW w:w="10352" w:type="dxa"/>
            <w:tcBorders>
              <w:top w:val="single" w:sz="4" w:space="0" w:color="auto"/>
              <w:bottom w:val="single" w:sz="4" w:space="0" w:color="auto"/>
            </w:tcBorders>
          </w:tcPr>
          <w:p w14:paraId="62E4FE72" w14:textId="77777777" w:rsidR="00D64409" w:rsidRPr="00EA0B74" w:rsidRDefault="00D64409" w:rsidP="00D64409">
            <w:pPr>
              <w:pStyle w:val="IAIOQ2"/>
            </w:pPr>
            <w:bookmarkStart w:id="15" w:name="Summary2"/>
            <w:r>
              <w:t>What are the policy objectives of the action or intervention and the intended effects?</w:t>
            </w:r>
            <w:bookmarkEnd w:id="15"/>
          </w:p>
          <w:p w14:paraId="060256C0" w14:textId="77777777" w:rsidR="005A7C77" w:rsidRPr="00A51C4E" w:rsidRDefault="005A7C77" w:rsidP="00D64409">
            <w:pPr>
              <w:pStyle w:val="IATableLines"/>
              <w:numPr>
                <w:ilvl w:val="0"/>
                <w:numId w:val="25"/>
              </w:numPr>
              <w:rPr>
                <w:szCs w:val="22"/>
              </w:rPr>
            </w:pPr>
            <w:bookmarkStart w:id="16" w:name="IAIOA2"/>
            <w:r>
              <w:t xml:space="preserve">A </w:t>
            </w:r>
            <w:r w:rsidR="00DB48F6">
              <w:t xml:space="preserve">system </w:t>
            </w:r>
            <w:r>
              <w:t>of devolved Welsh tribunals</w:t>
            </w:r>
            <w:r w:rsidR="00DB48F6">
              <w:t xml:space="preserve"> (including onward appeals)</w:t>
            </w:r>
            <w:r>
              <w:t xml:space="preserve">, which is </w:t>
            </w:r>
            <w:r w:rsidR="00DB48F6">
              <w:t xml:space="preserve">coherent, simple to understand for tribunal users, and </w:t>
            </w:r>
            <w:r>
              <w:t>flexible enough to respond to the future needs of Welsh policy makers and the Senedd.</w:t>
            </w:r>
          </w:p>
          <w:p w14:paraId="22C6B67B" w14:textId="77777777" w:rsidR="00DB48F6" w:rsidRPr="00902645" w:rsidRDefault="00DB48F6" w:rsidP="00D64409">
            <w:pPr>
              <w:pStyle w:val="IATableLines"/>
              <w:numPr>
                <w:ilvl w:val="0"/>
                <w:numId w:val="25"/>
              </w:numPr>
              <w:rPr>
                <w:szCs w:val="22"/>
              </w:rPr>
            </w:pPr>
            <w:r>
              <w:t xml:space="preserve">A system </w:t>
            </w:r>
            <w:r w:rsidR="00057701">
              <w:t xml:space="preserve">for </w:t>
            </w:r>
            <w:r>
              <w:t>appointments and discipline of Welsh tribunal judges and members which is consistent, proportionate, and protects judicial independence.</w:t>
            </w:r>
          </w:p>
          <w:p w14:paraId="3C533F09" w14:textId="77777777" w:rsidR="00902645" w:rsidRPr="00A51C4E" w:rsidRDefault="00902645" w:rsidP="00D64409">
            <w:pPr>
              <w:pStyle w:val="IATableLines"/>
              <w:numPr>
                <w:ilvl w:val="0"/>
                <w:numId w:val="25"/>
              </w:numPr>
              <w:rPr>
                <w:szCs w:val="22"/>
              </w:rPr>
            </w:pPr>
            <w:r>
              <w:t xml:space="preserve">A flexible and uniform system for making tribunals’ procedural rules </w:t>
            </w:r>
          </w:p>
          <w:p w14:paraId="60A61881" w14:textId="755605EE" w:rsidR="005A7C77" w:rsidRPr="00A51C4E" w:rsidRDefault="005A7C77" w:rsidP="00D64409">
            <w:pPr>
              <w:pStyle w:val="IATableLines"/>
              <w:numPr>
                <w:ilvl w:val="0"/>
                <w:numId w:val="25"/>
              </w:numPr>
              <w:rPr>
                <w:szCs w:val="22"/>
              </w:rPr>
            </w:pPr>
            <w:r>
              <w:t xml:space="preserve">A </w:t>
            </w:r>
            <w:r w:rsidR="00DB48F6">
              <w:t xml:space="preserve">structure for </w:t>
            </w:r>
            <w:r w:rsidR="00E81115">
              <w:t xml:space="preserve">tribunals administration </w:t>
            </w:r>
            <w:r w:rsidR="00DB48F6">
              <w:t xml:space="preserve">which </w:t>
            </w:r>
            <w:r>
              <w:t>respects the principle of judicial independence.</w:t>
            </w:r>
          </w:p>
          <w:p w14:paraId="5F06FDB4" w14:textId="77777777" w:rsidR="00057701" w:rsidRPr="00A51C4E" w:rsidRDefault="00057701" w:rsidP="000B308F">
            <w:pPr>
              <w:pStyle w:val="IATableLines"/>
              <w:rPr>
                <w:szCs w:val="22"/>
              </w:rPr>
            </w:pPr>
          </w:p>
          <w:bookmarkEnd w:id="16"/>
          <w:p w14:paraId="2A3FD15C" w14:textId="77777777" w:rsidR="00E75380" w:rsidRPr="00C120C0" w:rsidRDefault="00E75380" w:rsidP="00D64409">
            <w:pPr>
              <w:pStyle w:val="IATableLines"/>
            </w:pPr>
          </w:p>
        </w:tc>
      </w:tr>
    </w:tbl>
    <w:p w14:paraId="206C8B5E" w14:textId="77777777" w:rsidR="007208D9" w:rsidRPr="00826F71" w:rsidRDefault="007208D9" w:rsidP="007208D9">
      <w:pPr>
        <w:pStyle w:val="IASpacer"/>
      </w:pPr>
    </w:p>
    <w:tbl>
      <w:tblPr>
        <w:tblW w:w="5067" w:type="pct"/>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332"/>
      </w:tblGrid>
      <w:tr w:rsidR="00686F5E" w:rsidRPr="00826F71" w14:paraId="1541D251" w14:textId="77777777" w:rsidTr="00950571">
        <w:trPr>
          <w:trHeight w:hRule="exact" w:val="2862"/>
        </w:trPr>
        <w:tc>
          <w:tcPr>
            <w:tcW w:w="10352" w:type="dxa"/>
            <w:tcBorders>
              <w:top w:val="single" w:sz="4" w:space="0" w:color="auto"/>
              <w:bottom w:val="single" w:sz="4" w:space="0" w:color="auto"/>
            </w:tcBorders>
          </w:tcPr>
          <w:p w14:paraId="7F2B5A01" w14:textId="77777777" w:rsidR="00D64409" w:rsidRDefault="00D64409" w:rsidP="00D64409">
            <w:pPr>
              <w:pStyle w:val="IAIOQ3"/>
            </w:pPr>
            <w:bookmarkStart w:id="17" w:name="IAIOQ3"/>
            <w:bookmarkStart w:id="18" w:name="Summary3"/>
            <w:r>
              <w:t>What policy options have been considered, including any alternatives to regulation? Please justify preferred option (further details in Evidence Base)</w:t>
            </w:r>
            <w:bookmarkStart w:id="19" w:name="IAIOA3"/>
            <w:bookmarkEnd w:id="17"/>
          </w:p>
          <w:bookmarkEnd w:id="19"/>
          <w:p w14:paraId="3D28D5CB" w14:textId="77777777" w:rsidR="00D50283" w:rsidRDefault="00CC19FB" w:rsidP="00D64409">
            <w:pPr>
              <w:pStyle w:val="IATableLines"/>
            </w:pPr>
            <w:r>
              <w:t>Option 0: Do nothing</w:t>
            </w:r>
          </w:p>
          <w:p w14:paraId="629EA948" w14:textId="38988D28" w:rsidR="00CC19FB" w:rsidRDefault="00CC19FB" w:rsidP="00D64409">
            <w:pPr>
              <w:pStyle w:val="IATableLines"/>
              <w:rPr>
                <w:szCs w:val="22"/>
              </w:rPr>
            </w:pPr>
            <w:r>
              <w:t>Option 1:</w:t>
            </w:r>
            <w:r w:rsidR="00CB2E5F">
              <w:t xml:space="preserve"> </w:t>
            </w:r>
            <w:r w:rsidR="00CB2E5F">
              <w:rPr>
                <w:szCs w:val="22"/>
              </w:rPr>
              <w:t xml:space="preserve">Enact a Tribunals Bill for Wales to replace the existing </w:t>
            </w:r>
            <w:r w:rsidR="00774032">
              <w:rPr>
                <w:szCs w:val="22"/>
              </w:rPr>
              <w:t xml:space="preserve">underlying </w:t>
            </w:r>
            <w:r w:rsidR="00CB2E5F">
              <w:rPr>
                <w:szCs w:val="22"/>
              </w:rPr>
              <w:t>legislation for each tribunal with a system of devolved tribunals for Wales based around a unified first-tier tribunal</w:t>
            </w:r>
            <w:r w:rsidR="00CF7EDE">
              <w:rPr>
                <w:szCs w:val="22"/>
              </w:rPr>
              <w:t>, with an appellate tribunal</w:t>
            </w:r>
            <w:r w:rsidR="00CB2E5F">
              <w:rPr>
                <w:szCs w:val="22"/>
              </w:rPr>
              <w:t xml:space="preserve">. The </w:t>
            </w:r>
            <w:r w:rsidR="00C25BE0">
              <w:rPr>
                <w:szCs w:val="22"/>
              </w:rPr>
              <w:t>Valuation Tribunal for Wales</w:t>
            </w:r>
            <w:r w:rsidR="00CB2E5F">
              <w:rPr>
                <w:szCs w:val="22"/>
              </w:rPr>
              <w:t xml:space="preserve"> would be brought within this system</w:t>
            </w:r>
            <w:r w:rsidR="00774032">
              <w:rPr>
                <w:szCs w:val="22"/>
              </w:rPr>
              <w:t xml:space="preserve"> and the work of school exclusion panels would be transferred to the tribunal</w:t>
            </w:r>
            <w:r w:rsidR="00CB2E5F">
              <w:rPr>
                <w:szCs w:val="22"/>
              </w:rPr>
              <w:t>.</w:t>
            </w:r>
            <w:r w:rsidR="00774032">
              <w:rPr>
                <w:szCs w:val="22"/>
              </w:rPr>
              <w:t xml:space="preserve"> </w:t>
            </w:r>
          </w:p>
          <w:p w14:paraId="7BD11581" w14:textId="77777777" w:rsidR="00B472DC" w:rsidRDefault="00B472DC" w:rsidP="00D64409">
            <w:pPr>
              <w:pStyle w:val="IATableLines"/>
              <w:rPr>
                <w:szCs w:val="22"/>
              </w:rPr>
            </w:pPr>
            <w:r>
              <w:rPr>
                <w:rFonts w:cs="Arial"/>
                <w:szCs w:val="22"/>
              </w:rPr>
              <w:t>Option 2: Gradual unification of tribunal</w:t>
            </w:r>
            <w:r w:rsidR="00CC5943">
              <w:rPr>
                <w:rFonts w:cs="Arial"/>
                <w:szCs w:val="22"/>
              </w:rPr>
              <w:t>s</w:t>
            </w:r>
            <w:r>
              <w:rPr>
                <w:rFonts w:cs="Arial"/>
                <w:szCs w:val="22"/>
              </w:rPr>
              <w:t xml:space="preserve">. </w:t>
            </w:r>
            <w:r w:rsidR="003C1E8C">
              <w:rPr>
                <w:rFonts w:cs="Arial"/>
                <w:szCs w:val="22"/>
              </w:rPr>
              <w:t xml:space="preserve">Similar to Option 1, but </w:t>
            </w:r>
            <w:r>
              <w:rPr>
                <w:rFonts w:cs="Arial"/>
                <w:szCs w:val="22"/>
              </w:rPr>
              <w:t>unification would take place in phases</w:t>
            </w:r>
            <w:r w:rsidR="003C1E8C">
              <w:rPr>
                <w:rFonts w:cs="Arial"/>
                <w:szCs w:val="22"/>
              </w:rPr>
              <w:t>.</w:t>
            </w:r>
          </w:p>
          <w:p w14:paraId="1F32FAB7" w14:textId="7EA9E947" w:rsidR="00CB2E5F" w:rsidRDefault="00CB2E5F" w:rsidP="00D64409">
            <w:pPr>
              <w:pStyle w:val="IATableLines"/>
              <w:rPr>
                <w:rFonts w:cs="Arial"/>
                <w:szCs w:val="22"/>
              </w:rPr>
            </w:pPr>
            <w:r>
              <w:rPr>
                <w:szCs w:val="22"/>
              </w:rPr>
              <w:t xml:space="preserve">Option </w:t>
            </w:r>
            <w:r w:rsidR="00B472DC">
              <w:rPr>
                <w:szCs w:val="22"/>
              </w:rPr>
              <w:t>3</w:t>
            </w:r>
            <w:r>
              <w:rPr>
                <w:szCs w:val="22"/>
              </w:rPr>
              <w:t>: Use primary legislation to standardise c</w:t>
            </w:r>
            <w:r>
              <w:rPr>
                <w:rFonts w:cs="Arial"/>
                <w:szCs w:val="22"/>
              </w:rPr>
              <w:t>urrent arrangements for the existing devolved Welsh tribunals in relation to</w:t>
            </w:r>
            <w:r w:rsidR="00902645">
              <w:rPr>
                <w:rFonts w:cs="Arial"/>
                <w:szCs w:val="22"/>
              </w:rPr>
              <w:t xml:space="preserve"> procedural rules,</w:t>
            </w:r>
            <w:r>
              <w:rPr>
                <w:rFonts w:cs="Arial"/>
                <w:szCs w:val="22"/>
              </w:rPr>
              <w:t xml:space="preserve"> appointments and discipline without creating a unified first-tier tribunal. The </w:t>
            </w:r>
            <w:r w:rsidR="00C25BE0">
              <w:rPr>
                <w:rFonts w:cs="Arial"/>
                <w:szCs w:val="22"/>
              </w:rPr>
              <w:t>Valuation Tribunal for Wales</w:t>
            </w:r>
            <w:r>
              <w:rPr>
                <w:rFonts w:cs="Arial"/>
                <w:szCs w:val="22"/>
              </w:rPr>
              <w:t xml:space="preserve"> could be supervised by the President of Welsh Tribunals.</w:t>
            </w:r>
          </w:p>
          <w:p w14:paraId="01C8F3E9" w14:textId="77777777" w:rsidR="00CB2E5F" w:rsidRPr="00C120C0" w:rsidRDefault="00CB2E5F" w:rsidP="00D64409">
            <w:pPr>
              <w:pStyle w:val="IATableLines"/>
            </w:pPr>
            <w:r>
              <w:rPr>
                <w:rFonts w:cs="Arial"/>
                <w:szCs w:val="22"/>
              </w:rPr>
              <w:t>Option 1 is the preferred approach providing a future proofed proportionate solution.</w:t>
            </w:r>
          </w:p>
        </w:tc>
      </w:tr>
    </w:tbl>
    <w:p w14:paraId="192E2866" w14:textId="77777777" w:rsidR="00686F5E" w:rsidRDefault="00686F5E">
      <w:pPr>
        <w:pStyle w:val="IASpacer2"/>
      </w:pPr>
    </w:p>
    <w:tbl>
      <w:tblPr>
        <w:tblW w:w="50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332"/>
      </w:tblGrid>
      <w:tr w:rsidR="00720FFE" w14:paraId="2B359CAD" w14:textId="77777777" w:rsidTr="00950571">
        <w:tc>
          <w:tcPr>
            <w:tcW w:w="5000" w:type="pct"/>
          </w:tcPr>
          <w:tbl>
            <w:tblPr>
              <w:tblpPr w:leftFromText="180" w:rightFromText="180" w:vertAnchor="text" w:horzAnchor="margin" w:tblpY="314"/>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1"/>
              <w:gridCol w:w="1098"/>
              <w:gridCol w:w="871"/>
              <w:gridCol w:w="347"/>
              <w:gridCol w:w="633"/>
              <w:gridCol w:w="1178"/>
            </w:tblGrid>
            <w:tr w:rsidR="00C24ED8" w:rsidRPr="00D50283" w14:paraId="586DA8D2" w14:textId="77777777" w:rsidTr="00C24ED8">
              <w:trPr>
                <w:trHeight w:hRule="exact" w:val="340"/>
              </w:trPr>
              <w:tc>
                <w:tcPr>
                  <w:tcW w:w="7349" w:type="dxa"/>
                  <w:gridSpan w:val="2"/>
                  <w:shd w:val="clear" w:color="auto" w:fill="E0E0E0"/>
                  <w:vAlign w:val="center"/>
                </w:tcPr>
                <w:p w14:paraId="1AD099AA" w14:textId="77777777" w:rsidR="00C24ED8" w:rsidRPr="00D50283" w:rsidRDefault="00C24ED8" w:rsidP="00C24ED8">
                  <w:pPr>
                    <w:pStyle w:val="IATableText"/>
                    <w:spacing w:before="0" w:after="0"/>
                    <w:rPr>
                      <w:sz w:val="20"/>
                    </w:rPr>
                  </w:pPr>
                  <w:r w:rsidRPr="00D50283">
                    <w:rPr>
                      <w:iCs/>
                      <w:sz w:val="20"/>
                    </w:rPr>
                    <w:t>Does implementation go beyond minimum EU requirements?</w:t>
                  </w:r>
                </w:p>
              </w:tc>
              <w:bookmarkStart w:id="20" w:name="IACheckEU"/>
              <w:tc>
                <w:tcPr>
                  <w:tcW w:w="3029" w:type="dxa"/>
                  <w:gridSpan w:val="4"/>
                  <w:shd w:val="clear" w:color="auto" w:fill="E0E0E0"/>
                  <w:vAlign w:val="center"/>
                </w:tcPr>
                <w:p w14:paraId="4FA3C29C" w14:textId="77777777" w:rsidR="00C24ED8" w:rsidRPr="00D50283" w:rsidRDefault="00C24ED8" w:rsidP="00C24ED8">
                  <w:pPr>
                    <w:pStyle w:val="IAIOCheckEU"/>
                  </w:pPr>
                  <w:r>
                    <w:fldChar w:fldCharType="begin">
                      <w:ffData>
                        <w:name w:val="IACheckEU"/>
                        <w:enabled/>
                        <w:calcOnExit w:val="0"/>
                        <w:ddList>
                          <w:listEntry w:val="Yes / No / N/A"/>
                          <w:listEntry w:val="Yes"/>
                          <w:listEntry w:val="No"/>
                          <w:listEntry w:val="N/A"/>
                        </w:ddList>
                      </w:ffData>
                    </w:fldChar>
                  </w:r>
                  <w:r>
                    <w:instrText xml:space="preserve"> FORMDROPDOWN </w:instrText>
                  </w:r>
                  <w:r w:rsidR="00FE6328">
                    <w:fldChar w:fldCharType="separate"/>
                  </w:r>
                  <w:r>
                    <w:fldChar w:fldCharType="end"/>
                  </w:r>
                  <w:bookmarkEnd w:id="20"/>
                </w:p>
              </w:tc>
            </w:tr>
            <w:tr w:rsidR="00C24ED8" w:rsidRPr="00D50283" w14:paraId="2ED03A88" w14:textId="77777777" w:rsidTr="00C24ED8">
              <w:trPr>
                <w:trHeight w:hRule="exact" w:val="340"/>
              </w:trPr>
              <w:tc>
                <w:tcPr>
                  <w:tcW w:w="7349" w:type="dxa"/>
                  <w:gridSpan w:val="2"/>
                  <w:shd w:val="clear" w:color="auto" w:fill="E0E0E0"/>
                  <w:vAlign w:val="center"/>
                </w:tcPr>
                <w:p w14:paraId="01F26B71" w14:textId="77777777" w:rsidR="00C24ED8" w:rsidRPr="00D50283" w:rsidRDefault="00C24ED8" w:rsidP="00C24ED8">
                  <w:pPr>
                    <w:pStyle w:val="IATableText"/>
                    <w:spacing w:before="0" w:after="0"/>
                    <w:rPr>
                      <w:iCs/>
                      <w:sz w:val="20"/>
                    </w:rPr>
                  </w:pPr>
                  <w:r>
                    <w:rPr>
                      <w:iCs/>
                      <w:sz w:val="20"/>
                    </w:rPr>
                    <w:t xml:space="preserve">Is this measure likely to impact on international trade and investment? </w:t>
                  </w:r>
                </w:p>
              </w:tc>
              <w:tc>
                <w:tcPr>
                  <w:tcW w:w="3029" w:type="dxa"/>
                  <w:gridSpan w:val="4"/>
                  <w:shd w:val="clear" w:color="auto" w:fill="E0E0E0"/>
                  <w:vAlign w:val="center"/>
                </w:tcPr>
                <w:p w14:paraId="4C1077C9" w14:textId="77777777" w:rsidR="00C24ED8" w:rsidRDefault="00C24ED8" w:rsidP="00C24ED8">
                  <w:pPr>
                    <w:pStyle w:val="IAIOCheckEU"/>
                  </w:pPr>
                  <w:r>
                    <w:fldChar w:fldCharType="begin">
                      <w:ffData>
                        <w:name w:val=""/>
                        <w:enabled/>
                        <w:calcOnExit w:val="0"/>
                        <w:ddList>
                          <w:listEntry w:val="Yes / No"/>
                          <w:listEntry w:val="Yes"/>
                          <w:listEntry w:val="No"/>
                        </w:ddList>
                      </w:ffData>
                    </w:fldChar>
                  </w:r>
                  <w:r>
                    <w:instrText xml:space="preserve"> FORMDROPDOWN </w:instrText>
                  </w:r>
                  <w:r w:rsidR="00FE6328">
                    <w:fldChar w:fldCharType="separate"/>
                  </w:r>
                  <w:r>
                    <w:fldChar w:fldCharType="end"/>
                  </w:r>
                </w:p>
              </w:tc>
            </w:tr>
            <w:tr w:rsidR="00C24ED8" w:rsidRPr="00D50283" w14:paraId="466FE2C1" w14:textId="77777777" w:rsidTr="00C24ED8">
              <w:trPr>
                <w:trHeight w:val="460"/>
              </w:trPr>
              <w:tc>
                <w:tcPr>
                  <w:tcW w:w="6251" w:type="dxa"/>
                  <w:shd w:val="clear" w:color="auto" w:fill="E0E0E0"/>
                  <w:vAlign w:val="center"/>
                </w:tcPr>
                <w:p w14:paraId="05623C17" w14:textId="77777777" w:rsidR="00C24ED8" w:rsidRPr="00720FFE" w:rsidRDefault="00C24ED8" w:rsidP="00C24ED8">
                  <w:pPr>
                    <w:pStyle w:val="IATableLines"/>
                    <w:rPr>
                      <w:b/>
                      <w:color w:val="000000"/>
                      <w:sz w:val="20"/>
                    </w:rPr>
                  </w:pPr>
                  <w:r w:rsidRPr="00D50283">
                    <w:rPr>
                      <w:rFonts w:cs="Arial"/>
                      <w:sz w:val="20"/>
                    </w:rPr>
                    <w:t>Are a</w:t>
                  </w:r>
                  <w:r>
                    <w:rPr>
                      <w:rFonts w:cs="Arial"/>
                      <w:sz w:val="20"/>
                    </w:rPr>
                    <w:t>ny of these organisations in scope</w:t>
                  </w:r>
                  <w:r w:rsidRPr="00D50283">
                    <w:rPr>
                      <w:rFonts w:cs="Arial"/>
                      <w:sz w:val="20"/>
                    </w:rPr>
                    <w:t>?</w:t>
                  </w:r>
                </w:p>
              </w:tc>
              <w:tc>
                <w:tcPr>
                  <w:tcW w:w="1098" w:type="dxa"/>
                  <w:shd w:val="clear" w:color="auto" w:fill="E0E0E0"/>
                  <w:vAlign w:val="center"/>
                </w:tcPr>
                <w:p w14:paraId="24A7F92D" w14:textId="77777777" w:rsidR="00C24ED8" w:rsidRPr="00720FFE" w:rsidRDefault="00C24ED8" w:rsidP="00C24ED8">
                  <w:pPr>
                    <w:pStyle w:val="IATableLines"/>
                    <w:rPr>
                      <w:b/>
                      <w:color w:val="000000"/>
                      <w:sz w:val="20"/>
                    </w:rPr>
                  </w:pPr>
                  <w:r w:rsidRPr="00720FFE">
                    <w:rPr>
                      <w:b/>
                      <w:color w:val="000000"/>
                      <w:sz w:val="20"/>
                    </w:rPr>
                    <w:t>Micro</w:t>
                  </w:r>
                  <w:bookmarkStart w:id="21" w:name="IACheckMicro"/>
                  <w:r w:rsidRPr="00817638">
                    <w:rPr>
                      <w:rStyle w:val="IAIOCheckMicroChar"/>
                      <w:b w:val="0"/>
                      <w:sz w:val="20"/>
                    </w:rPr>
                    <w:fldChar w:fldCharType="begin">
                      <w:ffData>
                        <w:name w:val="IACheckMicro"/>
                        <w:enabled/>
                        <w:calcOnExit w:val="0"/>
                        <w:ddList>
                          <w:listEntry w:val="Yes/No"/>
                          <w:listEntry w:val="Yes"/>
                          <w:listEntry w:val="No"/>
                        </w:ddList>
                      </w:ffData>
                    </w:fldChar>
                  </w:r>
                  <w:r w:rsidRPr="00817638">
                    <w:rPr>
                      <w:rStyle w:val="IAIOCheckMicroChar"/>
                      <w:b w:val="0"/>
                      <w:sz w:val="20"/>
                    </w:rPr>
                    <w:instrText xml:space="preserve"> FORMDROPDOWN </w:instrText>
                  </w:r>
                  <w:r w:rsidR="00FE6328">
                    <w:rPr>
                      <w:rStyle w:val="IAIOCheckMicroChar"/>
                      <w:b w:val="0"/>
                      <w:sz w:val="20"/>
                    </w:rPr>
                  </w:r>
                  <w:r w:rsidR="00FE6328">
                    <w:rPr>
                      <w:rStyle w:val="IAIOCheckMicroChar"/>
                      <w:b w:val="0"/>
                      <w:sz w:val="20"/>
                    </w:rPr>
                    <w:fldChar w:fldCharType="separate"/>
                  </w:r>
                  <w:r w:rsidRPr="00817638">
                    <w:rPr>
                      <w:rStyle w:val="IAIOCheckMicroChar"/>
                      <w:b w:val="0"/>
                      <w:sz w:val="20"/>
                    </w:rPr>
                    <w:fldChar w:fldCharType="end"/>
                  </w:r>
                  <w:bookmarkEnd w:id="21"/>
                </w:p>
              </w:tc>
              <w:tc>
                <w:tcPr>
                  <w:tcW w:w="871" w:type="dxa"/>
                  <w:shd w:val="clear" w:color="auto" w:fill="E0E0E0"/>
                  <w:vAlign w:val="center"/>
                </w:tcPr>
                <w:p w14:paraId="5B0EFD60" w14:textId="77777777" w:rsidR="00C24ED8" w:rsidRPr="00720FFE" w:rsidRDefault="00C24ED8" w:rsidP="00C24ED8">
                  <w:pPr>
                    <w:pStyle w:val="IATableLines"/>
                    <w:rPr>
                      <w:b/>
                      <w:color w:val="000000"/>
                      <w:sz w:val="20"/>
                    </w:rPr>
                  </w:pPr>
                  <w:r w:rsidRPr="00720FFE">
                    <w:rPr>
                      <w:b/>
                      <w:color w:val="000000"/>
                      <w:sz w:val="20"/>
                    </w:rPr>
                    <w:t>Small</w:t>
                  </w:r>
                  <w:bookmarkStart w:id="22" w:name="IACheckSmall"/>
                  <w:r w:rsidRPr="00817638">
                    <w:rPr>
                      <w:rStyle w:val="IAIOCheckSmallChar"/>
                      <w:b w:val="0"/>
                      <w:sz w:val="20"/>
                    </w:rPr>
                    <w:fldChar w:fldCharType="begin">
                      <w:ffData>
                        <w:name w:val="IACheckSmall"/>
                        <w:enabled/>
                        <w:calcOnExit w:val="0"/>
                        <w:ddList>
                          <w:listEntry w:val="Yes/No"/>
                          <w:listEntry w:val="Yes"/>
                          <w:listEntry w:val="No"/>
                        </w:ddList>
                      </w:ffData>
                    </w:fldChar>
                  </w:r>
                  <w:r w:rsidRPr="00817638">
                    <w:rPr>
                      <w:rStyle w:val="IAIOCheckSmallChar"/>
                      <w:b w:val="0"/>
                      <w:sz w:val="20"/>
                    </w:rPr>
                    <w:instrText xml:space="preserve"> FORMDROPDOWN </w:instrText>
                  </w:r>
                  <w:r w:rsidR="00FE6328">
                    <w:rPr>
                      <w:rStyle w:val="IAIOCheckSmallChar"/>
                      <w:b w:val="0"/>
                      <w:sz w:val="20"/>
                    </w:rPr>
                  </w:r>
                  <w:r w:rsidR="00FE6328">
                    <w:rPr>
                      <w:rStyle w:val="IAIOCheckSmallChar"/>
                      <w:b w:val="0"/>
                      <w:sz w:val="20"/>
                    </w:rPr>
                    <w:fldChar w:fldCharType="separate"/>
                  </w:r>
                  <w:r w:rsidRPr="00817638">
                    <w:rPr>
                      <w:rStyle w:val="IAIOCheckSmallChar"/>
                      <w:b w:val="0"/>
                      <w:sz w:val="20"/>
                    </w:rPr>
                    <w:fldChar w:fldCharType="end"/>
                  </w:r>
                  <w:bookmarkEnd w:id="22"/>
                </w:p>
              </w:tc>
              <w:tc>
                <w:tcPr>
                  <w:tcW w:w="980" w:type="dxa"/>
                  <w:gridSpan w:val="2"/>
                  <w:shd w:val="clear" w:color="auto" w:fill="E0E0E0"/>
                  <w:vAlign w:val="center"/>
                </w:tcPr>
                <w:p w14:paraId="691B3765" w14:textId="77777777" w:rsidR="00C24ED8" w:rsidRPr="00720FFE" w:rsidRDefault="00C24ED8" w:rsidP="00C24ED8">
                  <w:pPr>
                    <w:pStyle w:val="IATableLines"/>
                    <w:rPr>
                      <w:b/>
                      <w:color w:val="000000"/>
                      <w:sz w:val="20"/>
                    </w:rPr>
                  </w:pPr>
                  <w:r w:rsidRPr="00720FFE">
                    <w:rPr>
                      <w:b/>
                      <w:color w:val="000000"/>
                      <w:sz w:val="20"/>
                    </w:rPr>
                    <w:t>Medium</w:t>
                  </w:r>
                  <w:bookmarkStart w:id="23" w:name="IACheckMedium"/>
                  <w:r w:rsidRPr="00817638">
                    <w:rPr>
                      <w:rStyle w:val="IAIOCheckMediumChar"/>
                      <w:b w:val="0"/>
                      <w:sz w:val="20"/>
                    </w:rPr>
                    <w:fldChar w:fldCharType="begin">
                      <w:ffData>
                        <w:name w:val="IACheckMedium"/>
                        <w:enabled/>
                        <w:calcOnExit w:val="0"/>
                        <w:ddList>
                          <w:listEntry w:val="Yes/No"/>
                          <w:listEntry w:val="Yes"/>
                          <w:listEntry w:val="No"/>
                        </w:ddList>
                      </w:ffData>
                    </w:fldChar>
                  </w:r>
                  <w:r w:rsidRPr="00817638">
                    <w:rPr>
                      <w:rStyle w:val="IAIOCheckMediumChar"/>
                      <w:b w:val="0"/>
                      <w:sz w:val="20"/>
                    </w:rPr>
                    <w:instrText xml:space="preserve"> FORMDROPDOWN </w:instrText>
                  </w:r>
                  <w:r w:rsidR="00FE6328">
                    <w:rPr>
                      <w:rStyle w:val="IAIOCheckMediumChar"/>
                      <w:b w:val="0"/>
                      <w:sz w:val="20"/>
                    </w:rPr>
                  </w:r>
                  <w:r w:rsidR="00FE6328">
                    <w:rPr>
                      <w:rStyle w:val="IAIOCheckMediumChar"/>
                      <w:b w:val="0"/>
                      <w:sz w:val="20"/>
                    </w:rPr>
                    <w:fldChar w:fldCharType="separate"/>
                  </w:r>
                  <w:r w:rsidRPr="00817638">
                    <w:rPr>
                      <w:rStyle w:val="IAIOCheckMediumChar"/>
                      <w:b w:val="0"/>
                      <w:sz w:val="20"/>
                    </w:rPr>
                    <w:fldChar w:fldCharType="end"/>
                  </w:r>
                  <w:bookmarkEnd w:id="23"/>
                </w:p>
              </w:tc>
              <w:tc>
                <w:tcPr>
                  <w:tcW w:w="1178" w:type="dxa"/>
                  <w:shd w:val="clear" w:color="auto" w:fill="E0E0E0"/>
                  <w:vAlign w:val="center"/>
                </w:tcPr>
                <w:p w14:paraId="542910A1" w14:textId="77777777" w:rsidR="00C24ED8" w:rsidRPr="00720FFE" w:rsidRDefault="00C24ED8" w:rsidP="00C24ED8">
                  <w:pPr>
                    <w:pStyle w:val="IATableLines"/>
                    <w:rPr>
                      <w:b/>
                      <w:color w:val="000000"/>
                      <w:sz w:val="20"/>
                    </w:rPr>
                  </w:pPr>
                  <w:r w:rsidRPr="00720FFE">
                    <w:rPr>
                      <w:b/>
                      <w:color w:val="000000"/>
                      <w:sz w:val="20"/>
                    </w:rPr>
                    <w:t>Large</w:t>
                  </w:r>
                  <w:bookmarkStart w:id="24" w:name="IACheckLarge"/>
                  <w:r w:rsidRPr="00817638">
                    <w:rPr>
                      <w:rStyle w:val="IAIOCheckLargeChar"/>
                      <w:b w:val="0"/>
                      <w:sz w:val="20"/>
                    </w:rPr>
                    <w:fldChar w:fldCharType="begin">
                      <w:ffData>
                        <w:name w:val="IACheckLarge"/>
                        <w:enabled/>
                        <w:calcOnExit w:val="0"/>
                        <w:ddList>
                          <w:listEntry w:val="Yes/No"/>
                          <w:listEntry w:val="Yes"/>
                          <w:listEntry w:val="No"/>
                        </w:ddList>
                      </w:ffData>
                    </w:fldChar>
                  </w:r>
                  <w:r w:rsidRPr="00817638">
                    <w:rPr>
                      <w:rStyle w:val="IAIOCheckLargeChar"/>
                      <w:b w:val="0"/>
                      <w:sz w:val="20"/>
                    </w:rPr>
                    <w:instrText xml:space="preserve"> FORMDROPDOWN </w:instrText>
                  </w:r>
                  <w:r w:rsidR="00FE6328">
                    <w:rPr>
                      <w:rStyle w:val="IAIOCheckLargeChar"/>
                      <w:b w:val="0"/>
                      <w:sz w:val="20"/>
                    </w:rPr>
                  </w:r>
                  <w:r w:rsidR="00FE6328">
                    <w:rPr>
                      <w:rStyle w:val="IAIOCheckLargeChar"/>
                      <w:b w:val="0"/>
                      <w:sz w:val="20"/>
                    </w:rPr>
                    <w:fldChar w:fldCharType="separate"/>
                  </w:r>
                  <w:r w:rsidRPr="00817638">
                    <w:rPr>
                      <w:rStyle w:val="IAIOCheckLargeChar"/>
                      <w:b w:val="0"/>
                      <w:sz w:val="20"/>
                    </w:rPr>
                    <w:fldChar w:fldCharType="end"/>
                  </w:r>
                  <w:bookmarkEnd w:id="24"/>
                </w:p>
              </w:tc>
            </w:tr>
            <w:tr w:rsidR="00C24ED8" w14:paraId="61528B91" w14:textId="77777777" w:rsidTr="00C24ED8">
              <w:trPr>
                <w:trHeight w:hRule="exact" w:val="567"/>
              </w:trPr>
              <w:tc>
                <w:tcPr>
                  <w:tcW w:w="7349" w:type="dxa"/>
                  <w:gridSpan w:val="2"/>
                  <w:shd w:val="clear" w:color="auto" w:fill="E0E0E0"/>
                  <w:vAlign w:val="center"/>
                </w:tcPr>
                <w:p w14:paraId="4D5AE007" w14:textId="77777777" w:rsidR="00C24ED8" w:rsidRDefault="00C24ED8" w:rsidP="00C24ED8">
                  <w:pPr>
                    <w:pStyle w:val="IATableText"/>
                    <w:spacing w:before="0" w:after="0"/>
                    <w:rPr>
                      <w:rFonts w:eastAsia="Times New Roman"/>
                      <w:sz w:val="16"/>
                      <w:szCs w:val="16"/>
                    </w:rPr>
                  </w:pPr>
                  <w:r>
                    <w:rPr>
                      <w:rFonts w:cs="Arial"/>
                      <w:sz w:val="20"/>
                    </w:rPr>
                    <w:t>What is the CO</w:t>
                  </w:r>
                  <w:r w:rsidRPr="00FC07D5">
                    <w:rPr>
                      <w:rFonts w:cs="Arial"/>
                      <w:sz w:val="20"/>
                      <w:vertAlign w:val="subscript"/>
                    </w:rPr>
                    <w:t>2</w:t>
                  </w:r>
                  <w:r>
                    <w:rPr>
                      <w:rFonts w:cs="Arial"/>
                      <w:sz w:val="20"/>
                    </w:rPr>
                    <w:t xml:space="preserve"> equivalent change in greenhouse gas emissions? </w:t>
                  </w:r>
                  <w:r>
                    <w:rPr>
                      <w:rFonts w:cs="Arial"/>
                      <w:sz w:val="20"/>
                    </w:rPr>
                    <w:br/>
                    <w:t>(Million tonnes CO</w:t>
                  </w:r>
                  <w:r w:rsidRPr="00FC07D5">
                    <w:rPr>
                      <w:rFonts w:cs="Arial"/>
                      <w:sz w:val="20"/>
                      <w:vertAlign w:val="subscript"/>
                    </w:rPr>
                    <w:t>2</w:t>
                  </w:r>
                  <w:r>
                    <w:rPr>
                      <w:rFonts w:cs="Arial"/>
                      <w:sz w:val="20"/>
                    </w:rPr>
                    <w:t xml:space="preserve"> equivalent)</w:t>
                  </w:r>
                  <w:r>
                    <w:rPr>
                      <w:spacing w:val="0"/>
                      <w:sz w:val="18"/>
                    </w:rPr>
                    <w:t xml:space="preserve">  </w:t>
                  </w:r>
                </w:p>
              </w:tc>
              <w:tc>
                <w:tcPr>
                  <w:tcW w:w="1218" w:type="dxa"/>
                  <w:gridSpan w:val="2"/>
                  <w:shd w:val="clear" w:color="auto" w:fill="E0E0E0"/>
                </w:tcPr>
                <w:p w14:paraId="3251452F" w14:textId="77777777" w:rsidR="00C24ED8" w:rsidRDefault="00C24ED8" w:rsidP="00C24ED8">
                  <w:pPr>
                    <w:pStyle w:val="IATableLabel"/>
                  </w:pPr>
                  <w:r>
                    <w:t xml:space="preserve">Traded:   </w:t>
                  </w:r>
                  <w:r>
                    <w:br/>
                  </w:r>
                  <w:bookmarkStart w:id="25" w:name="IACO2Traded"/>
                  <w:r w:rsidRPr="00335C9A">
                    <w:rPr>
                      <w:rStyle w:val="IAIOCO2TradedChar"/>
                      <w:sz w:val="20"/>
                    </w:rPr>
                    <w:fldChar w:fldCharType="begin">
                      <w:ffData>
                        <w:name w:val="IACO2Traded"/>
                        <w:enabled/>
                        <w:calcOnExit w:val="0"/>
                        <w:textInput>
                          <w:maxLength w:val="8"/>
                        </w:textInput>
                      </w:ffData>
                    </w:fldChar>
                  </w:r>
                  <w:r w:rsidRPr="00335C9A">
                    <w:rPr>
                      <w:rStyle w:val="IAIOCO2TradedChar"/>
                      <w:sz w:val="20"/>
                    </w:rPr>
                    <w:instrText xml:space="preserve"> FORMTEXT </w:instrText>
                  </w:r>
                  <w:r w:rsidRPr="00335C9A">
                    <w:rPr>
                      <w:rStyle w:val="IAIOCO2TradedChar"/>
                      <w:sz w:val="20"/>
                    </w:rPr>
                  </w:r>
                  <w:r w:rsidRPr="00335C9A">
                    <w:rPr>
                      <w:rStyle w:val="IAIOCO2TradedChar"/>
                      <w:sz w:val="20"/>
                    </w:rPr>
                    <w:fldChar w:fldCharType="separate"/>
                  </w:r>
                  <w:r w:rsidRPr="00335C9A">
                    <w:rPr>
                      <w:rStyle w:val="IAIOCO2TradedChar"/>
                      <w:sz w:val="20"/>
                    </w:rPr>
                    <w:t> </w:t>
                  </w:r>
                  <w:r w:rsidRPr="00335C9A">
                    <w:rPr>
                      <w:rStyle w:val="IAIOCO2TradedChar"/>
                      <w:sz w:val="20"/>
                    </w:rPr>
                    <w:t> </w:t>
                  </w:r>
                  <w:r w:rsidRPr="00335C9A">
                    <w:rPr>
                      <w:rStyle w:val="IAIOCO2TradedChar"/>
                      <w:sz w:val="20"/>
                    </w:rPr>
                    <w:t> </w:t>
                  </w:r>
                  <w:r w:rsidRPr="00335C9A">
                    <w:rPr>
                      <w:rStyle w:val="IAIOCO2TradedChar"/>
                      <w:sz w:val="20"/>
                    </w:rPr>
                    <w:t> </w:t>
                  </w:r>
                  <w:r w:rsidRPr="00335C9A">
                    <w:rPr>
                      <w:rStyle w:val="IAIOCO2TradedChar"/>
                      <w:sz w:val="20"/>
                    </w:rPr>
                    <w:t> </w:t>
                  </w:r>
                  <w:r w:rsidRPr="00335C9A">
                    <w:rPr>
                      <w:rStyle w:val="IAIOCO2TradedChar"/>
                      <w:sz w:val="20"/>
                    </w:rPr>
                    <w:fldChar w:fldCharType="end"/>
                  </w:r>
                  <w:bookmarkEnd w:id="25"/>
                </w:p>
              </w:tc>
              <w:tc>
                <w:tcPr>
                  <w:tcW w:w="1811" w:type="dxa"/>
                  <w:gridSpan w:val="2"/>
                  <w:shd w:val="clear" w:color="auto" w:fill="E0E0E0"/>
                </w:tcPr>
                <w:p w14:paraId="72D7F157" w14:textId="77777777" w:rsidR="00C24ED8" w:rsidRDefault="00C24ED8" w:rsidP="00C24ED8">
                  <w:pPr>
                    <w:pStyle w:val="IATableLabel"/>
                  </w:pPr>
                  <w:r>
                    <w:t xml:space="preserve">Non-traded:   </w:t>
                  </w:r>
                  <w:r>
                    <w:br/>
                  </w:r>
                  <w:bookmarkStart w:id="26" w:name="IACO2NonTraded"/>
                  <w:r>
                    <w:rPr>
                      <w:rStyle w:val="IAIOCO2TradedChar"/>
                      <w:sz w:val="20"/>
                    </w:rPr>
                    <w:fldChar w:fldCharType="begin">
                      <w:ffData>
                        <w:name w:val="IACO2NonTraded"/>
                        <w:enabled/>
                        <w:calcOnExit w:val="0"/>
                        <w:textInput>
                          <w:maxLength w:val="8"/>
                        </w:textInput>
                      </w:ffData>
                    </w:fldChar>
                  </w:r>
                  <w:r>
                    <w:rPr>
                      <w:rStyle w:val="IAIOCO2TradedChar"/>
                      <w:sz w:val="20"/>
                    </w:rPr>
                    <w:instrText xml:space="preserve"> FORMTEXT </w:instrText>
                  </w:r>
                  <w:r>
                    <w:rPr>
                      <w:rStyle w:val="IAIOCO2TradedChar"/>
                      <w:sz w:val="20"/>
                    </w:rPr>
                  </w:r>
                  <w:r>
                    <w:rPr>
                      <w:rStyle w:val="IAIOCO2TradedChar"/>
                      <w:sz w:val="20"/>
                    </w:rPr>
                    <w:fldChar w:fldCharType="separate"/>
                  </w:r>
                  <w:r>
                    <w:rPr>
                      <w:rStyle w:val="IAIOCO2TradedChar"/>
                      <w:noProof/>
                      <w:sz w:val="20"/>
                    </w:rPr>
                    <w:t> </w:t>
                  </w:r>
                  <w:r>
                    <w:rPr>
                      <w:rStyle w:val="IAIOCO2TradedChar"/>
                      <w:noProof/>
                      <w:sz w:val="20"/>
                    </w:rPr>
                    <w:t> </w:t>
                  </w:r>
                  <w:r>
                    <w:rPr>
                      <w:rStyle w:val="IAIOCO2TradedChar"/>
                      <w:noProof/>
                      <w:sz w:val="20"/>
                    </w:rPr>
                    <w:t> </w:t>
                  </w:r>
                  <w:r>
                    <w:rPr>
                      <w:rStyle w:val="IAIOCO2TradedChar"/>
                      <w:noProof/>
                      <w:sz w:val="20"/>
                    </w:rPr>
                    <w:t> </w:t>
                  </w:r>
                  <w:r>
                    <w:rPr>
                      <w:rStyle w:val="IAIOCO2TradedChar"/>
                      <w:noProof/>
                      <w:sz w:val="20"/>
                    </w:rPr>
                    <w:t> </w:t>
                  </w:r>
                  <w:r>
                    <w:rPr>
                      <w:rStyle w:val="IAIOCO2TradedChar"/>
                      <w:sz w:val="20"/>
                    </w:rPr>
                    <w:fldChar w:fldCharType="end"/>
                  </w:r>
                  <w:bookmarkEnd w:id="26"/>
                </w:p>
              </w:tc>
            </w:tr>
          </w:tbl>
          <w:p w14:paraId="36C12859" w14:textId="77777777" w:rsidR="00720FFE" w:rsidRPr="007E190E" w:rsidRDefault="00720FFE" w:rsidP="00332B05">
            <w:pPr>
              <w:pStyle w:val="IATableLabel"/>
              <w:rPr>
                <w:b w:val="0"/>
                <w:sz w:val="22"/>
                <w:szCs w:val="22"/>
              </w:rPr>
            </w:pPr>
            <w:r w:rsidRPr="00D02C89">
              <w:t xml:space="preserve">Will the policy be reviewed?  </w:t>
            </w:r>
            <w:r w:rsidRPr="007E190E">
              <w:rPr>
                <w:b w:val="0"/>
                <w:sz w:val="22"/>
                <w:szCs w:val="22"/>
              </w:rPr>
              <w:t xml:space="preserve">It </w:t>
            </w:r>
            <w:bookmarkStart w:id="27" w:name="IAPolicyReview"/>
            <w:r w:rsidR="00BB249D" w:rsidRPr="007E190E">
              <w:rPr>
                <w:rStyle w:val="IAIOPolicyReviewChar"/>
                <w:szCs w:val="22"/>
              </w:rPr>
              <w:fldChar w:fldCharType="begin">
                <w:ffData>
                  <w:name w:val="IAPolicyReview"/>
                  <w:enabled/>
                  <w:calcOnExit w:val="0"/>
                  <w:ddList>
                    <w:listEntry w:val="will/will not"/>
                    <w:listEntry w:val="will"/>
                    <w:listEntry w:val="will not"/>
                  </w:ddList>
                </w:ffData>
              </w:fldChar>
            </w:r>
            <w:r w:rsidR="00BB249D" w:rsidRPr="007E190E">
              <w:rPr>
                <w:rStyle w:val="IAIOPolicyReviewChar"/>
                <w:szCs w:val="22"/>
              </w:rPr>
              <w:instrText xml:space="preserve"> FORMDROPDOWN </w:instrText>
            </w:r>
            <w:r w:rsidR="00FE6328">
              <w:rPr>
                <w:rStyle w:val="IAIOPolicyReviewChar"/>
                <w:szCs w:val="22"/>
              </w:rPr>
            </w:r>
            <w:r w:rsidR="00FE6328">
              <w:rPr>
                <w:rStyle w:val="IAIOPolicyReviewChar"/>
                <w:szCs w:val="22"/>
              </w:rPr>
              <w:fldChar w:fldCharType="separate"/>
            </w:r>
            <w:r w:rsidR="00BB249D" w:rsidRPr="007E190E">
              <w:rPr>
                <w:rStyle w:val="IAIOPolicyReviewChar"/>
                <w:szCs w:val="22"/>
              </w:rPr>
              <w:fldChar w:fldCharType="end"/>
            </w:r>
            <w:bookmarkEnd w:id="27"/>
            <w:r w:rsidRPr="007E190E">
              <w:rPr>
                <w:b w:val="0"/>
                <w:sz w:val="22"/>
                <w:szCs w:val="22"/>
              </w:rPr>
              <w:t xml:space="preserve"> be reviewed.</w:t>
            </w:r>
            <w:r w:rsidRPr="007E190E">
              <w:rPr>
                <w:sz w:val="22"/>
                <w:szCs w:val="22"/>
              </w:rPr>
              <w:t xml:space="preserve"> </w:t>
            </w:r>
            <w:r w:rsidRPr="00D02C89">
              <w:t xml:space="preserve"> If applicable, set review date:  </w:t>
            </w:r>
            <w:bookmarkStart w:id="28" w:name="IAReviewMonth"/>
            <w:r w:rsidR="00BB249D" w:rsidRPr="007E190E">
              <w:rPr>
                <w:rStyle w:val="IAIOReviewMonthChar"/>
                <w:szCs w:val="22"/>
              </w:rPr>
              <w:fldChar w:fldCharType="begin">
                <w:ffData>
                  <w:name w:val="IAReviewMonth"/>
                  <w:enabled/>
                  <w:calcOnExit w:val="0"/>
                  <w:ddList>
                    <w:listEntry w:val="Month"/>
                    <w:listEntry w:val="01"/>
                    <w:listEntry w:val="02"/>
                    <w:listEntry w:val="03"/>
                    <w:listEntry w:val="04"/>
                    <w:listEntry w:val="05"/>
                    <w:listEntry w:val="06"/>
                    <w:listEntry w:val="07"/>
                    <w:listEntry w:val="08"/>
                    <w:listEntry w:val="09"/>
                    <w:listEntry w:val="10"/>
                    <w:listEntry w:val="11"/>
                    <w:listEntry w:val="12"/>
                  </w:ddList>
                </w:ffData>
              </w:fldChar>
            </w:r>
            <w:r w:rsidR="00BB249D" w:rsidRPr="007E190E">
              <w:rPr>
                <w:rStyle w:val="IAIOReviewMonthChar"/>
                <w:szCs w:val="22"/>
              </w:rPr>
              <w:instrText xml:space="preserve"> FORMDROPDOWN </w:instrText>
            </w:r>
            <w:r w:rsidR="00FE6328">
              <w:rPr>
                <w:rStyle w:val="IAIOReviewMonthChar"/>
                <w:szCs w:val="22"/>
              </w:rPr>
            </w:r>
            <w:r w:rsidR="00FE6328">
              <w:rPr>
                <w:rStyle w:val="IAIOReviewMonthChar"/>
                <w:szCs w:val="22"/>
              </w:rPr>
              <w:fldChar w:fldCharType="separate"/>
            </w:r>
            <w:r w:rsidR="00BB249D" w:rsidRPr="007E190E">
              <w:rPr>
                <w:rStyle w:val="IAIOReviewMonthChar"/>
                <w:szCs w:val="22"/>
              </w:rPr>
              <w:fldChar w:fldCharType="end"/>
            </w:r>
            <w:bookmarkEnd w:id="28"/>
            <w:r w:rsidRPr="007E190E">
              <w:rPr>
                <w:b w:val="0"/>
                <w:sz w:val="22"/>
                <w:szCs w:val="22"/>
              </w:rPr>
              <w:t>/</w:t>
            </w:r>
            <w:bookmarkStart w:id="29" w:name="IAReviewYear"/>
            <w:r w:rsidR="00BB249D" w:rsidRPr="007E190E">
              <w:rPr>
                <w:rStyle w:val="IAIOReviewYearChar"/>
                <w:szCs w:val="22"/>
              </w:rPr>
              <w:fldChar w:fldCharType="begin">
                <w:ffData>
                  <w:name w:val="IAReviewYear"/>
                  <w:enabled/>
                  <w:calcOnExit w:val="0"/>
                  <w:ddList>
                    <w:listEntry w:val="Year"/>
                    <w:listEntry w:val="2010"/>
                    <w:listEntry w:val="2011"/>
                    <w:listEntry w:val="2012"/>
                    <w:listEntry w:val="2013"/>
                    <w:listEntry w:val="2014"/>
                    <w:listEntry w:val="2015"/>
                    <w:listEntry w:val="2016"/>
                    <w:listEntry w:val="2017"/>
                    <w:listEntry w:val="2018"/>
                    <w:listEntry w:val="2019"/>
                    <w:listEntry w:val="2020"/>
                    <w:listEntry w:val="2021"/>
                    <w:listEntry w:val="2022"/>
                    <w:listEntry w:val="2023"/>
                    <w:listEntry w:val="2024"/>
                    <w:listEntry w:val="2025"/>
                  </w:ddList>
                </w:ffData>
              </w:fldChar>
            </w:r>
            <w:r w:rsidR="00BB249D" w:rsidRPr="007E190E">
              <w:rPr>
                <w:rStyle w:val="IAIOReviewYearChar"/>
                <w:szCs w:val="22"/>
              </w:rPr>
              <w:instrText xml:space="preserve"> FORMDROPDOWN </w:instrText>
            </w:r>
            <w:r w:rsidR="00FE6328">
              <w:rPr>
                <w:rStyle w:val="IAIOReviewYearChar"/>
                <w:szCs w:val="22"/>
              </w:rPr>
            </w:r>
            <w:r w:rsidR="00FE6328">
              <w:rPr>
                <w:rStyle w:val="IAIOReviewYearChar"/>
                <w:szCs w:val="22"/>
              </w:rPr>
              <w:fldChar w:fldCharType="separate"/>
            </w:r>
            <w:r w:rsidR="00BB249D" w:rsidRPr="007E190E">
              <w:rPr>
                <w:rStyle w:val="IAIOReviewYearChar"/>
                <w:szCs w:val="22"/>
              </w:rPr>
              <w:fldChar w:fldCharType="end"/>
            </w:r>
            <w:bookmarkEnd w:id="29"/>
          </w:p>
        </w:tc>
      </w:tr>
    </w:tbl>
    <w:p w14:paraId="42C8511E" w14:textId="77777777" w:rsidR="007E190E" w:rsidRPr="007E190E" w:rsidRDefault="007E190E" w:rsidP="007E190E">
      <w:pPr>
        <w:rPr>
          <w:vanish/>
        </w:rPr>
      </w:pPr>
      <w:bookmarkStart w:id="30" w:name="Summary4"/>
      <w:bookmarkEnd w:id="18"/>
    </w:p>
    <w:p w14:paraId="19DCD58D" w14:textId="77777777" w:rsidR="00452B35" w:rsidRPr="00DF2F4B" w:rsidRDefault="00452B35">
      <w:pPr>
        <w:pStyle w:val="IASign-off"/>
        <w:rPr>
          <w:sz w:val="20"/>
        </w:rPr>
      </w:pPr>
      <w:bookmarkStart w:id="31" w:name="SignOfftext"/>
      <w:bookmarkEnd w:id="30"/>
      <w:r w:rsidRPr="00DF2F4B">
        <w:rPr>
          <w:sz w:val="20"/>
        </w:rPr>
        <w:t>I have read the Impact Assessment and I am satisfied that, given the available evidence, it represents a reasonable view of the likely costs, benefits and impact of the leading options.</w:t>
      </w:r>
    </w:p>
    <w:tbl>
      <w:tblPr>
        <w:tblW w:w="5000" w:type="pct"/>
        <w:tblLayout w:type="fixed"/>
        <w:tblCellMar>
          <w:left w:w="0" w:type="dxa"/>
          <w:right w:w="0" w:type="dxa"/>
        </w:tblCellMar>
        <w:tblLook w:val="0000" w:firstRow="0" w:lastRow="0" w:firstColumn="0" w:lastColumn="0" w:noHBand="0" w:noVBand="0"/>
      </w:tblPr>
      <w:tblGrid>
        <w:gridCol w:w="4797"/>
        <w:gridCol w:w="2291"/>
        <w:gridCol w:w="1276"/>
        <w:gridCol w:w="1841"/>
      </w:tblGrid>
      <w:tr w:rsidR="00452B35" w14:paraId="7FB4F63C" w14:textId="77777777" w:rsidTr="008B0B60">
        <w:trPr>
          <w:trHeight w:hRule="exact" w:val="767"/>
        </w:trPr>
        <w:tc>
          <w:tcPr>
            <w:tcW w:w="2350" w:type="pct"/>
            <w:vAlign w:val="bottom"/>
          </w:tcPr>
          <w:p w14:paraId="47F93A0B" w14:textId="77777777" w:rsidR="00452B35" w:rsidRDefault="00452B35" w:rsidP="00A94548">
            <w:pPr>
              <w:pStyle w:val="IASignature"/>
              <w:tabs>
                <w:tab w:val="clear" w:pos="6804"/>
                <w:tab w:val="left" w:leader="dot" w:pos="7380"/>
              </w:tabs>
            </w:pPr>
            <w:r w:rsidRPr="00455EAA">
              <w:t>Signed by the</w:t>
            </w:r>
            <w:r>
              <w:t xml:space="preserve"> responsible </w:t>
            </w:r>
            <w:bookmarkStart w:id="32" w:name="IASignedBy"/>
            <w:r w:rsidR="00A94548">
              <w:fldChar w:fldCharType="begin">
                <w:ffData>
                  <w:name w:val="IASignedBy"/>
                  <w:enabled/>
                  <w:calcOnExit w:val="0"/>
                  <w:ddList>
                    <w:listEntry w:val="SELECT SIGNATORY"/>
                    <w:listEntry w:val="Chair"/>
                    <w:listEntry w:val="Chief Executive"/>
                    <w:listEntry w:val="Minister"/>
                  </w:ddList>
                </w:ffData>
              </w:fldChar>
            </w:r>
            <w:r w:rsidR="00A94548">
              <w:instrText xml:space="preserve"> FORMDROPDOWN </w:instrText>
            </w:r>
            <w:r w:rsidR="00FE6328">
              <w:fldChar w:fldCharType="separate"/>
            </w:r>
            <w:r w:rsidR="00A94548">
              <w:fldChar w:fldCharType="end"/>
            </w:r>
            <w:bookmarkEnd w:id="32"/>
            <w:r w:rsidRPr="00455EAA">
              <w:t>:</w:t>
            </w:r>
          </w:p>
        </w:tc>
        <w:tc>
          <w:tcPr>
            <w:tcW w:w="1122" w:type="pct"/>
            <w:tcBorders>
              <w:bottom w:val="dashSmallGap" w:sz="4" w:space="0" w:color="auto"/>
            </w:tcBorders>
            <w:vAlign w:val="bottom"/>
          </w:tcPr>
          <w:p w14:paraId="3F349E33" w14:textId="77777777" w:rsidR="00452B35" w:rsidRPr="00AB4A42" w:rsidRDefault="00452B35" w:rsidP="00C13EF0">
            <w:pPr>
              <w:pStyle w:val="IAIOtextSign"/>
            </w:pPr>
          </w:p>
        </w:tc>
        <w:tc>
          <w:tcPr>
            <w:tcW w:w="625" w:type="pct"/>
            <w:vAlign w:val="bottom"/>
          </w:tcPr>
          <w:p w14:paraId="60A5DB13" w14:textId="77777777" w:rsidR="00452B35" w:rsidRDefault="00452B35" w:rsidP="00C13EF0">
            <w:pPr>
              <w:pStyle w:val="IASignature"/>
              <w:tabs>
                <w:tab w:val="clear" w:pos="6804"/>
                <w:tab w:val="left" w:leader="dot" w:pos="7380"/>
              </w:tabs>
            </w:pPr>
            <w:r>
              <w:t> </w:t>
            </w:r>
            <w:r w:rsidRPr="00455EAA">
              <w:t>Date:</w:t>
            </w:r>
          </w:p>
        </w:tc>
        <w:bookmarkStart w:id="33" w:name="SigDate"/>
        <w:tc>
          <w:tcPr>
            <w:tcW w:w="902" w:type="pct"/>
            <w:tcBorders>
              <w:bottom w:val="dashSmallGap" w:sz="4" w:space="0" w:color="auto"/>
            </w:tcBorders>
            <w:vAlign w:val="bottom"/>
          </w:tcPr>
          <w:p w14:paraId="55D24BDB" w14:textId="77777777" w:rsidR="00452B35" w:rsidRPr="005D0BD1" w:rsidRDefault="00452B35" w:rsidP="00C13EF0">
            <w:pPr>
              <w:pStyle w:val="IAIOSigDate"/>
            </w:pPr>
            <w:r>
              <w:fldChar w:fldCharType="begin">
                <w:ffData>
                  <w:name w:val="SigDate"/>
                  <w:enabled/>
                  <w:calcOnExit w:val="0"/>
                  <w:textInput/>
                </w:ffData>
              </w:fldChar>
            </w:r>
            <w:r>
              <w:instrText xml:space="preserve"> FORMTEXT </w:instrText>
            </w:r>
            <w:r>
              <w:fldChar w:fldCharType="separate"/>
            </w:r>
            <w:r w:rsidR="00C03042">
              <w:t xml:space="preserve"> </w:t>
            </w:r>
            <w:r>
              <w:fldChar w:fldCharType="end"/>
            </w:r>
            <w:bookmarkEnd w:id="33"/>
          </w:p>
        </w:tc>
      </w:tr>
      <w:bookmarkEnd w:id="31"/>
    </w:tbl>
    <w:p w14:paraId="2F00FFA1" w14:textId="77777777" w:rsidR="00F1328C" w:rsidRDefault="00F1328C" w:rsidP="005A3880">
      <w:pPr>
        <w:pStyle w:val="Heading1"/>
        <w:spacing w:before="0"/>
        <w:sectPr w:rsidR="00F1328C" w:rsidSect="005A3880">
          <w:footerReference w:type="default" r:id="rId13"/>
          <w:footnotePr>
            <w:numRestart w:val="eachSect"/>
          </w:footnotePr>
          <w:type w:val="continuous"/>
          <w:pgSz w:w="11907" w:h="16840" w:code="9"/>
          <w:pgMar w:top="680" w:right="851" w:bottom="680" w:left="851" w:header="284" w:footer="284" w:gutter="0"/>
          <w:cols w:space="708"/>
          <w:docGrid w:linePitch="360"/>
        </w:sectPr>
      </w:pPr>
    </w:p>
    <w:p w14:paraId="545BA246" w14:textId="6BBCA005" w:rsidR="001844B6" w:rsidRDefault="001844B6" w:rsidP="005A3880">
      <w:pPr>
        <w:pStyle w:val="Heading1"/>
        <w:spacing w:before="0"/>
      </w:pPr>
      <w:r>
        <w:t>Summary: Analysis &amp; Evidence</w:t>
      </w:r>
      <w:r>
        <w:tab/>
      </w:r>
      <w:r w:rsidRPr="00E3545D">
        <w:rPr>
          <w:rFonts w:ascii="Arial" w:hAnsi="Arial"/>
          <w:b w:val="0"/>
          <w:bCs w:val="0"/>
        </w:rPr>
        <w:t xml:space="preserve">Policy Option </w:t>
      </w:r>
      <w:r>
        <w:rPr>
          <w:rFonts w:ascii="Arial" w:hAnsi="Arial"/>
          <w:b w:val="0"/>
          <w:bCs w:val="0"/>
        </w:rPr>
        <w:fldChar w:fldCharType="begin"/>
      </w:r>
      <w:r>
        <w:rPr>
          <w:rFonts w:ascii="Arial" w:hAnsi="Arial"/>
          <w:b w:val="0"/>
          <w:bCs w:val="0"/>
        </w:rPr>
        <w:instrText xml:space="preserve"> SEQ Policy </w:instrText>
      </w:r>
      <w:r>
        <w:rPr>
          <w:rFonts w:ascii="Arial" w:hAnsi="Arial"/>
          <w:b w:val="0"/>
          <w:bCs w:val="0"/>
        </w:rPr>
        <w:fldChar w:fldCharType="separate"/>
      </w:r>
      <w:r w:rsidR="00175747">
        <w:rPr>
          <w:rFonts w:ascii="Arial" w:hAnsi="Arial"/>
          <w:b w:val="0"/>
          <w:bCs w:val="0"/>
          <w:noProof/>
        </w:rPr>
        <w:t>1</w:t>
      </w:r>
      <w:r>
        <w:rPr>
          <w:rFonts w:ascii="Arial" w:hAnsi="Arial"/>
          <w:b w:val="0"/>
          <w:bCs w:val="0"/>
        </w:rPr>
        <w:fldChar w:fldCharType="end"/>
      </w:r>
    </w:p>
    <w:p w14:paraId="5A6D28A7" w14:textId="2A80217A" w:rsidR="001844B6" w:rsidRDefault="001844B6" w:rsidP="005A3880">
      <w:pPr>
        <w:pStyle w:val="IAHeadLabel"/>
        <w:spacing w:before="50"/>
      </w:pPr>
      <w:r w:rsidRPr="00892576">
        <w:t xml:space="preserve">Description: </w:t>
      </w:r>
      <w:r w:rsidRPr="006B70AF">
        <w:t xml:space="preserve"> </w:t>
      </w:r>
      <w:bookmarkStart w:id="34" w:name="Text70"/>
      <w:r w:rsidR="00CB2E5F" w:rsidRPr="000B308F">
        <w:rPr>
          <w:b w:val="0"/>
          <w:sz w:val="22"/>
          <w:szCs w:val="22"/>
        </w:rPr>
        <w:t>Enact a Tribunals Bill for Wales</w:t>
      </w:r>
      <w:r w:rsidR="00CB2E5F" w:rsidRPr="000B308F">
        <w:rPr>
          <w:b w:val="0"/>
          <w:szCs w:val="22"/>
        </w:rPr>
        <w:t xml:space="preserve"> to</w:t>
      </w:r>
      <w:r w:rsidR="00CB2E5F" w:rsidRPr="000B308F">
        <w:rPr>
          <w:b w:val="0"/>
          <w:sz w:val="22"/>
          <w:szCs w:val="22"/>
        </w:rPr>
        <w:t xml:space="preserve"> replace the underlying existing legislation for each tribunal with a system of devolved tribunals for Wales based around a unified first-tier tribuna</w:t>
      </w:r>
      <w:bookmarkEnd w:id="34"/>
      <w:r w:rsidR="004633F7">
        <w:rPr>
          <w:b w:val="0"/>
          <w:sz w:val="22"/>
          <w:szCs w:val="22"/>
        </w:rPr>
        <w:t>l and Appeal Tribunal</w:t>
      </w:r>
    </w:p>
    <w:p w14:paraId="28BD649D" w14:textId="77777777" w:rsidR="001844B6" w:rsidRDefault="001844B6" w:rsidP="005A3880">
      <w:pPr>
        <w:pStyle w:val="IAHeadLabel"/>
        <w:spacing w:before="50"/>
      </w:pPr>
      <w:r>
        <w:t>FULL ECONOMIC ASSESSMENT</w:t>
      </w:r>
    </w:p>
    <w:tbl>
      <w:tblPr>
        <w:tblW w:w="50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95"/>
        <w:gridCol w:w="1254"/>
        <w:gridCol w:w="1433"/>
        <w:gridCol w:w="1791"/>
        <w:gridCol w:w="1818"/>
        <w:gridCol w:w="2620"/>
      </w:tblGrid>
      <w:tr w:rsidR="001844B6" w:rsidRPr="007E190E" w14:paraId="030B963A" w14:textId="77777777" w:rsidTr="00D64409">
        <w:trPr>
          <w:trHeight w:hRule="exact" w:val="312"/>
        </w:trPr>
        <w:tc>
          <w:tcPr>
            <w:tcW w:w="1402" w:type="dxa"/>
            <w:vMerge w:val="restart"/>
            <w:tcBorders>
              <w:top w:val="single" w:sz="12" w:space="0" w:color="auto"/>
              <w:left w:val="single" w:sz="12" w:space="0" w:color="auto"/>
              <w:right w:val="single" w:sz="12" w:space="0" w:color="auto"/>
            </w:tcBorders>
          </w:tcPr>
          <w:p w14:paraId="04C99BA1" w14:textId="77777777" w:rsidR="001844B6" w:rsidRPr="00826F71" w:rsidRDefault="001844B6" w:rsidP="005A3880">
            <w:pPr>
              <w:pStyle w:val="POPBY"/>
            </w:pPr>
            <w:r w:rsidRPr="00826F71">
              <w:t>Price Base Year</w:t>
            </w:r>
            <w:r>
              <w:t xml:space="preserve">  </w:t>
            </w:r>
            <w:r w:rsidR="00D64409">
              <w:rPr>
                <w:b w:val="0"/>
              </w:rPr>
              <w:fldChar w:fldCharType="begin">
                <w:ffData>
                  <w:name w:val="Text55"/>
                  <w:enabled/>
                  <w:calcOnExit w:val="0"/>
                  <w:textInput>
                    <w:default w:val="2019"/>
                    <w:maxLength w:val="4"/>
                  </w:textInput>
                </w:ffData>
              </w:fldChar>
            </w:r>
            <w:bookmarkStart w:id="35" w:name="Text55"/>
            <w:r w:rsidR="00D64409">
              <w:rPr>
                <w:b w:val="0"/>
              </w:rPr>
              <w:instrText xml:space="preserve"> FORMTEXT </w:instrText>
            </w:r>
            <w:r w:rsidR="00D64409">
              <w:rPr>
                <w:b w:val="0"/>
              </w:rPr>
            </w:r>
            <w:r w:rsidR="00D64409">
              <w:rPr>
                <w:b w:val="0"/>
              </w:rPr>
              <w:fldChar w:fldCharType="separate"/>
            </w:r>
            <w:r w:rsidR="00D64409">
              <w:rPr>
                <w:b w:val="0"/>
                <w:noProof/>
              </w:rPr>
              <w:t>2019</w:t>
            </w:r>
            <w:r w:rsidR="00D64409">
              <w:rPr>
                <w:b w:val="0"/>
              </w:rPr>
              <w:fldChar w:fldCharType="end"/>
            </w:r>
            <w:bookmarkEnd w:id="35"/>
          </w:p>
        </w:tc>
        <w:tc>
          <w:tcPr>
            <w:tcW w:w="1260" w:type="dxa"/>
            <w:vMerge w:val="restart"/>
            <w:tcBorders>
              <w:top w:val="single" w:sz="12" w:space="0" w:color="auto"/>
              <w:left w:val="single" w:sz="12" w:space="0" w:color="auto"/>
              <w:right w:val="single" w:sz="12" w:space="0" w:color="auto"/>
            </w:tcBorders>
          </w:tcPr>
          <w:p w14:paraId="456412A1" w14:textId="77777777" w:rsidR="001844B6" w:rsidRPr="00826F71" w:rsidRDefault="001844B6" w:rsidP="005A3880">
            <w:pPr>
              <w:pStyle w:val="POPVBY"/>
            </w:pPr>
            <w:r w:rsidRPr="00826F71">
              <w:t>PV Base Year</w:t>
            </w:r>
            <w:r>
              <w:t xml:space="preserve">  </w:t>
            </w:r>
            <w:r w:rsidR="00D64409">
              <w:rPr>
                <w:b w:val="0"/>
              </w:rPr>
              <w:fldChar w:fldCharType="begin">
                <w:ffData>
                  <w:name w:val="Text56"/>
                  <w:enabled/>
                  <w:calcOnExit w:val="0"/>
                  <w:textInput>
                    <w:default w:val="2020"/>
                    <w:maxLength w:val="4"/>
                  </w:textInput>
                </w:ffData>
              </w:fldChar>
            </w:r>
            <w:bookmarkStart w:id="36" w:name="Text56"/>
            <w:r w:rsidR="00D64409">
              <w:rPr>
                <w:b w:val="0"/>
              </w:rPr>
              <w:instrText xml:space="preserve"> FORMTEXT </w:instrText>
            </w:r>
            <w:r w:rsidR="00D64409">
              <w:rPr>
                <w:b w:val="0"/>
              </w:rPr>
            </w:r>
            <w:r w:rsidR="00D64409">
              <w:rPr>
                <w:b w:val="0"/>
              </w:rPr>
              <w:fldChar w:fldCharType="separate"/>
            </w:r>
            <w:r w:rsidR="00D64409">
              <w:rPr>
                <w:b w:val="0"/>
                <w:noProof/>
              </w:rPr>
              <w:t>2020</w:t>
            </w:r>
            <w:r w:rsidR="00D64409">
              <w:rPr>
                <w:b w:val="0"/>
              </w:rPr>
              <w:fldChar w:fldCharType="end"/>
            </w:r>
            <w:bookmarkEnd w:id="36"/>
          </w:p>
        </w:tc>
        <w:tc>
          <w:tcPr>
            <w:tcW w:w="1440" w:type="dxa"/>
            <w:vMerge w:val="restart"/>
            <w:tcBorders>
              <w:top w:val="single" w:sz="12" w:space="0" w:color="auto"/>
              <w:left w:val="single" w:sz="12" w:space="0" w:color="auto"/>
              <w:right w:val="single" w:sz="12" w:space="0" w:color="auto"/>
            </w:tcBorders>
          </w:tcPr>
          <w:p w14:paraId="2B2B8B99" w14:textId="77777777" w:rsidR="001844B6" w:rsidRPr="00826F71" w:rsidRDefault="001844B6" w:rsidP="005A3880">
            <w:pPr>
              <w:pStyle w:val="POTPY"/>
            </w:pPr>
            <w:r w:rsidRPr="00826F71">
              <w:t>Time Period Years</w:t>
            </w:r>
            <w:r>
              <w:t xml:space="preserve">  </w:t>
            </w:r>
            <w:r w:rsidRPr="007E190E">
              <w:rPr>
                <w:b w:val="0"/>
              </w:rPr>
              <w:fldChar w:fldCharType="begin">
                <w:ffData>
                  <w:name w:val="Text57"/>
                  <w:enabled/>
                  <w:calcOnExit w:val="0"/>
                  <w:textInput>
                    <w:maxLength w:val="4"/>
                  </w:textInput>
                </w:ffData>
              </w:fldChar>
            </w:r>
            <w:r w:rsidRPr="007E190E">
              <w:rPr>
                <w:b w:val="0"/>
              </w:rPr>
              <w:instrText xml:space="preserve"> FORMTEXT </w:instrText>
            </w:r>
            <w:r w:rsidRPr="007E190E">
              <w:rPr>
                <w:b w:val="0"/>
              </w:rPr>
            </w:r>
            <w:r w:rsidRPr="007E190E">
              <w:rPr>
                <w:b w:val="0"/>
              </w:rPr>
              <w:fldChar w:fldCharType="separate"/>
            </w:r>
            <w:r w:rsidRPr="007E190E">
              <w:rPr>
                <w:b w:val="0"/>
                <w:noProof/>
              </w:rPr>
              <w:t> </w:t>
            </w:r>
            <w:r w:rsidRPr="007E190E">
              <w:rPr>
                <w:b w:val="0"/>
                <w:noProof/>
              </w:rPr>
              <w:t> </w:t>
            </w:r>
            <w:r w:rsidRPr="007E190E">
              <w:rPr>
                <w:b w:val="0"/>
                <w:noProof/>
              </w:rPr>
              <w:t> </w:t>
            </w:r>
            <w:r w:rsidRPr="007E190E">
              <w:rPr>
                <w:b w:val="0"/>
                <w:noProof/>
              </w:rPr>
              <w:t> </w:t>
            </w:r>
            <w:r w:rsidRPr="007E190E">
              <w:rPr>
                <w:b w:val="0"/>
              </w:rPr>
              <w:fldChar w:fldCharType="end"/>
            </w:r>
          </w:p>
        </w:tc>
        <w:tc>
          <w:tcPr>
            <w:tcW w:w="6260" w:type="dxa"/>
            <w:gridSpan w:val="3"/>
            <w:tcBorders>
              <w:top w:val="single" w:sz="12" w:space="0" w:color="auto"/>
              <w:left w:val="single" w:sz="12" w:space="0" w:color="auto"/>
              <w:right w:val="single" w:sz="12" w:space="0" w:color="auto"/>
            </w:tcBorders>
            <w:shd w:val="clear" w:color="auto" w:fill="FFFFFF"/>
          </w:tcPr>
          <w:p w14:paraId="40972FA5" w14:textId="77777777" w:rsidR="001844B6" w:rsidRPr="00826F71" w:rsidRDefault="001844B6" w:rsidP="007E190E">
            <w:pPr>
              <w:pStyle w:val="IATableLabel"/>
              <w:jc w:val="center"/>
            </w:pPr>
            <w:r w:rsidRPr="00826F71">
              <w:t xml:space="preserve">Net </w:t>
            </w:r>
            <w:r w:rsidRPr="0075393B">
              <w:t>B</w:t>
            </w:r>
            <w:r w:rsidRPr="00826F71">
              <w:t>enefit (</w:t>
            </w:r>
            <w:r>
              <w:t>Present Value (</w:t>
            </w:r>
            <w:r w:rsidRPr="00826F71">
              <w:t>PV</w:t>
            </w:r>
            <w:r>
              <w:t>)</w:t>
            </w:r>
            <w:r w:rsidRPr="00826F71">
              <w:t>)</w:t>
            </w:r>
            <w:r>
              <w:t xml:space="preserve"> (£m)</w:t>
            </w:r>
          </w:p>
        </w:tc>
      </w:tr>
      <w:tr w:rsidR="001844B6" w:rsidRPr="007E190E" w14:paraId="3CEA238D" w14:textId="77777777" w:rsidTr="00D64409">
        <w:trPr>
          <w:trHeight w:hRule="exact" w:val="340"/>
        </w:trPr>
        <w:tc>
          <w:tcPr>
            <w:tcW w:w="1402" w:type="dxa"/>
            <w:vMerge/>
            <w:tcBorders>
              <w:left w:val="single" w:sz="12" w:space="0" w:color="auto"/>
              <w:bottom w:val="single" w:sz="12" w:space="0" w:color="auto"/>
              <w:right w:val="single" w:sz="12" w:space="0" w:color="auto"/>
            </w:tcBorders>
          </w:tcPr>
          <w:p w14:paraId="6E8ED4E8" w14:textId="77777777" w:rsidR="001844B6" w:rsidRPr="007E190E" w:rsidRDefault="001844B6" w:rsidP="007E190E">
            <w:pPr>
              <w:pStyle w:val="IATableNotes"/>
              <w:ind w:left="0"/>
              <w:rPr>
                <w:b/>
                <w:sz w:val="20"/>
              </w:rPr>
            </w:pPr>
          </w:p>
        </w:tc>
        <w:tc>
          <w:tcPr>
            <w:tcW w:w="1260" w:type="dxa"/>
            <w:vMerge/>
            <w:tcBorders>
              <w:left w:val="single" w:sz="12" w:space="0" w:color="auto"/>
              <w:bottom w:val="single" w:sz="12" w:space="0" w:color="auto"/>
              <w:right w:val="single" w:sz="12" w:space="0" w:color="auto"/>
            </w:tcBorders>
          </w:tcPr>
          <w:p w14:paraId="788ABE11" w14:textId="77777777" w:rsidR="001844B6" w:rsidRPr="007E190E" w:rsidRDefault="001844B6" w:rsidP="007E190E">
            <w:pPr>
              <w:pStyle w:val="IATableNotes"/>
              <w:ind w:left="0"/>
              <w:rPr>
                <w:b/>
                <w:sz w:val="20"/>
              </w:rPr>
            </w:pPr>
          </w:p>
        </w:tc>
        <w:tc>
          <w:tcPr>
            <w:tcW w:w="1440" w:type="dxa"/>
            <w:vMerge/>
            <w:tcBorders>
              <w:left w:val="single" w:sz="12" w:space="0" w:color="auto"/>
              <w:bottom w:val="single" w:sz="12" w:space="0" w:color="auto"/>
              <w:right w:val="single" w:sz="12" w:space="0" w:color="auto"/>
            </w:tcBorders>
          </w:tcPr>
          <w:p w14:paraId="7DAA97C5" w14:textId="77777777" w:rsidR="001844B6" w:rsidRPr="007E190E" w:rsidRDefault="001844B6" w:rsidP="007E190E">
            <w:pPr>
              <w:pStyle w:val="IATableNotes"/>
              <w:ind w:left="0"/>
              <w:rPr>
                <w:b/>
                <w:sz w:val="20"/>
              </w:rPr>
            </w:pPr>
          </w:p>
        </w:tc>
        <w:tc>
          <w:tcPr>
            <w:tcW w:w="1800" w:type="dxa"/>
            <w:tcBorders>
              <w:top w:val="single" w:sz="12" w:space="0" w:color="auto"/>
              <w:left w:val="single" w:sz="12" w:space="0" w:color="auto"/>
              <w:bottom w:val="single" w:sz="12" w:space="0" w:color="auto"/>
              <w:right w:val="single" w:sz="12" w:space="0" w:color="auto"/>
            </w:tcBorders>
          </w:tcPr>
          <w:p w14:paraId="148D5BAD" w14:textId="2EAAA45B" w:rsidR="001844B6" w:rsidRPr="007E190E" w:rsidRDefault="001844B6" w:rsidP="005A3880">
            <w:pPr>
              <w:pStyle w:val="IATableLabel"/>
              <w:rPr>
                <w:bCs/>
              </w:rPr>
            </w:pPr>
            <w:r w:rsidRPr="00304C1D">
              <w:t>Low:</w:t>
            </w:r>
            <w:r w:rsidRPr="00826F71">
              <w:t xml:space="preserve"> </w:t>
            </w:r>
            <w:r w:rsidR="00392C2B">
              <w:t>-£</w:t>
            </w:r>
            <w:r w:rsidR="006955C3">
              <w:t>1.</w:t>
            </w:r>
            <w:r w:rsidR="008F6416">
              <w:t>39</w:t>
            </w:r>
          </w:p>
        </w:tc>
        <w:tc>
          <w:tcPr>
            <w:tcW w:w="1827" w:type="dxa"/>
            <w:tcBorders>
              <w:top w:val="single" w:sz="12" w:space="0" w:color="auto"/>
              <w:left w:val="single" w:sz="12" w:space="0" w:color="auto"/>
              <w:bottom w:val="single" w:sz="12" w:space="0" w:color="auto"/>
              <w:right w:val="single" w:sz="12" w:space="0" w:color="auto"/>
            </w:tcBorders>
          </w:tcPr>
          <w:p w14:paraId="0E02C01C" w14:textId="63700309" w:rsidR="001844B6" w:rsidRPr="007E190E" w:rsidRDefault="001844B6" w:rsidP="005A3880">
            <w:pPr>
              <w:pStyle w:val="IATableLabel"/>
              <w:rPr>
                <w:rFonts w:cs="Arial"/>
                <w:bCs/>
                <w:szCs w:val="18"/>
              </w:rPr>
            </w:pPr>
            <w:r w:rsidRPr="00304C1D">
              <w:t>High:</w:t>
            </w:r>
            <w:r w:rsidRPr="00826F71">
              <w:t xml:space="preserve"> </w:t>
            </w:r>
            <w:r w:rsidR="00392C2B">
              <w:t>-£</w:t>
            </w:r>
            <w:r w:rsidR="0097119B">
              <w:t>3.</w:t>
            </w:r>
            <w:r w:rsidR="00751F1C">
              <w:t>1</w:t>
            </w:r>
            <w:r w:rsidR="008F6416">
              <w:t>5</w:t>
            </w:r>
          </w:p>
        </w:tc>
        <w:tc>
          <w:tcPr>
            <w:tcW w:w="2633" w:type="dxa"/>
            <w:tcBorders>
              <w:top w:val="single" w:sz="12" w:space="0" w:color="auto"/>
              <w:left w:val="single" w:sz="12" w:space="0" w:color="auto"/>
              <w:bottom w:val="single" w:sz="12" w:space="0" w:color="auto"/>
              <w:right w:val="single" w:sz="12" w:space="0" w:color="auto"/>
            </w:tcBorders>
            <w:shd w:val="clear" w:color="auto" w:fill="FFFFFF"/>
          </w:tcPr>
          <w:p w14:paraId="1A90B7DC" w14:textId="5B315127" w:rsidR="001844B6" w:rsidRPr="007E190E" w:rsidRDefault="001844B6" w:rsidP="005A3880">
            <w:pPr>
              <w:pStyle w:val="IATableLabel"/>
              <w:rPr>
                <w:szCs w:val="18"/>
              </w:rPr>
            </w:pPr>
            <w:r w:rsidRPr="00304C1D">
              <w:t xml:space="preserve">Best </w:t>
            </w:r>
            <w:r>
              <w:t>E</w:t>
            </w:r>
            <w:r w:rsidRPr="00304C1D">
              <w:t>stimate:</w:t>
            </w:r>
            <w:r w:rsidRPr="00826F71">
              <w:t xml:space="preserve"> </w:t>
            </w:r>
            <w:r w:rsidR="00392C2B">
              <w:rPr>
                <w:rStyle w:val="PONBBestEstChar"/>
                <w:sz w:val="20"/>
                <w:szCs w:val="22"/>
              </w:rPr>
              <w:t>-£</w:t>
            </w:r>
            <w:r w:rsidR="0097119B">
              <w:rPr>
                <w:rStyle w:val="PONBBestEstChar"/>
                <w:sz w:val="20"/>
                <w:szCs w:val="22"/>
              </w:rPr>
              <w:t>2.1</w:t>
            </w:r>
            <w:r w:rsidR="008F6416">
              <w:rPr>
                <w:rStyle w:val="PONBBestEstChar"/>
                <w:sz w:val="20"/>
                <w:szCs w:val="22"/>
              </w:rPr>
              <w:t>6</w:t>
            </w:r>
          </w:p>
        </w:tc>
      </w:tr>
    </w:tbl>
    <w:p w14:paraId="7D62ADA3" w14:textId="77777777" w:rsidR="001844B6" w:rsidRDefault="001844B6" w:rsidP="005A3880">
      <w:pPr>
        <w:pStyle w:val="IASpacer"/>
      </w:pPr>
    </w:p>
    <w:tbl>
      <w:tblPr>
        <w:tblW w:w="5062" w:type="pct"/>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109"/>
        <w:gridCol w:w="1938"/>
        <w:gridCol w:w="786"/>
        <w:gridCol w:w="2848"/>
        <w:gridCol w:w="1765"/>
        <w:gridCol w:w="855"/>
      </w:tblGrid>
      <w:tr w:rsidR="001844B6" w:rsidRPr="007E190E" w14:paraId="064BFA11" w14:textId="77777777" w:rsidTr="00D64409">
        <w:trPr>
          <w:trHeight w:hRule="exact" w:val="567"/>
        </w:trPr>
        <w:tc>
          <w:tcPr>
            <w:tcW w:w="2122" w:type="dxa"/>
            <w:tcBorders>
              <w:top w:val="single" w:sz="12" w:space="0" w:color="auto"/>
              <w:bottom w:val="single" w:sz="12" w:space="0" w:color="auto"/>
              <w:right w:val="single" w:sz="12" w:space="0" w:color="auto"/>
            </w:tcBorders>
            <w:shd w:val="clear" w:color="auto" w:fill="FFFFFF"/>
          </w:tcPr>
          <w:p w14:paraId="4DAC491D" w14:textId="77777777" w:rsidR="001844B6" w:rsidRPr="007E190E" w:rsidRDefault="001844B6" w:rsidP="005A3880">
            <w:pPr>
              <w:pStyle w:val="IATableLabel"/>
              <w:rPr>
                <w:sz w:val="24"/>
                <w:szCs w:val="24"/>
              </w:rPr>
            </w:pPr>
            <w:r w:rsidRPr="007E190E">
              <w:rPr>
                <w:sz w:val="24"/>
                <w:szCs w:val="24"/>
              </w:rPr>
              <w:t>COSTS (£m)</w:t>
            </w:r>
          </w:p>
        </w:tc>
        <w:tc>
          <w:tcPr>
            <w:tcW w:w="2739" w:type="dxa"/>
            <w:gridSpan w:val="2"/>
            <w:tcBorders>
              <w:top w:val="single" w:sz="12" w:space="0" w:color="auto"/>
              <w:left w:val="single" w:sz="12" w:space="0" w:color="auto"/>
              <w:right w:val="single" w:sz="12" w:space="0" w:color="auto"/>
            </w:tcBorders>
          </w:tcPr>
          <w:p w14:paraId="657DC3F6" w14:textId="77777777" w:rsidR="001844B6" w:rsidRPr="00826F71" w:rsidRDefault="001844B6" w:rsidP="007E190E">
            <w:pPr>
              <w:pStyle w:val="IATableLabel"/>
              <w:tabs>
                <w:tab w:val="right" w:pos="1800"/>
                <w:tab w:val="center" w:pos="2340"/>
              </w:tabs>
              <w:jc w:val="right"/>
            </w:pPr>
            <w:r w:rsidRPr="00826F71">
              <w:t xml:space="preserve">Total Transition </w:t>
            </w:r>
            <w:r>
              <w:br/>
            </w:r>
            <w:r>
              <w:tab/>
            </w:r>
            <w:r w:rsidRPr="007E190E">
              <w:rPr>
                <w:b w:val="0"/>
                <w:sz w:val="18"/>
                <w:szCs w:val="18"/>
              </w:rPr>
              <w:t>(Constant Price)</w:t>
            </w:r>
            <w:r>
              <w:tab/>
            </w:r>
            <w:r w:rsidRPr="007E190E">
              <w:rPr>
                <w:b w:val="0"/>
                <w:sz w:val="18"/>
                <w:szCs w:val="18"/>
              </w:rPr>
              <w:t>Yea</w:t>
            </w:r>
            <w:r w:rsidRPr="007E190E">
              <w:rPr>
                <w:b w:val="0"/>
                <w:bCs/>
                <w:sz w:val="18"/>
                <w:szCs w:val="18"/>
              </w:rPr>
              <w:t>r</w:t>
            </w:r>
            <w:r w:rsidRPr="007E190E">
              <w:rPr>
                <w:b w:val="0"/>
                <w:sz w:val="18"/>
                <w:szCs w:val="18"/>
              </w:rPr>
              <w:t>s</w:t>
            </w:r>
          </w:p>
          <w:p w14:paraId="24D399D2" w14:textId="77777777" w:rsidR="001844B6" w:rsidRPr="00826F71" w:rsidRDefault="001844B6" w:rsidP="007E190E">
            <w:pPr>
              <w:pStyle w:val="IATableLabel"/>
              <w:jc w:val="right"/>
            </w:pPr>
            <w:r>
              <w:br/>
            </w:r>
          </w:p>
        </w:tc>
        <w:tc>
          <w:tcPr>
            <w:tcW w:w="2865" w:type="dxa"/>
            <w:tcBorders>
              <w:top w:val="single" w:sz="12" w:space="0" w:color="auto"/>
              <w:left w:val="single" w:sz="12" w:space="0" w:color="auto"/>
              <w:bottom w:val="single" w:sz="12" w:space="0" w:color="auto"/>
              <w:right w:val="single" w:sz="12" w:space="0" w:color="auto"/>
            </w:tcBorders>
          </w:tcPr>
          <w:p w14:paraId="64C0E4E1" w14:textId="77777777" w:rsidR="001844B6" w:rsidRPr="007E190E" w:rsidRDefault="001844B6" w:rsidP="007E190E">
            <w:pPr>
              <w:pStyle w:val="IATableLabel"/>
              <w:jc w:val="right"/>
              <w:rPr>
                <w:rFonts w:cs="Arial"/>
                <w:bCs/>
              </w:rPr>
            </w:pPr>
            <w:r w:rsidRPr="00826F71">
              <w:t>Average Annual</w:t>
            </w:r>
            <w:r w:rsidRPr="000C031E">
              <w:t xml:space="preserve"> </w:t>
            </w:r>
            <w:r>
              <w:br/>
            </w:r>
            <w:r w:rsidRPr="007E190E">
              <w:rPr>
                <w:b w:val="0"/>
                <w:sz w:val="18"/>
                <w:szCs w:val="18"/>
              </w:rPr>
              <w:t xml:space="preserve">(excl. Transition) </w:t>
            </w:r>
            <w:r w:rsidRPr="007E190E">
              <w:rPr>
                <w:rFonts w:cs="Arial"/>
                <w:b w:val="0"/>
                <w:bCs/>
                <w:sz w:val="18"/>
                <w:szCs w:val="18"/>
              </w:rPr>
              <w:t>(Constant Price)</w:t>
            </w:r>
          </w:p>
        </w:tc>
        <w:tc>
          <w:tcPr>
            <w:tcW w:w="2636" w:type="dxa"/>
            <w:gridSpan w:val="2"/>
            <w:tcBorders>
              <w:top w:val="single" w:sz="12" w:space="0" w:color="auto"/>
              <w:left w:val="single" w:sz="12" w:space="0" w:color="auto"/>
              <w:bottom w:val="single" w:sz="12" w:space="0" w:color="auto"/>
            </w:tcBorders>
          </w:tcPr>
          <w:p w14:paraId="5719728A" w14:textId="77777777" w:rsidR="001844B6" w:rsidRPr="00826F71" w:rsidRDefault="001844B6" w:rsidP="007E190E">
            <w:pPr>
              <w:pStyle w:val="IATableLabel"/>
              <w:jc w:val="right"/>
            </w:pPr>
            <w:r w:rsidRPr="00826F71">
              <w:t>Total Cost</w:t>
            </w:r>
            <w:r w:rsidRPr="007E190E">
              <w:rPr>
                <w:b w:val="0"/>
                <w:sz w:val="18"/>
                <w:szCs w:val="18"/>
              </w:rPr>
              <w:t xml:space="preserve"> </w:t>
            </w:r>
            <w:r w:rsidRPr="007E190E">
              <w:rPr>
                <w:b w:val="0"/>
                <w:sz w:val="18"/>
                <w:szCs w:val="18"/>
              </w:rPr>
              <w:br/>
              <w:t>(Present Value)</w:t>
            </w:r>
          </w:p>
        </w:tc>
      </w:tr>
      <w:tr w:rsidR="001844B6" w:rsidRPr="007E190E" w14:paraId="0CF60A3F" w14:textId="77777777" w:rsidTr="00D64409">
        <w:trPr>
          <w:trHeight w:hRule="exact" w:val="348"/>
        </w:trPr>
        <w:tc>
          <w:tcPr>
            <w:tcW w:w="2122" w:type="dxa"/>
            <w:tcBorders>
              <w:top w:val="single" w:sz="12" w:space="0" w:color="auto"/>
              <w:bottom w:val="single" w:sz="12" w:space="0" w:color="auto"/>
              <w:right w:val="single" w:sz="12" w:space="0" w:color="auto"/>
            </w:tcBorders>
            <w:vAlign w:val="center"/>
          </w:tcPr>
          <w:p w14:paraId="2BC5212A" w14:textId="77777777" w:rsidR="001844B6" w:rsidRPr="00F63895" w:rsidRDefault="001844B6" w:rsidP="005A3880">
            <w:pPr>
              <w:pStyle w:val="IATableLabel"/>
            </w:pPr>
            <w:r w:rsidRPr="00F63895">
              <w:t xml:space="preserve">Low </w:t>
            </w:r>
          </w:p>
        </w:tc>
        <w:tc>
          <w:tcPr>
            <w:tcW w:w="1949" w:type="dxa"/>
            <w:tcBorders>
              <w:top w:val="single" w:sz="12" w:space="0" w:color="auto"/>
              <w:left w:val="single" w:sz="12" w:space="0" w:color="auto"/>
              <w:bottom w:val="single" w:sz="12" w:space="0" w:color="auto"/>
              <w:right w:val="single" w:sz="12" w:space="0" w:color="auto"/>
            </w:tcBorders>
            <w:vAlign w:val="center"/>
          </w:tcPr>
          <w:p w14:paraId="44960A92" w14:textId="179BE7C9" w:rsidR="001844B6" w:rsidRPr="007E190E" w:rsidRDefault="005248F1" w:rsidP="005A3880">
            <w:pPr>
              <w:pStyle w:val="POTTCostsLow"/>
              <w:rPr>
                <w:sz w:val="20"/>
              </w:rPr>
            </w:pPr>
            <w:r>
              <w:rPr>
                <w:sz w:val="20"/>
              </w:rPr>
              <w:t>£0.006</w:t>
            </w:r>
          </w:p>
        </w:tc>
        <w:tc>
          <w:tcPr>
            <w:tcW w:w="790" w:type="dxa"/>
            <w:vMerge w:val="restart"/>
            <w:tcBorders>
              <w:top w:val="single" w:sz="12" w:space="0" w:color="auto"/>
              <w:left w:val="single" w:sz="12" w:space="0" w:color="auto"/>
              <w:right w:val="single" w:sz="12" w:space="0" w:color="auto"/>
            </w:tcBorders>
            <w:vAlign w:val="center"/>
          </w:tcPr>
          <w:p w14:paraId="4B20535D" w14:textId="77777777" w:rsidR="001844B6" w:rsidRPr="007E190E" w:rsidRDefault="001844B6" w:rsidP="005A3880">
            <w:pPr>
              <w:pStyle w:val="POTTCostsYear"/>
              <w:rPr>
                <w:sz w:val="20"/>
                <w:szCs w:val="20"/>
              </w:rPr>
            </w:pPr>
          </w:p>
        </w:tc>
        <w:tc>
          <w:tcPr>
            <w:tcW w:w="2865" w:type="dxa"/>
            <w:tcBorders>
              <w:top w:val="single" w:sz="12" w:space="0" w:color="auto"/>
              <w:left w:val="single" w:sz="12" w:space="0" w:color="auto"/>
              <w:bottom w:val="single" w:sz="12" w:space="0" w:color="auto"/>
              <w:right w:val="single" w:sz="12" w:space="0" w:color="auto"/>
            </w:tcBorders>
            <w:vAlign w:val="center"/>
          </w:tcPr>
          <w:p w14:paraId="322AE5D6" w14:textId="0E0319B1" w:rsidR="001844B6" w:rsidRPr="007E190E" w:rsidRDefault="00CC1C5B" w:rsidP="005A3880">
            <w:pPr>
              <w:pStyle w:val="POAACostsLow"/>
              <w:rPr>
                <w:sz w:val="20"/>
              </w:rPr>
            </w:pPr>
            <w:r>
              <w:rPr>
                <w:sz w:val="20"/>
              </w:rPr>
              <w:t>£0.</w:t>
            </w:r>
            <w:r w:rsidR="0097119B">
              <w:rPr>
                <w:sz w:val="20"/>
              </w:rPr>
              <w:t>1</w:t>
            </w:r>
            <w:r w:rsidR="008F6416">
              <w:rPr>
                <w:sz w:val="20"/>
              </w:rPr>
              <w:t>7</w:t>
            </w:r>
          </w:p>
        </w:tc>
        <w:tc>
          <w:tcPr>
            <w:tcW w:w="2636" w:type="dxa"/>
            <w:gridSpan w:val="2"/>
            <w:tcBorders>
              <w:top w:val="single" w:sz="12" w:space="0" w:color="auto"/>
              <w:left w:val="single" w:sz="12" w:space="0" w:color="auto"/>
              <w:bottom w:val="single" w:sz="12" w:space="0" w:color="auto"/>
            </w:tcBorders>
            <w:vAlign w:val="center"/>
          </w:tcPr>
          <w:p w14:paraId="32C00E6C" w14:textId="27FD4A95" w:rsidR="001844B6" w:rsidRPr="007E190E" w:rsidRDefault="00CC1C5B" w:rsidP="005A3880">
            <w:pPr>
              <w:pStyle w:val="POTCCostsLow"/>
              <w:rPr>
                <w:sz w:val="20"/>
              </w:rPr>
            </w:pPr>
            <w:r>
              <w:rPr>
                <w:sz w:val="20"/>
              </w:rPr>
              <w:t>£</w:t>
            </w:r>
            <w:r w:rsidR="0097119B">
              <w:rPr>
                <w:sz w:val="20"/>
              </w:rPr>
              <w:t>1.4</w:t>
            </w:r>
            <w:r w:rsidR="008F6416">
              <w:rPr>
                <w:sz w:val="20"/>
              </w:rPr>
              <w:t>5</w:t>
            </w:r>
          </w:p>
        </w:tc>
      </w:tr>
      <w:tr w:rsidR="001844B6" w:rsidRPr="007E190E" w14:paraId="0971D62A" w14:textId="77777777" w:rsidTr="00D64409">
        <w:trPr>
          <w:trHeight w:hRule="exact" w:val="348"/>
        </w:trPr>
        <w:tc>
          <w:tcPr>
            <w:tcW w:w="2122" w:type="dxa"/>
            <w:tcBorders>
              <w:top w:val="single" w:sz="12" w:space="0" w:color="auto"/>
              <w:bottom w:val="single" w:sz="12" w:space="0" w:color="auto"/>
              <w:right w:val="single" w:sz="12" w:space="0" w:color="auto"/>
            </w:tcBorders>
            <w:vAlign w:val="center"/>
          </w:tcPr>
          <w:p w14:paraId="55F3D187" w14:textId="77777777" w:rsidR="001844B6" w:rsidRPr="00F63895" w:rsidRDefault="001844B6" w:rsidP="005A3880">
            <w:pPr>
              <w:pStyle w:val="IATableLabel"/>
            </w:pPr>
            <w:r w:rsidRPr="00F63895">
              <w:t xml:space="preserve">High </w:t>
            </w:r>
          </w:p>
        </w:tc>
        <w:tc>
          <w:tcPr>
            <w:tcW w:w="1949" w:type="dxa"/>
            <w:tcBorders>
              <w:top w:val="single" w:sz="12" w:space="0" w:color="auto"/>
              <w:left w:val="single" w:sz="12" w:space="0" w:color="auto"/>
              <w:bottom w:val="single" w:sz="12" w:space="0" w:color="auto"/>
              <w:right w:val="single" w:sz="12" w:space="0" w:color="auto"/>
            </w:tcBorders>
            <w:vAlign w:val="center"/>
          </w:tcPr>
          <w:p w14:paraId="05B9FC31" w14:textId="74D74E0F" w:rsidR="001844B6" w:rsidRPr="007E190E" w:rsidRDefault="005248F1" w:rsidP="005A3880">
            <w:pPr>
              <w:pStyle w:val="POTTCostsHigh"/>
              <w:rPr>
                <w:sz w:val="20"/>
              </w:rPr>
            </w:pPr>
            <w:r>
              <w:rPr>
                <w:sz w:val="20"/>
              </w:rPr>
              <w:t>£0.0</w:t>
            </w:r>
            <w:r w:rsidR="00F23DFE">
              <w:rPr>
                <w:sz w:val="20"/>
              </w:rPr>
              <w:t>2</w:t>
            </w:r>
          </w:p>
        </w:tc>
        <w:tc>
          <w:tcPr>
            <w:tcW w:w="790" w:type="dxa"/>
            <w:vMerge/>
            <w:tcBorders>
              <w:left w:val="single" w:sz="12" w:space="0" w:color="auto"/>
              <w:right w:val="single" w:sz="12" w:space="0" w:color="auto"/>
            </w:tcBorders>
            <w:shd w:val="clear" w:color="auto" w:fill="FFFFFF"/>
            <w:vAlign w:val="center"/>
          </w:tcPr>
          <w:p w14:paraId="4B0C969A" w14:textId="77777777" w:rsidR="001844B6" w:rsidRPr="007E190E" w:rsidRDefault="001844B6" w:rsidP="007E190E">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vAlign w:val="center"/>
          </w:tcPr>
          <w:p w14:paraId="3CFA71A1" w14:textId="77777777" w:rsidR="001844B6" w:rsidRPr="007E190E" w:rsidRDefault="00CC1C5B" w:rsidP="005A3880">
            <w:pPr>
              <w:pStyle w:val="POAACostsHigh"/>
              <w:rPr>
                <w:sz w:val="20"/>
              </w:rPr>
            </w:pPr>
            <w:r>
              <w:rPr>
                <w:sz w:val="20"/>
              </w:rPr>
              <w:t>£0.</w:t>
            </w:r>
            <w:r w:rsidR="0097119B">
              <w:rPr>
                <w:sz w:val="20"/>
              </w:rPr>
              <w:t>41</w:t>
            </w:r>
          </w:p>
        </w:tc>
        <w:tc>
          <w:tcPr>
            <w:tcW w:w="2636" w:type="dxa"/>
            <w:gridSpan w:val="2"/>
            <w:tcBorders>
              <w:top w:val="single" w:sz="12" w:space="0" w:color="auto"/>
              <w:left w:val="single" w:sz="12" w:space="0" w:color="auto"/>
              <w:bottom w:val="single" w:sz="12" w:space="0" w:color="auto"/>
            </w:tcBorders>
            <w:vAlign w:val="center"/>
          </w:tcPr>
          <w:p w14:paraId="6EE6059A" w14:textId="3B230135" w:rsidR="001844B6" w:rsidRPr="007E190E" w:rsidRDefault="00CC1C5B" w:rsidP="005A3880">
            <w:pPr>
              <w:pStyle w:val="POTCCostsHigh"/>
              <w:rPr>
                <w:sz w:val="20"/>
              </w:rPr>
            </w:pPr>
            <w:r>
              <w:rPr>
                <w:sz w:val="20"/>
              </w:rPr>
              <w:t>£</w:t>
            </w:r>
            <w:r w:rsidR="0097119B">
              <w:rPr>
                <w:sz w:val="20"/>
              </w:rPr>
              <w:t>3.</w:t>
            </w:r>
            <w:r w:rsidR="008F6416">
              <w:rPr>
                <w:sz w:val="20"/>
              </w:rPr>
              <w:t>39</w:t>
            </w:r>
          </w:p>
        </w:tc>
      </w:tr>
      <w:tr w:rsidR="001844B6" w:rsidRPr="007E190E" w14:paraId="54CDD615" w14:textId="77777777" w:rsidTr="00950571">
        <w:trPr>
          <w:trHeight w:hRule="exact" w:val="348"/>
        </w:trPr>
        <w:tc>
          <w:tcPr>
            <w:tcW w:w="2122" w:type="dxa"/>
            <w:tcBorders>
              <w:top w:val="single" w:sz="12" w:space="0" w:color="auto"/>
              <w:bottom w:val="single" w:sz="12" w:space="0" w:color="auto"/>
              <w:right w:val="single" w:sz="12" w:space="0" w:color="auto"/>
            </w:tcBorders>
            <w:shd w:val="clear" w:color="auto" w:fill="FFFFFF"/>
            <w:vAlign w:val="center"/>
          </w:tcPr>
          <w:p w14:paraId="6F31CE6A" w14:textId="77777777" w:rsidR="001844B6" w:rsidRPr="00F63895" w:rsidRDefault="001844B6" w:rsidP="005A3880">
            <w:pPr>
              <w:pStyle w:val="IATableLabel"/>
            </w:pPr>
            <w:r w:rsidRPr="00F63895">
              <w:t>Best Estimate</w:t>
            </w:r>
          </w:p>
          <w:p w14:paraId="64C8AB72" w14:textId="77777777" w:rsidR="001844B6" w:rsidRPr="007E190E" w:rsidRDefault="001844B6" w:rsidP="007E190E">
            <w:pPr>
              <w:pStyle w:val="IATableNotes"/>
              <w:spacing w:beforeLines="40" w:before="96"/>
              <w:ind w:left="0" w:right="-22"/>
              <w:jc w:val="center"/>
              <w:rPr>
                <w:rFonts w:cs="Arial"/>
                <w:b/>
                <w:sz w:val="20"/>
              </w:rPr>
            </w:pPr>
          </w:p>
        </w:tc>
        <w:tc>
          <w:tcPr>
            <w:tcW w:w="1949" w:type="dxa"/>
            <w:tcBorders>
              <w:top w:val="single" w:sz="12" w:space="0" w:color="auto"/>
              <w:left w:val="single" w:sz="12" w:space="0" w:color="auto"/>
              <w:bottom w:val="single" w:sz="12" w:space="0" w:color="auto"/>
              <w:right w:val="single" w:sz="12" w:space="0" w:color="auto"/>
            </w:tcBorders>
            <w:shd w:val="clear" w:color="auto" w:fill="FFFFFF"/>
            <w:vAlign w:val="center"/>
          </w:tcPr>
          <w:p w14:paraId="016626D5" w14:textId="4B884E63" w:rsidR="001844B6" w:rsidRPr="007E190E" w:rsidRDefault="005248F1" w:rsidP="005A3880">
            <w:pPr>
              <w:pStyle w:val="POTTCostsBest"/>
              <w:rPr>
                <w:sz w:val="20"/>
              </w:rPr>
            </w:pPr>
            <w:r>
              <w:rPr>
                <w:sz w:val="20"/>
              </w:rPr>
              <w:t>£0.0</w:t>
            </w:r>
            <w:r w:rsidR="00F23DFE">
              <w:rPr>
                <w:sz w:val="20"/>
              </w:rPr>
              <w:t>07</w:t>
            </w:r>
          </w:p>
        </w:tc>
        <w:tc>
          <w:tcPr>
            <w:tcW w:w="790" w:type="dxa"/>
            <w:vMerge/>
            <w:tcBorders>
              <w:left w:val="single" w:sz="12" w:space="0" w:color="auto"/>
              <w:right w:val="single" w:sz="12" w:space="0" w:color="auto"/>
            </w:tcBorders>
            <w:shd w:val="clear" w:color="auto" w:fill="FFFFFF"/>
            <w:vAlign w:val="center"/>
          </w:tcPr>
          <w:p w14:paraId="46EC7ADE" w14:textId="77777777" w:rsidR="001844B6" w:rsidRPr="007E190E" w:rsidRDefault="001844B6" w:rsidP="007E190E">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shd w:val="clear" w:color="auto" w:fill="FFFFFF"/>
            <w:vAlign w:val="center"/>
          </w:tcPr>
          <w:p w14:paraId="7932670B" w14:textId="77777777" w:rsidR="001844B6" w:rsidRPr="007E190E" w:rsidRDefault="00CC1C5B" w:rsidP="005A3880">
            <w:pPr>
              <w:pStyle w:val="POAACostsBest"/>
              <w:rPr>
                <w:sz w:val="20"/>
              </w:rPr>
            </w:pPr>
            <w:r>
              <w:rPr>
                <w:sz w:val="20"/>
              </w:rPr>
              <w:t>£0.</w:t>
            </w:r>
            <w:r w:rsidR="0097119B">
              <w:rPr>
                <w:sz w:val="20"/>
              </w:rPr>
              <w:t>28</w:t>
            </w:r>
          </w:p>
        </w:tc>
        <w:tc>
          <w:tcPr>
            <w:tcW w:w="2636" w:type="dxa"/>
            <w:gridSpan w:val="2"/>
            <w:tcBorders>
              <w:top w:val="single" w:sz="12" w:space="0" w:color="auto"/>
              <w:left w:val="single" w:sz="12" w:space="0" w:color="auto"/>
              <w:bottom w:val="single" w:sz="12" w:space="0" w:color="auto"/>
            </w:tcBorders>
            <w:shd w:val="clear" w:color="auto" w:fill="FFFFFF"/>
            <w:vAlign w:val="center"/>
          </w:tcPr>
          <w:p w14:paraId="1DA818D8" w14:textId="48F2283E" w:rsidR="001844B6" w:rsidRPr="007E190E" w:rsidRDefault="00CC1C5B" w:rsidP="005A3880">
            <w:pPr>
              <w:pStyle w:val="POTCCostsBest"/>
              <w:rPr>
                <w:sz w:val="20"/>
              </w:rPr>
            </w:pPr>
            <w:r>
              <w:rPr>
                <w:sz w:val="20"/>
              </w:rPr>
              <w:t>£</w:t>
            </w:r>
            <w:r w:rsidR="0097119B">
              <w:rPr>
                <w:sz w:val="20"/>
              </w:rPr>
              <w:t>2.3</w:t>
            </w:r>
            <w:r w:rsidR="008F6416">
              <w:rPr>
                <w:sz w:val="20"/>
              </w:rPr>
              <w:t>0</w:t>
            </w:r>
          </w:p>
        </w:tc>
      </w:tr>
      <w:tr w:rsidR="001844B6" w:rsidRPr="00826F71" w14:paraId="24B7FE40" w14:textId="77777777" w:rsidTr="00D8157F">
        <w:trPr>
          <w:trHeight w:hRule="exact" w:val="1774"/>
        </w:trPr>
        <w:tc>
          <w:tcPr>
            <w:tcW w:w="10362" w:type="dxa"/>
            <w:gridSpan w:val="6"/>
            <w:tcBorders>
              <w:bottom w:val="single" w:sz="12" w:space="0" w:color="auto"/>
            </w:tcBorders>
          </w:tcPr>
          <w:p w14:paraId="779AC5A2" w14:textId="77777777" w:rsidR="001844B6" w:rsidRPr="007E190E" w:rsidRDefault="001844B6" w:rsidP="005A3880">
            <w:pPr>
              <w:pStyle w:val="IAPOQ1"/>
              <w:rPr>
                <w:szCs w:val="22"/>
              </w:rPr>
            </w:pPr>
            <w:r w:rsidRPr="00544292">
              <w:t xml:space="preserve">Description and scale of </w:t>
            </w:r>
            <w:r w:rsidRPr="00826F71">
              <w:t>key monetised costs</w:t>
            </w:r>
            <w:r w:rsidRPr="00544292">
              <w:t xml:space="preserve"> by ‘main affected groups’ </w:t>
            </w:r>
          </w:p>
          <w:p w14:paraId="079CC82C" w14:textId="0CFEB223" w:rsidR="001844B6" w:rsidRPr="00826F71" w:rsidRDefault="00C42811" w:rsidP="005A3880">
            <w:pPr>
              <w:pStyle w:val="IAPOA1"/>
            </w:pPr>
            <w:r>
              <w:rPr>
                <w:szCs w:val="22"/>
              </w:rPr>
              <w:t xml:space="preserve">Transitional costs: 1-2 days training for </w:t>
            </w:r>
            <w:r w:rsidR="000B7779">
              <w:rPr>
                <w:szCs w:val="22"/>
              </w:rPr>
              <w:t>E</w:t>
            </w:r>
            <w:r>
              <w:rPr>
                <w:szCs w:val="22"/>
              </w:rPr>
              <w:t>TW members following incorporation of school exclusion appeals, £6,900 [best estimate</w:t>
            </w:r>
            <w:r w:rsidR="000B7779">
              <w:rPr>
                <w:szCs w:val="22"/>
              </w:rPr>
              <w:t>]</w:t>
            </w:r>
            <w:r>
              <w:rPr>
                <w:szCs w:val="22"/>
              </w:rPr>
              <w:t>;</w:t>
            </w:r>
            <w:r>
              <w:t xml:space="preserve"> </w:t>
            </w:r>
            <w:r w:rsidR="00CB2D58">
              <w:t xml:space="preserve">On-going cost: </w:t>
            </w:r>
            <w:r w:rsidR="00C86283">
              <w:t xml:space="preserve">New Appeal Tribunal, </w:t>
            </w:r>
            <w:r w:rsidR="00841663">
              <w:t>£</w:t>
            </w:r>
            <w:r w:rsidR="008F6416">
              <w:t>4,900</w:t>
            </w:r>
            <w:r w:rsidR="00841663">
              <w:t xml:space="preserve"> in staffing cost; </w:t>
            </w:r>
            <w:r w:rsidR="00323A42">
              <w:t>i</w:t>
            </w:r>
            <w:r w:rsidR="00EF7D7A" w:rsidRPr="000B308F">
              <w:t xml:space="preserve">nclusion of the </w:t>
            </w:r>
            <w:r w:rsidR="00C25BE0">
              <w:t>Valuation Tribunal for Wales</w:t>
            </w:r>
            <w:r w:rsidR="00323A42">
              <w:t xml:space="preserve"> within a unified system</w:t>
            </w:r>
            <w:r w:rsidR="00EF7D7A" w:rsidRPr="00D337D1" w:rsidDel="003D125D">
              <w:t xml:space="preserve"> </w:t>
            </w:r>
            <w:r w:rsidR="006B1212">
              <w:t xml:space="preserve">may </w:t>
            </w:r>
            <w:r w:rsidR="00EF7D7A">
              <w:t xml:space="preserve">attract a members’ fee – assumed to be the current average fee, </w:t>
            </w:r>
            <w:r w:rsidR="00BC27DC">
              <w:t xml:space="preserve">Annual cost </w:t>
            </w:r>
            <w:r w:rsidR="0059360B">
              <w:t>£</w:t>
            </w:r>
            <w:r w:rsidR="00392C2B">
              <w:t>77,600</w:t>
            </w:r>
            <w:r w:rsidR="00BC27DC">
              <w:t>- central estimate-</w:t>
            </w:r>
            <w:r w:rsidR="00EF7D7A">
              <w:t xml:space="preserve"> [Welsh Government</w:t>
            </w:r>
            <w:r w:rsidR="00F9634D">
              <w:t>]; Increased</w:t>
            </w:r>
            <w:r w:rsidR="00CC1C5B">
              <w:t xml:space="preserve"> </w:t>
            </w:r>
            <w:r w:rsidR="000B7779">
              <w:t xml:space="preserve">ETW </w:t>
            </w:r>
            <w:r w:rsidR="00CC1C5B">
              <w:t xml:space="preserve">staffing costs following inclusion of </w:t>
            </w:r>
            <w:r w:rsidR="00E81115">
              <w:t>sc</w:t>
            </w:r>
            <w:r w:rsidR="00CC1C5B">
              <w:t xml:space="preserve">hool </w:t>
            </w:r>
            <w:r w:rsidR="00E81115">
              <w:t>e</w:t>
            </w:r>
            <w:r w:rsidR="00CC1C5B">
              <w:t xml:space="preserve">xclusion </w:t>
            </w:r>
            <w:r w:rsidR="00213E7A">
              <w:t xml:space="preserve">&amp; </w:t>
            </w:r>
            <w:r w:rsidR="00E81115">
              <w:t>appeals from s</w:t>
            </w:r>
            <w:r w:rsidR="00213E7A">
              <w:t xml:space="preserve">chool </w:t>
            </w:r>
            <w:r w:rsidR="00E81115">
              <w:t>a</w:t>
            </w:r>
            <w:r w:rsidR="00213E7A">
              <w:t xml:space="preserve">dmission </w:t>
            </w:r>
            <w:r w:rsidR="00E81115">
              <w:t>p</w:t>
            </w:r>
            <w:r w:rsidR="00CC1C5B">
              <w:t>anel</w:t>
            </w:r>
            <w:r w:rsidR="003F76C1">
              <w:t>s</w:t>
            </w:r>
            <w:r w:rsidR="00CC1C5B">
              <w:t>, £</w:t>
            </w:r>
            <w:r w:rsidR="0005305F">
              <w:t>193,2</w:t>
            </w:r>
            <w:r w:rsidR="00CC1C5B">
              <w:t>00 [central estimate]</w:t>
            </w:r>
          </w:p>
        </w:tc>
      </w:tr>
      <w:tr w:rsidR="001844B6" w:rsidRPr="00826F71" w14:paraId="7793C502" w14:textId="77777777" w:rsidTr="00D64409">
        <w:trPr>
          <w:trHeight w:hRule="exact" w:val="1701"/>
        </w:trPr>
        <w:tc>
          <w:tcPr>
            <w:tcW w:w="10362" w:type="dxa"/>
            <w:gridSpan w:val="6"/>
            <w:tcBorders>
              <w:top w:val="single" w:sz="12" w:space="0" w:color="auto"/>
              <w:bottom w:val="single" w:sz="12" w:space="0" w:color="auto"/>
            </w:tcBorders>
          </w:tcPr>
          <w:p w14:paraId="41A1B4EB" w14:textId="77777777" w:rsidR="001844B6" w:rsidRPr="007E190E" w:rsidRDefault="001844B6" w:rsidP="005A3880">
            <w:pPr>
              <w:pStyle w:val="IAPOQ2"/>
              <w:rPr>
                <w:szCs w:val="22"/>
              </w:rPr>
            </w:pPr>
            <w:r w:rsidRPr="00544292">
              <w:t>Other</w:t>
            </w:r>
            <w:r w:rsidRPr="00826F71">
              <w:t xml:space="preserve"> key non-monetised costs</w:t>
            </w:r>
            <w:r w:rsidRPr="00544292">
              <w:t xml:space="preserve"> by ‘main affected groups’ </w:t>
            </w:r>
          </w:p>
          <w:p w14:paraId="73A662C6" w14:textId="64B68F83" w:rsidR="001844B6" w:rsidRDefault="00CB2D58" w:rsidP="005A3880">
            <w:pPr>
              <w:pStyle w:val="IAPOA2"/>
              <w:rPr>
                <w:szCs w:val="22"/>
              </w:rPr>
            </w:pPr>
            <w:r>
              <w:rPr>
                <w:szCs w:val="22"/>
              </w:rPr>
              <w:t>Transitional costs:</w:t>
            </w:r>
            <w:r w:rsidR="00C42811">
              <w:rPr>
                <w:szCs w:val="22"/>
              </w:rPr>
              <w:t xml:space="preserve"> The opportunity cost of</w:t>
            </w:r>
            <w:r>
              <w:rPr>
                <w:szCs w:val="22"/>
              </w:rPr>
              <w:t xml:space="preserve"> 1-2 days </w:t>
            </w:r>
            <w:r w:rsidR="005C5AAA">
              <w:rPr>
                <w:szCs w:val="22"/>
              </w:rPr>
              <w:t xml:space="preserve">for </w:t>
            </w:r>
            <w:r>
              <w:rPr>
                <w:szCs w:val="22"/>
              </w:rPr>
              <w:t xml:space="preserve">administrative staff working within the newly formed Unified system; </w:t>
            </w:r>
            <w:r w:rsidRPr="000B308F">
              <w:rPr>
                <w:szCs w:val="22"/>
              </w:rPr>
              <w:t xml:space="preserve">Legislative drafting for proposed </w:t>
            </w:r>
            <w:r w:rsidR="00323A42">
              <w:rPr>
                <w:szCs w:val="22"/>
              </w:rPr>
              <w:t>u</w:t>
            </w:r>
            <w:r w:rsidRPr="000B308F">
              <w:rPr>
                <w:szCs w:val="22"/>
              </w:rPr>
              <w:t xml:space="preserve">nified system likely to take 6 months; Guidance material and branding for </w:t>
            </w:r>
            <w:r w:rsidR="00323A42">
              <w:rPr>
                <w:szCs w:val="22"/>
              </w:rPr>
              <w:t>u</w:t>
            </w:r>
            <w:r w:rsidRPr="000B308F">
              <w:rPr>
                <w:szCs w:val="22"/>
              </w:rPr>
              <w:t xml:space="preserve">nified system; </w:t>
            </w:r>
            <w:r w:rsidR="00323A42">
              <w:rPr>
                <w:szCs w:val="22"/>
              </w:rPr>
              <w:t>replacement of Welsh Tribunals Unit by non-</w:t>
            </w:r>
            <w:r w:rsidR="00CA28AC">
              <w:rPr>
                <w:szCs w:val="22"/>
              </w:rPr>
              <w:t>ministerial department.</w:t>
            </w:r>
          </w:p>
          <w:p w14:paraId="1C2CA3C7" w14:textId="77777777" w:rsidR="00CB2D58" w:rsidRPr="007E190E" w:rsidRDefault="00CB2D58" w:rsidP="005A3880">
            <w:pPr>
              <w:pStyle w:val="IAPOA2"/>
              <w:rPr>
                <w:szCs w:val="22"/>
              </w:rPr>
            </w:pPr>
          </w:p>
        </w:tc>
      </w:tr>
      <w:tr w:rsidR="001844B6" w:rsidRPr="007E190E" w14:paraId="573068C0" w14:textId="77777777" w:rsidTr="00D64409">
        <w:trPr>
          <w:trHeight w:hRule="exact" w:val="567"/>
        </w:trPr>
        <w:tc>
          <w:tcPr>
            <w:tcW w:w="2122" w:type="dxa"/>
            <w:tcBorders>
              <w:bottom w:val="single" w:sz="12" w:space="0" w:color="auto"/>
              <w:right w:val="single" w:sz="12" w:space="0" w:color="auto"/>
            </w:tcBorders>
            <w:shd w:val="clear" w:color="auto" w:fill="FFFFFF"/>
          </w:tcPr>
          <w:p w14:paraId="7AF9D502" w14:textId="77777777" w:rsidR="001844B6" w:rsidRPr="007E190E" w:rsidRDefault="001844B6" w:rsidP="005A3880">
            <w:pPr>
              <w:pStyle w:val="IATableLabel"/>
              <w:rPr>
                <w:sz w:val="24"/>
                <w:szCs w:val="24"/>
              </w:rPr>
            </w:pPr>
            <w:r w:rsidRPr="007E190E">
              <w:rPr>
                <w:sz w:val="24"/>
                <w:szCs w:val="24"/>
              </w:rPr>
              <w:t xml:space="preserve">BENEFITS </w:t>
            </w:r>
            <w:r w:rsidR="00B21702">
              <w:rPr>
                <w:sz w:val="24"/>
                <w:szCs w:val="24"/>
              </w:rPr>
              <w:t>(</w:t>
            </w:r>
            <w:r w:rsidRPr="007E190E">
              <w:rPr>
                <w:sz w:val="24"/>
                <w:szCs w:val="24"/>
              </w:rPr>
              <w:t>£m)</w:t>
            </w:r>
          </w:p>
        </w:tc>
        <w:tc>
          <w:tcPr>
            <w:tcW w:w="2739" w:type="dxa"/>
            <w:gridSpan w:val="2"/>
            <w:tcBorders>
              <w:top w:val="single" w:sz="12" w:space="0" w:color="auto"/>
              <w:left w:val="single" w:sz="12" w:space="0" w:color="auto"/>
              <w:right w:val="single" w:sz="12" w:space="0" w:color="auto"/>
            </w:tcBorders>
          </w:tcPr>
          <w:p w14:paraId="5D6DB485" w14:textId="77777777" w:rsidR="001844B6" w:rsidRPr="00826F71" w:rsidRDefault="001844B6" w:rsidP="007E190E">
            <w:pPr>
              <w:pStyle w:val="IATableLabel"/>
              <w:tabs>
                <w:tab w:val="right" w:pos="1797"/>
                <w:tab w:val="center" w:pos="2340"/>
              </w:tabs>
              <w:jc w:val="right"/>
            </w:pPr>
            <w:r w:rsidRPr="00826F71">
              <w:t xml:space="preserve">Total Transition </w:t>
            </w:r>
            <w:r>
              <w:br/>
            </w:r>
            <w:r>
              <w:tab/>
            </w:r>
            <w:r w:rsidRPr="007E190E">
              <w:rPr>
                <w:b w:val="0"/>
                <w:sz w:val="18"/>
                <w:szCs w:val="18"/>
              </w:rPr>
              <w:t>(Constant Price)</w:t>
            </w:r>
            <w:r>
              <w:tab/>
            </w:r>
            <w:r w:rsidRPr="007E190E">
              <w:rPr>
                <w:b w:val="0"/>
                <w:sz w:val="18"/>
                <w:szCs w:val="18"/>
              </w:rPr>
              <w:t>Yea</w:t>
            </w:r>
            <w:r w:rsidRPr="007E190E">
              <w:rPr>
                <w:b w:val="0"/>
                <w:bCs/>
                <w:sz w:val="18"/>
                <w:szCs w:val="18"/>
              </w:rPr>
              <w:t>r</w:t>
            </w:r>
            <w:r w:rsidRPr="007E190E">
              <w:rPr>
                <w:b w:val="0"/>
                <w:sz w:val="18"/>
                <w:szCs w:val="18"/>
              </w:rPr>
              <w:t>s</w:t>
            </w:r>
          </w:p>
          <w:p w14:paraId="54B349D3" w14:textId="77777777" w:rsidR="001844B6" w:rsidRPr="00826F71" w:rsidRDefault="001844B6" w:rsidP="007E190E">
            <w:pPr>
              <w:pStyle w:val="IATableLabel"/>
              <w:jc w:val="right"/>
            </w:pPr>
            <w:r>
              <w:br/>
            </w:r>
          </w:p>
        </w:tc>
        <w:tc>
          <w:tcPr>
            <w:tcW w:w="2865" w:type="dxa"/>
            <w:tcBorders>
              <w:left w:val="single" w:sz="12" w:space="0" w:color="auto"/>
              <w:bottom w:val="single" w:sz="12" w:space="0" w:color="auto"/>
              <w:right w:val="single" w:sz="12" w:space="0" w:color="auto"/>
            </w:tcBorders>
          </w:tcPr>
          <w:p w14:paraId="7D2418FD" w14:textId="77777777" w:rsidR="001844B6" w:rsidRPr="007E190E" w:rsidRDefault="001844B6" w:rsidP="007E190E">
            <w:pPr>
              <w:pStyle w:val="IATableLabel"/>
              <w:jc w:val="right"/>
              <w:rPr>
                <w:rFonts w:cs="Arial"/>
                <w:bCs/>
              </w:rPr>
            </w:pPr>
            <w:r w:rsidRPr="00826F71">
              <w:t>Average Annual</w:t>
            </w:r>
            <w:r w:rsidRPr="000C031E">
              <w:t xml:space="preserve"> </w:t>
            </w:r>
            <w:r>
              <w:br/>
            </w:r>
            <w:r w:rsidRPr="007E190E">
              <w:rPr>
                <w:b w:val="0"/>
                <w:sz w:val="18"/>
                <w:szCs w:val="18"/>
              </w:rPr>
              <w:t xml:space="preserve">(excl. Transition) </w:t>
            </w:r>
            <w:r w:rsidRPr="007E190E">
              <w:rPr>
                <w:rFonts w:cs="Arial"/>
                <w:b w:val="0"/>
                <w:bCs/>
                <w:sz w:val="18"/>
                <w:szCs w:val="18"/>
              </w:rPr>
              <w:t>(Constant Price)</w:t>
            </w:r>
          </w:p>
        </w:tc>
        <w:tc>
          <w:tcPr>
            <w:tcW w:w="2636" w:type="dxa"/>
            <w:gridSpan w:val="2"/>
            <w:tcBorders>
              <w:top w:val="single" w:sz="12" w:space="0" w:color="auto"/>
              <w:left w:val="single" w:sz="12" w:space="0" w:color="auto"/>
              <w:bottom w:val="single" w:sz="12" w:space="0" w:color="auto"/>
            </w:tcBorders>
          </w:tcPr>
          <w:p w14:paraId="6CDF8CFB" w14:textId="77777777" w:rsidR="001844B6" w:rsidRPr="00826F71" w:rsidRDefault="001844B6" w:rsidP="007E190E">
            <w:pPr>
              <w:pStyle w:val="IATableLabel"/>
              <w:jc w:val="right"/>
            </w:pPr>
            <w:r w:rsidRPr="00826F71">
              <w:t xml:space="preserve">Total </w:t>
            </w:r>
            <w:r>
              <w:t>Benefit</w:t>
            </w:r>
            <w:r w:rsidRPr="007E190E">
              <w:rPr>
                <w:b w:val="0"/>
                <w:sz w:val="18"/>
                <w:szCs w:val="18"/>
              </w:rPr>
              <w:t xml:space="preserve"> </w:t>
            </w:r>
            <w:r w:rsidRPr="007E190E">
              <w:rPr>
                <w:b w:val="0"/>
                <w:sz w:val="18"/>
                <w:szCs w:val="18"/>
              </w:rPr>
              <w:br/>
              <w:t>(Present Value)</w:t>
            </w:r>
          </w:p>
        </w:tc>
      </w:tr>
      <w:tr w:rsidR="001844B6" w:rsidRPr="007E190E" w14:paraId="014C5D6D" w14:textId="77777777" w:rsidTr="00D64409">
        <w:trPr>
          <w:trHeight w:hRule="exact" w:val="348"/>
        </w:trPr>
        <w:tc>
          <w:tcPr>
            <w:tcW w:w="2122" w:type="dxa"/>
            <w:tcBorders>
              <w:top w:val="single" w:sz="12" w:space="0" w:color="auto"/>
              <w:bottom w:val="single" w:sz="12" w:space="0" w:color="auto"/>
              <w:right w:val="single" w:sz="12" w:space="0" w:color="auto"/>
            </w:tcBorders>
            <w:vAlign w:val="center"/>
          </w:tcPr>
          <w:p w14:paraId="772F796B" w14:textId="77777777" w:rsidR="001844B6" w:rsidRPr="00826F71" w:rsidRDefault="001844B6" w:rsidP="005A3880">
            <w:pPr>
              <w:pStyle w:val="IATableLabel"/>
            </w:pPr>
            <w:r w:rsidRPr="00826F71">
              <w:t xml:space="preserve">Low </w:t>
            </w:r>
          </w:p>
        </w:tc>
        <w:tc>
          <w:tcPr>
            <w:tcW w:w="1949" w:type="dxa"/>
            <w:tcBorders>
              <w:top w:val="single" w:sz="12" w:space="0" w:color="auto"/>
              <w:left w:val="single" w:sz="12" w:space="0" w:color="auto"/>
              <w:bottom w:val="single" w:sz="12" w:space="0" w:color="auto"/>
              <w:right w:val="single" w:sz="12" w:space="0" w:color="auto"/>
            </w:tcBorders>
            <w:vAlign w:val="center"/>
          </w:tcPr>
          <w:p w14:paraId="7351FEBF" w14:textId="77777777" w:rsidR="001844B6" w:rsidRPr="007E190E" w:rsidRDefault="00CC1C5B" w:rsidP="005A3880">
            <w:pPr>
              <w:pStyle w:val="POTTBenLow"/>
              <w:rPr>
                <w:sz w:val="20"/>
              </w:rPr>
            </w:pPr>
            <w:r>
              <w:rPr>
                <w:sz w:val="20"/>
              </w:rPr>
              <w:t>0</w:t>
            </w:r>
          </w:p>
        </w:tc>
        <w:tc>
          <w:tcPr>
            <w:tcW w:w="790" w:type="dxa"/>
            <w:vMerge w:val="restart"/>
            <w:tcBorders>
              <w:top w:val="single" w:sz="12" w:space="0" w:color="auto"/>
              <w:left w:val="single" w:sz="12" w:space="0" w:color="auto"/>
              <w:right w:val="single" w:sz="12" w:space="0" w:color="auto"/>
            </w:tcBorders>
            <w:vAlign w:val="center"/>
          </w:tcPr>
          <w:p w14:paraId="2BA6CF69" w14:textId="77777777" w:rsidR="001844B6" w:rsidRPr="007E190E" w:rsidRDefault="00CC1C5B" w:rsidP="007E190E">
            <w:pPr>
              <w:pStyle w:val="IATableText"/>
              <w:jc w:val="center"/>
              <w:rPr>
                <w:sz w:val="20"/>
              </w:rPr>
            </w:pPr>
            <w:r>
              <w:rPr>
                <w:sz w:val="20"/>
              </w:rPr>
              <w:t>0</w:t>
            </w:r>
          </w:p>
        </w:tc>
        <w:tc>
          <w:tcPr>
            <w:tcW w:w="2865" w:type="dxa"/>
            <w:tcBorders>
              <w:top w:val="single" w:sz="12" w:space="0" w:color="auto"/>
              <w:left w:val="single" w:sz="12" w:space="0" w:color="auto"/>
              <w:bottom w:val="single" w:sz="12" w:space="0" w:color="auto"/>
              <w:right w:val="single" w:sz="12" w:space="0" w:color="auto"/>
            </w:tcBorders>
            <w:vAlign w:val="center"/>
          </w:tcPr>
          <w:p w14:paraId="396FC9E2" w14:textId="77777777" w:rsidR="001844B6" w:rsidRPr="007E190E" w:rsidRDefault="00761B0D" w:rsidP="005A3880">
            <w:pPr>
              <w:pStyle w:val="POAABenLow"/>
              <w:rPr>
                <w:sz w:val="20"/>
              </w:rPr>
            </w:pPr>
            <w:r>
              <w:rPr>
                <w:sz w:val="20"/>
              </w:rPr>
              <w:t>£0.01</w:t>
            </w:r>
          </w:p>
        </w:tc>
        <w:tc>
          <w:tcPr>
            <w:tcW w:w="2636" w:type="dxa"/>
            <w:gridSpan w:val="2"/>
            <w:tcBorders>
              <w:top w:val="single" w:sz="12" w:space="0" w:color="auto"/>
              <w:left w:val="single" w:sz="12" w:space="0" w:color="auto"/>
              <w:bottom w:val="single" w:sz="12" w:space="0" w:color="auto"/>
            </w:tcBorders>
            <w:vAlign w:val="center"/>
          </w:tcPr>
          <w:p w14:paraId="10A0BBAC" w14:textId="77777777" w:rsidR="001844B6" w:rsidRPr="007E190E" w:rsidRDefault="00C04346" w:rsidP="005A3880">
            <w:pPr>
              <w:pStyle w:val="POTBBenLow"/>
              <w:rPr>
                <w:sz w:val="20"/>
              </w:rPr>
            </w:pPr>
            <w:r>
              <w:rPr>
                <w:sz w:val="20"/>
              </w:rPr>
              <w:t>£0.06</w:t>
            </w:r>
          </w:p>
        </w:tc>
      </w:tr>
      <w:tr w:rsidR="001844B6" w:rsidRPr="007E190E" w14:paraId="5F7F7F81" w14:textId="77777777" w:rsidTr="00D64409">
        <w:trPr>
          <w:trHeight w:hRule="exact" w:val="348"/>
        </w:trPr>
        <w:tc>
          <w:tcPr>
            <w:tcW w:w="2122" w:type="dxa"/>
            <w:tcBorders>
              <w:top w:val="single" w:sz="12" w:space="0" w:color="auto"/>
              <w:bottom w:val="single" w:sz="12" w:space="0" w:color="auto"/>
              <w:right w:val="single" w:sz="12" w:space="0" w:color="auto"/>
            </w:tcBorders>
            <w:vAlign w:val="center"/>
          </w:tcPr>
          <w:p w14:paraId="69A8CAF4" w14:textId="77777777" w:rsidR="001844B6" w:rsidRPr="00826F71" w:rsidRDefault="001844B6" w:rsidP="005A3880">
            <w:pPr>
              <w:pStyle w:val="IATableLabel"/>
            </w:pPr>
            <w:r w:rsidRPr="00826F71">
              <w:t xml:space="preserve">High </w:t>
            </w:r>
          </w:p>
        </w:tc>
        <w:tc>
          <w:tcPr>
            <w:tcW w:w="1949" w:type="dxa"/>
            <w:tcBorders>
              <w:top w:val="single" w:sz="12" w:space="0" w:color="auto"/>
              <w:left w:val="single" w:sz="12" w:space="0" w:color="auto"/>
              <w:bottom w:val="single" w:sz="12" w:space="0" w:color="auto"/>
              <w:right w:val="single" w:sz="12" w:space="0" w:color="auto"/>
            </w:tcBorders>
            <w:vAlign w:val="center"/>
          </w:tcPr>
          <w:p w14:paraId="0B7EE0DD" w14:textId="77777777" w:rsidR="001844B6" w:rsidRPr="007E190E" w:rsidRDefault="00CC1C5B" w:rsidP="005A3880">
            <w:pPr>
              <w:pStyle w:val="POTTBenHigh"/>
              <w:rPr>
                <w:sz w:val="20"/>
              </w:rPr>
            </w:pPr>
            <w:r>
              <w:rPr>
                <w:sz w:val="20"/>
              </w:rPr>
              <w:t>0</w:t>
            </w:r>
          </w:p>
        </w:tc>
        <w:tc>
          <w:tcPr>
            <w:tcW w:w="790" w:type="dxa"/>
            <w:vMerge/>
            <w:tcBorders>
              <w:left w:val="single" w:sz="12" w:space="0" w:color="auto"/>
              <w:right w:val="single" w:sz="12" w:space="0" w:color="auto"/>
            </w:tcBorders>
            <w:shd w:val="clear" w:color="auto" w:fill="FFFFFF"/>
            <w:vAlign w:val="center"/>
          </w:tcPr>
          <w:p w14:paraId="1D8544A5" w14:textId="77777777" w:rsidR="001844B6" w:rsidRPr="007E190E" w:rsidRDefault="001844B6" w:rsidP="007E190E">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vAlign w:val="center"/>
          </w:tcPr>
          <w:p w14:paraId="1CA736ED" w14:textId="77777777" w:rsidR="001844B6" w:rsidRPr="007E190E" w:rsidRDefault="00C04346" w:rsidP="005A3880">
            <w:pPr>
              <w:pStyle w:val="POAABenHigh"/>
              <w:rPr>
                <w:sz w:val="20"/>
              </w:rPr>
            </w:pPr>
            <w:r>
              <w:rPr>
                <w:sz w:val="20"/>
              </w:rPr>
              <w:t>£0.03</w:t>
            </w:r>
          </w:p>
        </w:tc>
        <w:tc>
          <w:tcPr>
            <w:tcW w:w="2636" w:type="dxa"/>
            <w:gridSpan w:val="2"/>
            <w:tcBorders>
              <w:top w:val="single" w:sz="12" w:space="0" w:color="auto"/>
              <w:left w:val="single" w:sz="12" w:space="0" w:color="auto"/>
              <w:bottom w:val="single" w:sz="12" w:space="0" w:color="auto"/>
            </w:tcBorders>
            <w:vAlign w:val="center"/>
          </w:tcPr>
          <w:p w14:paraId="55F2D26D" w14:textId="77777777" w:rsidR="001844B6" w:rsidRPr="007E190E" w:rsidRDefault="00C04346" w:rsidP="005A3880">
            <w:pPr>
              <w:pStyle w:val="POTBBenHigh"/>
              <w:rPr>
                <w:sz w:val="20"/>
              </w:rPr>
            </w:pPr>
            <w:r>
              <w:rPr>
                <w:sz w:val="20"/>
              </w:rPr>
              <w:t>£0.24</w:t>
            </w:r>
          </w:p>
        </w:tc>
      </w:tr>
      <w:tr w:rsidR="001844B6" w:rsidRPr="007E190E" w14:paraId="6DD46A5D" w14:textId="77777777" w:rsidTr="00D64409">
        <w:trPr>
          <w:trHeight w:hRule="exact" w:val="348"/>
        </w:trPr>
        <w:tc>
          <w:tcPr>
            <w:tcW w:w="2122" w:type="dxa"/>
            <w:tcBorders>
              <w:top w:val="single" w:sz="12" w:space="0" w:color="auto"/>
              <w:bottom w:val="single" w:sz="12" w:space="0" w:color="auto"/>
              <w:right w:val="single" w:sz="12" w:space="0" w:color="auto"/>
            </w:tcBorders>
            <w:shd w:val="clear" w:color="auto" w:fill="FFFFFF"/>
            <w:vAlign w:val="center"/>
          </w:tcPr>
          <w:p w14:paraId="394B64E2" w14:textId="77777777" w:rsidR="001844B6" w:rsidRPr="00826F71" w:rsidRDefault="001844B6" w:rsidP="005A3880">
            <w:pPr>
              <w:pStyle w:val="IATableLabel"/>
            </w:pPr>
            <w:r w:rsidRPr="00826F71">
              <w:t xml:space="preserve">Best </w:t>
            </w:r>
            <w:r>
              <w:t>E</w:t>
            </w:r>
            <w:r w:rsidRPr="00826F71">
              <w:t>stimate</w:t>
            </w:r>
          </w:p>
          <w:p w14:paraId="1C6A16F5" w14:textId="77777777" w:rsidR="001844B6" w:rsidRPr="007E190E" w:rsidRDefault="001844B6" w:rsidP="007E190E">
            <w:pPr>
              <w:pStyle w:val="IATableNotes"/>
              <w:spacing w:beforeLines="40" w:before="96"/>
              <w:ind w:left="0" w:right="-22"/>
              <w:jc w:val="center"/>
              <w:rPr>
                <w:rFonts w:cs="Arial"/>
                <w:b/>
                <w:sz w:val="20"/>
              </w:rPr>
            </w:pPr>
          </w:p>
        </w:tc>
        <w:tc>
          <w:tcPr>
            <w:tcW w:w="1949" w:type="dxa"/>
            <w:tcBorders>
              <w:top w:val="single" w:sz="12" w:space="0" w:color="auto"/>
              <w:left w:val="single" w:sz="12" w:space="0" w:color="auto"/>
              <w:bottom w:val="single" w:sz="12" w:space="0" w:color="auto"/>
              <w:right w:val="single" w:sz="12" w:space="0" w:color="auto"/>
            </w:tcBorders>
            <w:shd w:val="clear" w:color="auto" w:fill="FFFFFF"/>
            <w:vAlign w:val="center"/>
          </w:tcPr>
          <w:p w14:paraId="2CFF7B37" w14:textId="77777777" w:rsidR="001844B6" w:rsidRPr="007E190E" w:rsidRDefault="00CC1C5B" w:rsidP="005A3880">
            <w:pPr>
              <w:pStyle w:val="POTTBenBest"/>
              <w:rPr>
                <w:sz w:val="20"/>
              </w:rPr>
            </w:pPr>
            <w:r>
              <w:rPr>
                <w:sz w:val="20"/>
              </w:rPr>
              <w:t>0</w:t>
            </w:r>
          </w:p>
        </w:tc>
        <w:tc>
          <w:tcPr>
            <w:tcW w:w="790" w:type="dxa"/>
            <w:vMerge/>
            <w:tcBorders>
              <w:left w:val="single" w:sz="12" w:space="0" w:color="auto"/>
              <w:bottom w:val="single" w:sz="12" w:space="0" w:color="auto"/>
              <w:right w:val="single" w:sz="12" w:space="0" w:color="auto"/>
            </w:tcBorders>
            <w:shd w:val="clear" w:color="auto" w:fill="FFFFFF"/>
            <w:vAlign w:val="center"/>
          </w:tcPr>
          <w:p w14:paraId="6026A806" w14:textId="77777777" w:rsidR="001844B6" w:rsidRPr="007E190E" w:rsidRDefault="001844B6" w:rsidP="007E190E">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shd w:val="clear" w:color="auto" w:fill="FFFFFF"/>
            <w:vAlign w:val="center"/>
          </w:tcPr>
          <w:p w14:paraId="4608CD1D" w14:textId="77777777" w:rsidR="001844B6" w:rsidRPr="007E190E" w:rsidRDefault="00C04346" w:rsidP="005A3880">
            <w:pPr>
              <w:pStyle w:val="POAABenBest"/>
              <w:rPr>
                <w:sz w:val="20"/>
              </w:rPr>
            </w:pPr>
            <w:r>
              <w:rPr>
                <w:sz w:val="20"/>
              </w:rPr>
              <w:t>£0.02</w:t>
            </w:r>
          </w:p>
        </w:tc>
        <w:tc>
          <w:tcPr>
            <w:tcW w:w="2636" w:type="dxa"/>
            <w:gridSpan w:val="2"/>
            <w:tcBorders>
              <w:top w:val="single" w:sz="12" w:space="0" w:color="auto"/>
              <w:left w:val="single" w:sz="12" w:space="0" w:color="auto"/>
              <w:bottom w:val="single" w:sz="12" w:space="0" w:color="auto"/>
            </w:tcBorders>
            <w:shd w:val="clear" w:color="auto" w:fill="FFFFFF"/>
            <w:vAlign w:val="center"/>
          </w:tcPr>
          <w:p w14:paraId="5AB1B0B1" w14:textId="77777777" w:rsidR="001844B6" w:rsidRPr="007E190E" w:rsidRDefault="00C04346" w:rsidP="005A3880">
            <w:pPr>
              <w:pStyle w:val="POTBBenBest"/>
              <w:rPr>
                <w:sz w:val="20"/>
              </w:rPr>
            </w:pPr>
            <w:r>
              <w:rPr>
                <w:sz w:val="20"/>
              </w:rPr>
              <w:t>£0.14</w:t>
            </w:r>
          </w:p>
        </w:tc>
      </w:tr>
      <w:tr w:rsidR="001844B6" w:rsidRPr="00826F71" w14:paraId="0E0C0F97" w14:textId="77777777" w:rsidTr="000B308F">
        <w:trPr>
          <w:trHeight w:hRule="exact" w:val="1496"/>
        </w:trPr>
        <w:tc>
          <w:tcPr>
            <w:tcW w:w="10362" w:type="dxa"/>
            <w:gridSpan w:val="6"/>
            <w:tcBorders>
              <w:bottom w:val="single" w:sz="12" w:space="0" w:color="auto"/>
            </w:tcBorders>
          </w:tcPr>
          <w:p w14:paraId="0901597D" w14:textId="22049380" w:rsidR="001844B6" w:rsidRPr="007E190E" w:rsidRDefault="001844B6" w:rsidP="005A3880">
            <w:pPr>
              <w:pStyle w:val="IPPOQ3"/>
              <w:rPr>
                <w:szCs w:val="22"/>
              </w:rPr>
            </w:pPr>
            <w:r w:rsidRPr="00544292">
              <w:t>Description and sc</w:t>
            </w:r>
            <w:r w:rsidR="003B3910">
              <w:t>a</w:t>
            </w:r>
            <w:r w:rsidRPr="00544292">
              <w:t xml:space="preserve">le of </w:t>
            </w:r>
            <w:r w:rsidRPr="00826F71">
              <w:t xml:space="preserve">key monetised </w:t>
            </w:r>
            <w:r>
              <w:t>benefits</w:t>
            </w:r>
            <w:r w:rsidRPr="00544292">
              <w:t xml:space="preserve"> by ‘main affected groups’ </w:t>
            </w:r>
          </w:p>
          <w:p w14:paraId="13D2D2E0" w14:textId="249B647A" w:rsidR="001844B6" w:rsidRDefault="00EF7D7A" w:rsidP="000B308F">
            <w:pPr>
              <w:pStyle w:val="IAPOA3"/>
              <w:ind w:left="0"/>
            </w:pPr>
            <w:r>
              <w:t xml:space="preserve">No transitional </w:t>
            </w:r>
            <w:r w:rsidR="003B3910">
              <w:t>benefi</w:t>
            </w:r>
            <w:r>
              <w:t>ts identified</w:t>
            </w:r>
          </w:p>
          <w:p w14:paraId="19F09346" w14:textId="786A6107" w:rsidR="001D72FA" w:rsidRPr="00FF2603" w:rsidRDefault="00EF7D7A" w:rsidP="000B308F">
            <w:pPr>
              <w:pStyle w:val="IAPOA3"/>
              <w:ind w:left="0"/>
            </w:pPr>
            <w:r w:rsidRPr="00EF7D7A">
              <w:t>On-going benefits:</w:t>
            </w:r>
            <w:r>
              <w:t xml:space="preserve"> </w:t>
            </w:r>
            <w:r w:rsidRPr="00EF7D7A">
              <w:t xml:space="preserve">Avoided costs of setting up new </w:t>
            </w:r>
            <w:r w:rsidR="00323A42">
              <w:t>t</w:t>
            </w:r>
            <w:r w:rsidRPr="00EF7D7A">
              <w:t>ribunals and/or arranging new appeal routes</w:t>
            </w:r>
            <w:r w:rsidR="00C04346">
              <w:t xml:space="preserve"> £</w:t>
            </w:r>
            <w:r w:rsidR="003B3910">
              <w:t>4,904</w:t>
            </w:r>
            <w:r w:rsidR="00C04346">
              <w:t xml:space="preserve"> [central estimate]</w:t>
            </w:r>
            <w:r w:rsidR="001D72FA">
              <w:t xml:space="preserve">; </w:t>
            </w:r>
            <w:r w:rsidR="00CD2B0B">
              <w:t>Annual t</w:t>
            </w:r>
            <w:r w:rsidR="001D72FA" w:rsidRPr="00F9788B">
              <w:t xml:space="preserve">ime savings to </w:t>
            </w:r>
            <w:r w:rsidR="00323A42">
              <w:t>local authoritie</w:t>
            </w:r>
            <w:r w:rsidR="001D72FA" w:rsidRPr="00F9788B">
              <w:t xml:space="preserve">s in not having to </w:t>
            </w:r>
            <w:r w:rsidR="00F535C1">
              <w:t>administer</w:t>
            </w:r>
            <w:r w:rsidR="001D72FA" w:rsidRPr="00FF2603">
              <w:t xml:space="preserve"> </w:t>
            </w:r>
            <w:r w:rsidR="00323A42">
              <w:t>s</w:t>
            </w:r>
            <w:r w:rsidR="001D72FA" w:rsidRPr="00F9788B">
              <w:t>chool exclusion panels</w:t>
            </w:r>
            <w:r w:rsidR="00CD2B0B" w:rsidRPr="00FF2603">
              <w:t>- £</w:t>
            </w:r>
            <w:r w:rsidR="00C04346">
              <w:t>6,600</w:t>
            </w:r>
            <w:r w:rsidR="00CD2B0B" w:rsidRPr="00FF2603">
              <w:t xml:space="preserve"> [central estimate]</w:t>
            </w:r>
          </w:p>
          <w:p w14:paraId="3D4EAB3D" w14:textId="77777777" w:rsidR="00EF7D7A" w:rsidRPr="00826F71" w:rsidRDefault="00EF7D7A" w:rsidP="005A3880">
            <w:pPr>
              <w:pStyle w:val="IAPOA3"/>
            </w:pPr>
          </w:p>
        </w:tc>
      </w:tr>
      <w:tr w:rsidR="001844B6" w:rsidRPr="00826F71" w14:paraId="2BB5B875" w14:textId="77777777" w:rsidTr="00D8157F">
        <w:trPr>
          <w:trHeight w:hRule="exact" w:val="1711"/>
        </w:trPr>
        <w:tc>
          <w:tcPr>
            <w:tcW w:w="10362" w:type="dxa"/>
            <w:gridSpan w:val="6"/>
            <w:tcBorders>
              <w:top w:val="single" w:sz="12" w:space="0" w:color="auto"/>
            </w:tcBorders>
          </w:tcPr>
          <w:p w14:paraId="7FBED1D1" w14:textId="77777777" w:rsidR="001844B6" w:rsidRPr="007E190E" w:rsidRDefault="001844B6" w:rsidP="005A3880">
            <w:pPr>
              <w:pStyle w:val="IAPOQ4"/>
              <w:rPr>
                <w:szCs w:val="22"/>
              </w:rPr>
            </w:pPr>
            <w:r w:rsidRPr="00544292">
              <w:t>Other</w:t>
            </w:r>
            <w:r w:rsidRPr="00826F71">
              <w:t xml:space="preserve"> key non-monetised </w:t>
            </w:r>
            <w:r>
              <w:t>benefits</w:t>
            </w:r>
            <w:r w:rsidRPr="00544292">
              <w:t xml:space="preserve"> by ‘main affected groups’ </w:t>
            </w:r>
          </w:p>
          <w:p w14:paraId="56844772" w14:textId="3CBCAF64" w:rsidR="001844B6" w:rsidRPr="00826F71" w:rsidRDefault="00EF7D7A" w:rsidP="000B308F">
            <w:r w:rsidRPr="000B308F">
              <w:rPr>
                <w:rFonts w:eastAsia="SimSun"/>
                <w:spacing w:val="-5"/>
                <w:sz w:val="22"/>
                <w:szCs w:val="20"/>
                <w:lang w:eastAsia="zh-CN"/>
              </w:rPr>
              <w:t xml:space="preserve">Efficiency [administrative] savings from housing all </w:t>
            </w:r>
            <w:r w:rsidR="00323A42">
              <w:rPr>
                <w:rFonts w:eastAsia="SimSun"/>
                <w:spacing w:val="-5"/>
                <w:sz w:val="22"/>
                <w:szCs w:val="20"/>
                <w:lang w:eastAsia="zh-CN"/>
              </w:rPr>
              <w:t>devolved tribunals in Wales</w:t>
            </w:r>
            <w:r w:rsidRPr="000B308F">
              <w:rPr>
                <w:rFonts w:eastAsia="SimSun"/>
                <w:spacing w:val="-5"/>
                <w:sz w:val="22"/>
                <w:szCs w:val="20"/>
                <w:lang w:eastAsia="zh-CN"/>
              </w:rPr>
              <w:t xml:space="preserve"> under one umbrella [Unified system]; Judicial independence -</w:t>
            </w:r>
            <w:r w:rsidRPr="00323A42" w:rsidDel="00CB2D58">
              <w:rPr>
                <w:rFonts w:eastAsia="SimSun"/>
                <w:spacing w:val="-5"/>
                <w:sz w:val="22"/>
                <w:szCs w:val="20"/>
                <w:lang w:eastAsia="zh-CN"/>
              </w:rPr>
              <w:t xml:space="preserve"> </w:t>
            </w:r>
            <w:r w:rsidRPr="000B308F">
              <w:rPr>
                <w:rFonts w:eastAsia="SimSun"/>
                <w:spacing w:val="-5"/>
                <w:sz w:val="22"/>
                <w:szCs w:val="20"/>
                <w:lang w:eastAsia="zh-CN"/>
              </w:rPr>
              <w:t>role for senior judiciary in the running of the tribunal system; Enhanced certainty from a standardised approach to appointments, procedure, etc</w:t>
            </w:r>
            <w:r w:rsidR="00CA28AC">
              <w:rPr>
                <w:rFonts w:eastAsia="SimSun"/>
                <w:spacing w:val="-5"/>
                <w:sz w:val="22"/>
                <w:szCs w:val="20"/>
                <w:lang w:eastAsia="zh-CN"/>
              </w:rPr>
              <w:t xml:space="preserve">; </w:t>
            </w:r>
            <w:r w:rsidR="00F535C1">
              <w:rPr>
                <w:rFonts w:eastAsia="SimSun"/>
                <w:spacing w:val="-5"/>
                <w:sz w:val="22"/>
                <w:szCs w:val="20"/>
                <w:lang w:eastAsia="zh-CN"/>
              </w:rPr>
              <w:t>S</w:t>
            </w:r>
            <w:r w:rsidR="006B1212" w:rsidRPr="000B308F">
              <w:rPr>
                <w:rFonts w:eastAsia="SimSun"/>
                <w:spacing w:val="-5"/>
                <w:sz w:val="22"/>
                <w:szCs w:val="20"/>
                <w:lang w:eastAsia="zh-CN"/>
              </w:rPr>
              <w:t xml:space="preserve">avings to LAs from the removal of expenses paid to </w:t>
            </w:r>
            <w:r w:rsidR="003C1E8C">
              <w:rPr>
                <w:rFonts w:eastAsia="SimSun"/>
                <w:spacing w:val="-5"/>
                <w:sz w:val="22"/>
                <w:szCs w:val="20"/>
                <w:lang w:eastAsia="zh-CN"/>
              </w:rPr>
              <w:t>school exclusion and admission appeal panel</w:t>
            </w:r>
            <w:r w:rsidR="006B1212" w:rsidRPr="000B308F">
              <w:rPr>
                <w:rFonts w:eastAsia="SimSun"/>
                <w:spacing w:val="-5"/>
                <w:sz w:val="22"/>
                <w:szCs w:val="20"/>
                <w:lang w:eastAsia="zh-CN"/>
              </w:rPr>
              <w:t xml:space="preserve"> members.</w:t>
            </w:r>
          </w:p>
        </w:tc>
      </w:tr>
      <w:tr w:rsidR="001844B6" w:rsidRPr="00826F71" w14:paraId="4F3033C7" w14:textId="77777777" w:rsidTr="00D64409">
        <w:trPr>
          <w:trHeight w:hRule="exact" w:val="346"/>
        </w:trPr>
        <w:tc>
          <w:tcPr>
            <w:tcW w:w="9502" w:type="dxa"/>
            <w:gridSpan w:val="5"/>
            <w:tcBorders>
              <w:top w:val="single" w:sz="12" w:space="0" w:color="auto"/>
              <w:bottom w:val="single" w:sz="12" w:space="0" w:color="auto"/>
              <w:right w:val="single" w:sz="12" w:space="0" w:color="auto"/>
            </w:tcBorders>
          </w:tcPr>
          <w:p w14:paraId="75722463" w14:textId="77777777" w:rsidR="001844B6" w:rsidRDefault="001844B6" w:rsidP="007E190E">
            <w:pPr>
              <w:pStyle w:val="IATableLabel"/>
              <w:tabs>
                <w:tab w:val="left" w:pos="7655"/>
              </w:tabs>
            </w:pPr>
            <w:r w:rsidRPr="00F1653E">
              <w:rPr>
                <w:rStyle w:val="IAPOQ5Char"/>
                <w:b/>
              </w:rPr>
              <w:t>Key assumptions/sensitivities/risks</w:t>
            </w:r>
            <w:r>
              <w:tab/>
              <w:t>Discount rate (%)</w:t>
            </w:r>
          </w:p>
          <w:p w14:paraId="36EAD989" w14:textId="77777777" w:rsidR="001844B6" w:rsidRPr="00455895" w:rsidRDefault="001844B6" w:rsidP="005A3880">
            <w:pPr>
              <w:pStyle w:val="IATableLabel"/>
            </w:pPr>
          </w:p>
        </w:tc>
        <w:tc>
          <w:tcPr>
            <w:tcW w:w="860" w:type="dxa"/>
            <w:tcBorders>
              <w:top w:val="single" w:sz="12" w:space="0" w:color="auto"/>
              <w:left w:val="single" w:sz="12" w:space="0" w:color="auto"/>
              <w:bottom w:val="single" w:sz="12" w:space="0" w:color="auto"/>
            </w:tcBorders>
          </w:tcPr>
          <w:p w14:paraId="6AA82213" w14:textId="77777777" w:rsidR="001844B6" w:rsidRPr="007E6CF8" w:rsidRDefault="00CB2D58" w:rsidP="005A3880">
            <w:pPr>
              <w:pStyle w:val="IAPODisRate"/>
            </w:pPr>
            <w:r>
              <w:t>3.5</w:t>
            </w:r>
          </w:p>
        </w:tc>
      </w:tr>
      <w:tr w:rsidR="001844B6" w:rsidRPr="007E190E" w14:paraId="0AFB24F5" w14:textId="77777777" w:rsidTr="000B308F">
        <w:trPr>
          <w:trHeight w:hRule="exact" w:val="963"/>
        </w:trPr>
        <w:tc>
          <w:tcPr>
            <w:tcW w:w="10362" w:type="dxa"/>
            <w:gridSpan w:val="6"/>
            <w:tcBorders>
              <w:top w:val="nil"/>
              <w:bottom w:val="single" w:sz="12" w:space="0" w:color="auto"/>
            </w:tcBorders>
          </w:tcPr>
          <w:p w14:paraId="073F4352" w14:textId="77777777" w:rsidR="001844B6" w:rsidRDefault="00CB2D58" w:rsidP="000B308F">
            <w:pPr>
              <w:pStyle w:val="IAPOA3"/>
              <w:ind w:left="0"/>
            </w:pPr>
            <w:r>
              <w:t xml:space="preserve">Assumptions: Pension arrangements not factored into the proposed inclusion of the </w:t>
            </w:r>
            <w:r w:rsidR="00C25BE0">
              <w:t>Valuation Tribunal for Wales</w:t>
            </w:r>
            <w:r w:rsidR="00323A42">
              <w:t xml:space="preserve"> </w:t>
            </w:r>
            <w:r>
              <w:t xml:space="preserve">within the </w:t>
            </w:r>
            <w:r w:rsidR="00323A42">
              <w:t>unified system.</w:t>
            </w:r>
            <w:r>
              <w:t xml:space="preserve"> </w:t>
            </w:r>
          </w:p>
          <w:p w14:paraId="21065517" w14:textId="77777777" w:rsidR="00CB2D58" w:rsidRPr="00544292" w:rsidRDefault="00CB2D58" w:rsidP="000B308F">
            <w:pPr>
              <w:pStyle w:val="IAPOA3"/>
              <w:ind w:left="0"/>
            </w:pPr>
            <w:r>
              <w:t xml:space="preserve">Risk: </w:t>
            </w:r>
            <w:r w:rsidR="00323A42">
              <w:t xml:space="preserve">Transfer of </w:t>
            </w:r>
            <w:r w:rsidR="00C25BE0">
              <w:t>Valuation Tribunal for Wales</w:t>
            </w:r>
            <w:r>
              <w:t xml:space="preserve"> attracts a pension premium</w:t>
            </w:r>
            <w:r w:rsidR="00323A42">
              <w:t>.</w:t>
            </w:r>
          </w:p>
        </w:tc>
      </w:tr>
    </w:tbl>
    <w:p w14:paraId="5FC5770F" w14:textId="77777777" w:rsidR="001844B6" w:rsidRDefault="001844B6" w:rsidP="005A3880">
      <w:pPr>
        <w:pStyle w:val="IASpacer"/>
      </w:pPr>
    </w:p>
    <w:p w14:paraId="35757329" w14:textId="77777777" w:rsidR="0005543F" w:rsidRDefault="0005543F" w:rsidP="005A3880">
      <w:pPr>
        <w:pStyle w:val="IAHeadLabel"/>
        <w:spacing w:before="50"/>
      </w:pPr>
    </w:p>
    <w:p w14:paraId="75CFB745" w14:textId="2EBB201F" w:rsidR="001844B6" w:rsidRDefault="00F63895" w:rsidP="005A3880">
      <w:pPr>
        <w:pStyle w:val="IAHeadLabel"/>
        <w:spacing w:before="50"/>
      </w:pPr>
      <w:r>
        <w:t xml:space="preserve">BUSINESS </w:t>
      </w:r>
      <w:r w:rsidR="001844B6">
        <w:t xml:space="preserve">ASSESSMENT (Option </w:t>
      </w:r>
      <w:r w:rsidR="001E69A2">
        <w:rPr>
          <w:noProof/>
        </w:rPr>
        <w:fldChar w:fldCharType="begin"/>
      </w:r>
      <w:r w:rsidR="001E69A2">
        <w:rPr>
          <w:noProof/>
        </w:rPr>
        <w:instrText xml:space="preserve"> SEQ BA </w:instrText>
      </w:r>
      <w:r w:rsidR="001E69A2">
        <w:rPr>
          <w:noProof/>
        </w:rPr>
        <w:fldChar w:fldCharType="separate"/>
      </w:r>
      <w:r w:rsidR="00175747">
        <w:rPr>
          <w:noProof/>
        </w:rPr>
        <w:t>1</w:t>
      </w:r>
      <w:r w:rsidR="001E69A2">
        <w:rPr>
          <w:noProof/>
        </w:rPr>
        <w:fldChar w:fldCharType="end"/>
      </w:r>
      <w:r w:rsidR="001844B6">
        <w:t>)</w:t>
      </w:r>
    </w:p>
    <w:tbl>
      <w:tblPr>
        <w:tblW w:w="5067" w:type="pct"/>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977"/>
        <w:gridCol w:w="1836"/>
        <w:gridCol w:w="1694"/>
        <w:gridCol w:w="4804"/>
      </w:tblGrid>
      <w:tr w:rsidR="00FD4195" w:rsidRPr="000E02BE" w14:paraId="43256102" w14:textId="77777777" w:rsidTr="00D64409">
        <w:trPr>
          <w:trHeight w:hRule="exact" w:val="384"/>
        </w:trPr>
        <w:tc>
          <w:tcPr>
            <w:tcW w:w="5529" w:type="dxa"/>
            <w:gridSpan w:val="3"/>
            <w:tcBorders>
              <w:top w:val="single" w:sz="12" w:space="0" w:color="auto"/>
              <w:left w:val="single" w:sz="12" w:space="0" w:color="auto"/>
              <w:bottom w:val="nil"/>
              <w:right w:val="single" w:sz="12" w:space="0" w:color="auto"/>
            </w:tcBorders>
          </w:tcPr>
          <w:p w14:paraId="3CB6C7EE" w14:textId="77777777" w:rsidR="00FD4195" w:rsidRPr="000E02BE" w:rsidRDefault="00FD4195" w:rsidP="005A3880">
            <w:pPr>
              <w:pStyle w:val="IATableLabel"/>
            </w:pPr>
            <w:r w:rsidRPr="000E02BE">
              <w:t xml:space="preserve">Direct impact on </w:t>
            </w:r>
            <w:r>
              <w:t>business (Equivalent Annual) £m</w:t>
            </w:r>
            <w:r w:rsidRPr="000E02BE">
              <w:t xml:space="preserve">: </w:t>
            </w:r>
          </w:p>
        </w:tc>
        <w:tc>
          <w:tcPr>
            <w:tcW w:w="4823" w:type="dxa"/>
            <w:vMerge w:val="restart"/>
            <w:tcBorders>
              <w:top w:val="single" w:sz="12" w:space="0" w:color="auto"/>
              <w:left w:val="single" w:sz="12" w:space="0" w:color="auto"/>
              <w:right w:val="single" w:sz="12" w:space="0" w:color="auto"/>
            </w:tcBorders>
          </w:tcPr>
          <w:p w14:paraId="4B20C4A9" w14:textId="77777777" w:rsidR="00FD4195" w:rsidRPr="000E02BE" w:rsidRDefault="00FD4195" w:rsidP="00C96388">
            <w:pPr>
              <w:pStyle w:val="IATableLabel"/>
            </w:pPr>
            <w:r>
              <w:t>Score for Business Impact Target (qualifying provisions only)</w:t>
            </w:r>
            <w:r w:rsidR="00C96388">
              <w:t xml:space="preserve"> £m:</w:t>
            </w:r>
          </w:p>
        </w:tc>
      </w:tr>
      <w:tr w:rsidR="00FD4195" w:rsidRPr="00E75380" w14:paraId="73F440D4" w14:textId="77777777" w:rsidTr="00D64409">
        <w:trPr>
          <w:trHeight w:hRule="exact" w:val="340"/>
        </w:trPr>
        <w:tc>
          <w:tcPr>
            <w:tcW w:w="1985" w:type="dxa"/>
            <w:vMerge w:val="restart"/>
            <w:tcBorders>
              <w:top w:val="single" w:sz="12" w:space="0" w:color="auto"/>
              <w:left w:val="single" w:sz="12" w:space="0" w:color="auto"/>
              <w:right w:val="single" w:sz="12" w:space="0" w:color="auto"/>
            </w:tcBorders>
            <w:shd w:val="clear" w:color="auto" w:fill="FFFFFF"/>
          </w:tcPr>
          <w:p w14:paraId="0C076CDC" w14:textId="77777777" w:rsidR="00FD4195" w:rsidRPr="00F63895" w:rsidRDefault="00FD4195" w:rsidP="005A3880">
            <w:pPr>
              <w:pStyle w:val="IATableLabel"/>
            </w:pPr>
            <w:r w:rsidRPr="00F63895">
              <w:t xml:space="preserve">Costs: </w:t>
            </w:r>
            <w:bookmarkStart w:id="37" w:name="Text67"/>
            <w:r w:rsidRPr="00F63895">
              <w:rPr>
                <w:rStyle w:val="IAPODICostChar"/>
                <w:b/>
                <w:sz w:val="20"/>
              </w:rPr>
              <w:fldChar w:fldCharType="begin">
                <w:ffData>
                  <w:name w:val="Text67"/>
                  <w:enabled/>
                  <w:calcOnExit w:val="0"/>
                  <w:textInput>
                    <w:maxLength w:val="9"/>
                  </w:textInput>
                </w:ffData>
              </w:fldChar>
            </w:r>
            <w:r w:rsidRPr="00F63895">
              <w:rPr>
                <w:rStyle w:val="IAPODICostChar"/>
                <w:b/>
                <w:sz w:val="20"/>
              </w:rPr>
              <w:instrText xml:space="preserve"> FORMTEXT </w:instrText>
            </w:r>
            <w:r w:rsidRPr="00F63895">
              <w:rPr>
                <w:rStyle w:val="IAPODICostChar"/>
                <w:b/>
                <w:sz w:val="20"/>
              </w:rPr>
            </w:r>
            <w:r w:rsidRPr="00F63895">
              <w:rPr>
                <w:rStyle w:val="IAPODICostChar"/>
                <w:b/>
                <w:sz w:val="20"/>
              </w:rPr>
              <w:fldChar w:fldCharType="separate"/>
            </w:r>
            <w:r w:rsidRPr="00F63895">
              <w:rPr>
                <w:rStyle w:val="IAPODICostChar"/>
                <w:noProof/>
                <w:sz w:val="20"/>
              </w:rPr>
              <w:t> </w:t>
            </w:r>
            <w:r w:rsidRPr="00F63895">
              <w:rPr>
                <w:rStyle w:val="IAPODICostChar"/>
                <w:noProof/>
                <w:sz w:val="20"/>
              </w:rPr>
              <w:t> </w:t>
            </w:r>
            <w:r w:rsidRPr="00F63895">
              <w:rPr>
                <w:rStyle w:val="IAPODICostChar"/>
                <w:noProof/>
                <w:sz w:val="20"/>
              </w:rPr>
              <w:t> </w:t>
            </w:r>
            <w:r w:rsidRPr="00F63895">
              <w:rPr>
                <w:rStyle w:val="IAPODICostChar"/>
                <w:noProof/>
                <w:sz w:val="20"/>
              </w:rPr>
              <w:t> </w:t>
            </w:r>
            <w:r w:rsidRPr="00F63895">
              <w:rPr>
                <w:rStyle w:val="IAPODICostChar"/>
                <w:noProof/>
                <w:sz w:val="20"/>
              </w:rPr>
              <w:t> </w:t>
            </w:r>
            <w:r w:rsidRPr="00F63895">
              <w:rPr>
                <w:rStyle w:val="IAPODICostChar"/>
                <w:b/>
                <w:sz w:val="20"/>
              </w:rPr>
              <w:fldChar w:fldCharType="end"/>
            </w:r>
            <w:bookmarkEnd w:id="37"/>
          </w:p>
        </w:tc>
        <w:tc>
          <w:tcPr>
            <w:tcW w:w="1843" w:type="dxa"/>
            <w:vMerge w:val="restart"/>
            <w:tcBorders>
              <w:top w:val="single" w:sz="12" w:space="0" w:color="auto"/>
              <w:left w:val="single" w:sz="12" w:space="0" w:color="auto"/>
              <w:right w:val="single" w:sz="12" w:space="0" w:color="auto"/>
            </w:tcBorders>
            <w:shd w:val="clear" w:color="auto" w:fill="FFFFFF"/>
          </w:tcPr>
          <w:p w14:paraId="13E7F350" w14:textId="77777777" w:rsidR="00FD4195" w:rsidRPr="00F63895" w:rsidRDefault="00FD4195" w:rsidP="005A3880">
            <w:pPr>
              <w:pStyle w:val="IATableLabel"/>
            </w:pPr>
            <w:r w:rsidRPr="00F63895">
              <w:t xml:space="preserve">Benefits: </w:t>
            </w:r>
            <w:bookmarkStart w:id="38" w:name="Text68"/>
            <w:r w:rsidRPr="00F63895">
              <w:rPr>
                <w:rStyle w:val="IAPODIBenChar"/>
                <w:sz w:val="20"/>
              </w:rPr>
              <w:fldChar w:fldCharType="begin">
                <w:ffData>
                  <w:name w:val="Text68"/>
                  <w:enabled/>
                  <w:calcOnExit w:val="0"/>
                  <w:textInput>
                    <w:maxLength w:val="9"/>
                  </w:textInput>
                </w:ffData>
              </w:fldChar>
            </w:r>
            <w:r w:rsidRPr="00F63895">
              <w:rPr>
                <w:rStyle w:val="IAPODIBenChar"/>
                <w:sz w:val="20"/>
              </w:rPr>
              <w:instrText xml:space="preserve"> FORMTEXT </w:instrText>
            </w:r>
            <w:r w:rsidRPr="00F63895">
              <w:rPr>
                <w:rStyle w:val="IAPODIBenChar"/>
                <w:sz w:val="20"/>
              </w:rPr>
            </w:r>
            <w:r w:rsidRPr="00F63895">
              <w:rPr>
                <w:rStyle w:val="IAPODIBenChar"/>
                <w:sz w:val="20"/>
              </w:rPr>
              <w:fldChar w:fldCharType="separate"/>
            </w:r>
            <w:r w:rsidRPr="00F63895">
              <w:rPr>
                <w:rStyle w:val="IAPODIBenChar"/>
                <w:noProof/>
                <w:sz w:val="20"/>
              </w:rPr>
              <w:t> </w:t>
            </w:r>
            <w:r w:rsidRPr="00F63895">
              <w:rPr>
                <w:rStyle w:val="IAPODIBenChar"/>
                <w:noProof/>
                <w:sz w:val="20"/>
              </w:rPr>
              <w:t> </w:t>
            </w:r>
            <w:r w:rsidRPr="00F63895">
              <w:rPr>
                <w:rStyle w:val="IAPODIBenChar"/>
                <w:noProof/>
                <w:sz w:val="20"/>
              </w:rPr>
              <w:t> </w:t>
            </w:r>
            <w:r w:rsidRPr="00F63895">
              <w:rPr>
                <w:rStyle w:val="IAPODIBenChar"/>
                <w:noProof/>
                <w:sz w:val="20"/>
              </w:rPr>
              <w:t> </w:t>
            </w:r>
            <w:r w:rsidRPr="00F63895">
              <w:rPr>
                <w:rStyle w:val="IAPODIBenChar"/>
                <w:noProof/>
                <w:sz w:val="20"/>
              </w:rPr>
              <w:t> </w:t>
            </w:r>
            <w:r w:rsidRPr="00F63895">
              <w:rPr>
                <w:rStyle w:val="IAPODIBenChar"/>
                <w:sz w:val="20"/>
              </w:rPr>
              <w:fldChar w:fldCharType="end"/>
            </w:r>
            <w:bookmarkEnd w:id="38"/>
          </w:p>
        </w:tc>
        <w:tc>
          <w:tcPr>
            <w:tcW w:w="1701" w:type="dxa"/>
            <w:vMerge w:val="restart"/>
            <w:tcBorders>
              <w:top w:val="single" w:sz="12" w:space="0" w:color="auto"/>
              <w:left w:val="single" w:sz="12" w:space="0" w:color="auto"/>
              <w:right w:val="single" w:sz="12" w:space="0" w:color="auto"/>
            </w:tcBorders>
            <w:shd w:val="clear" w:color="auto" w:fill="FFFFFF"/>
          </w:tcPr>
          <w:p w14:paraId="446E112A" w14:textId="77777777" w:rsidR="00FD4195" w:rsidRPr="00F63895" w:rsidRDefault="00FD4195" w:rsidP="005A3880">
            <w:pPr>
              <w:pStyle w:val="IATableLabel"/>
            </w:pPr>
            <w:r w:rsidRPr="00F63895">
              <w:t xml:space="preserve">Net: </w:t>
            </w:r>
            <w:bookmarkStart w:id="39" w:name="Text69"/>
            <w:r w:rsidRPr="00F63895">
              <w:rPr>
                <w:rStyle w:val="IAPODINetChar"/>
                <w:sz w:val="20"/>
              </w:rPr>
              <w:fldChar w:fldCharType="begin">
                <w:ffData>
                  <w:name w:val="Text69"/>
                  <w:enabled/>
                  <w:calcOnExit w:val="0"/>
                  <w:textInput>
                    <w:maxLength w:val="9"/>
                  </w:textInput>
                </w:ffData>
              </w:fldChar>
            </w:r>
            <w:r w:rsidRPr="00F63895">
              <w:rPr>
                <w:rStyle w:val="IAPODINetChar"/>
                <w:sz w:val="20"/>
              </w:rPr>
              <w:instrText xml:space="preserve"> FORMTEXT </w:instrText>
            </w:r>
            <w:r w:rsidRPr="00F63895">
              <w:rPr>
                <w:rStyle w:val="IAPODINetChar"/>
                <w:sz w:val="20"/>
              </w:rPr>
            </w:r>
            <w:r w:rsidRPr="00F63895">
              <w:rPr>
                <w:rStyle w:val="IAPODINetChar"/>
                <w:sz w:val="20"/>
              </w:rPr>
              <w:fldChar w:fldCharType="separate"/>
            </w:r>
            <w:r w:rsidRPr="00F63895">
              <w:rPr>
                <w:rStyle w:val="IAPODINetChar"/>
                <w:noProof/>
                <w:sz w:val="20"/>
              </w:rPr>
              <w:t> </w:t>
            </w:r>
            <w:r w:rsidRPr="00F63895">
              <w:rPr>
                <w:rStyle w:val="IAPODINetChar"/>
                <w:noProof/>
                <w:sz w:val="20"/>
              </w:rPr>
              <w:t> </w:t>
            </w:r>
            <w:r w:rsidRPr="00F63895">
              <w:rPr>
                <w:rStyle w:val="IAPODINetChar"/>
                <w:noProof/>
                <w:sz w:val="20"/>
              </w:rPr>
              <w:t> </w:t>
            </w:r>
            <w:r w:rsidRPr="00F63895">
              <w:rPr>
                <w:rStyle w:val="IAPODINetChar"/>
                <w:noProof/>
                <w:sz w:val="20"/>
              </w:rPr>
              <w:t> </w:t>
            </w:r>
            <w:r w:rsidRPr="00F63895">
              <w:rPr>
                <w:rStyle w:val="IAPODINetChar"/>
                <w:noProof/>
                <w:sz w:val="20"/>
              </w:rPr>
              <w:t> </w:t>
            </w:r>
            <w:r w:rsidRPr="00F63895">
              <w:rPr>
                <w:rStyle w:val="IAPODINetChar"/>
                <w:sz w:val="20"/>
              </w:rPr>
              <w:fldChar w:fldCharType="end"/>
            </w:r>
            <w:bookmarkEnd w:id="39"/>
          </w:p>
        </w:tc>
        <w:tc>
          <w:tcPr>
            <w:tcW w:w="4823" w:type="dxa"/>
            <w:vMerge/>
            <w:tcBorders>
              <w:left w:val="single" w:sz="12" w:space="0" w:color="auto"/>
              <w:bottom w:val="single" w:sz="12" w:space="0" w:color="auto"/>
              <w:right w:val="single" w:sz="12" w:space="0" w:color="auto"/>
            </w:tcBorders>
            <w:shd w:val="clear" w:color="auto" w:fill="FFFFFF"/>
          </w:tcPr>
          <w:p w14:paraId="4D954E93" w14:textId="77777777" w:rsidR="00FD4195" w:rsidRPr="00F63895" w:rsidRDefault="00FD4195" w:rsidP="005A3880">
            <w:pPr>
              <w:pStyle w:val="IAPODIMQ"/>
            </w:pPr>
          </w:p>
        </w:tc>
      </w:tr>
      <w:tr w:rsidR="00FD4195" w:rsidRPr="00E75380" w14:paraId="01291FE1" w14:textId="77777777" w:rsidTr="00D64409">
        <w:trPr>
          <w:trHeight w:hRule="exact" w:val="340"/>
        </w:trPr>
        <w:tc>
          <w:tcPr>
            <w:tcW w:w="1985" w:type="dxa"/>
            <w:vMerge/>
            <w:tcBorders>
              <w:left w:val="single" w:sz="12" w:space="0" w:color="auto"/>
              <w:bottom w:val="single" w:sz="12" w:space="0" w:color="auto"/>
              <w:right w:val="single" w:sz="12" w:space="0" w:color="auto"/>
            </w:tcBorders>
            <w:shd w:val="clear" w:color="auto" w:fill="FFFFFF"/>
          </w:tcPr>
          <w:p w14:paraId="7C6806A3" w14:textId="77777777" w:rsidR="00FD4195" w:rsidRPr="00F63895" w:rsidRDefault="00FD4195" w:rsidP="005A3880">
            <w:pPr>
              <w:pStyle w:val="IATableLabel"/>
            </w:pPr>
          </w:p>
        </w:tc>
        <w:tc>
          <w:tcPr>
            <w:tcW w:w="1843" w:type="dxa"/>
            <w:vMerge/>
            <w:tcBorders>
              <w:left w:val="single" w:sz="12" w:space="0" w:color="auto"/>
              <w:bottom w:val="single" w:sz="12" w:space="0" w:color="auto"/>
              <w:right w:val="single" w:sz="12" w:space="0" w:color="auto"/>
            </w:tcBorders>
            <w:shd w:val="clear" w:color="auto" w:fill="FFFFFF"/>
          </w:tcPr>
          <w:p w14:paraId="3DD3A4B5" w14:textId="77777777" w:rsidR="00FD4195" w:rsidRPr="00F63895" w:rsidRDefault="00FD4195" w:rsidP="005A3880">
            <w:pPr>
              <w:pStyle w:val="IATableLabel"/>
            </w:pPr>
          </w:p>
        </w:tc>
        <w:tc>
          <w:tcPr>
            <w:tcW w:w="1701" w:type="dxa"/>
            <w:vMerge/>
            <w:tcBorders>
              <w:left w:val="single" w:sz="12" w:space="0" w:color="auto"/>
              <w:bottom w:val="single" w:sz="12" w:space="0" w:color="auto"/>
              <w:right w:val="single" w:sz="12" w:space="0" w:color="auto"/>
            </w:tcBorders>
            <w:shd w:val="clear" w:color="auto" w:fill="FFFFFF"/>
          </w:tcPr>
          <w:p w14:paraId="7B629994" w14:textId="77777777" w:rsidR="00FD4195" w:rsidRPr="00F63895" w:rsidRDefault="00FD4195" w:rsidP="005A3880">
            <w:pPr>
              <w:pStyle w:val="IATableLabel"/>
            </w:pPr>
          </w:p>
        </w:tc>
        <w:bookmarkStart w:id="40" w:name="Text71"/>
        <w:tc>
          <w:tcPr>
            <w:tcW w:w="4823" w:type="dxa"/>
            <w:tcBorders>
              <w:top w:val="single" w:sz="12" w:space="0" w:color="auto"/>
              <w:left w:val="single" w:sz="12" w:space="0" w:color="auto"/>
              <w:bottom w:val="single" w:sz="12" w:space="0" w:color="auto"/>
              <w:right w:val="single" w:sz="12" w:space="0" w:color="auto"/>
            </w:tcBorders>
            <w:shd w:val="clear" w:color="auto" w:fill="FFFFFF"/>
          </w:tcPr>
          <w:p w14:paraId="10AABD34" w14:textId="77777777" w:rsidR="00FD4195" w:rsidRPr="00F63895" w:rsidRDefault="00D41FA2" w:rsidP="005A3880">
            <w:pPr>
              <w:pStyle w:val="IAPODIMQ"/>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14:paraId="21B89FC1" w14:textId="77777777" w:rsidR="00854B58" w:rsidRDefault="00854B58" w:rsidP="005A3880">
      <w:pPr>
        <w:sectPr w:rsidR="00854B58" w:rsidSect="00F1328C">
          <w:footnotePr>
            <w:numRestart w:val="eachSect"/>
          </w:footnotePr>
          <w:pgSz w:w="11907" w:h="16840" w:code="9"/>
          <w:pgMar w:top="680" w:right="851" w:bottom="680" w:left="851" w:header="284" w:footer="284" w:gutter="0"/>
          <w:cols w:space="708"/>
          <w:docGrid w:linePitch="360"/>
        </w:sectPr>
      </w:pPr>
    </w:p>
    <w:p w14:paraId="42D57E9D" w14:textId="77777777" w:rsidR="00CB2E5F" w:rsidRDefault="00CB2E5F" w:rsidP="00CB2E5F">
      <w:pPr>
        <w:pStyle w:val="Heading1"/>
        <w:spacing w:before="0"/>
      </w:pPr>
      <w:r>
        <w:t>Summary: Analysis &amp; Evidence</w:t>
      </w:r>
      <w:r>
        <w:tab/>
      </w:r>
      <w:r w:rsidRPr="00E3545D">
        <w:rPr>
          <w:rFonts w:ascii="Arial" w:hAnsi="Arial"/>
          <w:b w:val="0"/>
          <w:bCs w:val="0"/>
        </w:rPr>
        <w:t xml:space="preserve">Policy Option </w:t>
      </w:r>
      <w:r>
        <w:rPr>
          <w:rFonts w:ascii="Arial" w:hAnsi="Arial"/>
          <w:b w:val="0"/>
          <w:bCs w:val="0"/>
        </w:rPr>
        <w:t>2</w:t>
      </w:r>
    </w:p>
    <w:p w14:paraId="136727AA" w14:textId="77777777" w:rsidR="00CB2E5F" w:rsidRPr="000B308F" w:rsidRDefault="00CB2E5F" w:rsidP="00CB2E5F">
      <w:pPr>
        <w:pStyle w:val="IAHeadLabel"/>
        <w:spacing w:before="50"/>
        <w:rPr>
          <w:b w:val="0"/>
        </w:rPr>
      </w:pPr>
      <w:r w:rsidRPr="00892576">
        <w:t xml:space="preserve">Description: </w:t>
      </w:r>
      <w:r w:rsidRPr="006B70AF">
        <w:t xml:space="preserve"> </w:t>
      </w:r>
      <w:r w:rsidR="00B472DC" w:rsidRPr="000B308F">
        <w:rPr>
          <w:b w:val="0"/>
        </w:rPr>
        <w:t>A phased approach towards the</w:t>
      </w:r>
      <w:r w:rsidR="00B472DC">
        <w:t xml:space="preserve"> g</w:t>
      </w:r>
      <w:r w:rsidR="00B472DC" w:rsidRPr="000B308F">
        <w:rPr>
          <w:rFonts w:cs="Arial"/>
          <w:b w:val="0"/>
          <w:sz w:val="22"/>
          <w:szCs w:val="22"/>
        </w:rPr>
        <w:t>radual unification of tribunal</w:t>
      </w:r>
      <w:r w:rsidR="00B472DC">
        <w:rPr>
          <w:rFonts w:cs="Arial"/>
          <w:b w:val="0"/>
          <w:sz w:val="22"/>
          <w:szCs w:val="22"/>
        </w:rPr>
        <w:t xml:space="preserve">s </w:t>
      </w:r>
    </w:p>
    <w:p w14:paraId="77695FA6" w14:textId="77777777" w:rsidR="00CB2E5F" w:rsidRDefault="00CB2E5F" w:rsidP="00CB2E5F">
      <w:pPr>
        <w:pStyle w:val="IAHeadLabel"/>
        <w:spacing w:before="50"/>
      </w:pPr>
      <w:r>
        <w:t>FULL ECONOMIC ASSESSMENT</w:t>
      </w:r>
    </w:p>
    <w:tbl>
      <w:tblPr>
        <w:tblW w:w="50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95"/>
        <w:gridCol w:w="1254"/>
        <w:gridCol w:w="1433"/>
        <w:gridCol w:w="1791"/>
        <w:gridCol w:w="1818"/>
        <w:gridCol w:w="2620"/>
      </w:tblGrid>
      <w:tr w:rsidR="00CB2E5F" w:rsidRPr="007E190E" w14:paraId="7E4EE47D" w14:textId="77777777" w:rsidTr="00310D00">
        <w:trPr>
          <w:trHeight w:hRule="exact" w:val="312"/>
        </w:trPr>
        <w:tc>
          <w:tcPr>
            <w:tcW w:w="1402" w:type="dxa"/>
            <w:vMerge w:val="restart"/>
            <w:tcBorders>
              <w:top w:val="single" w:sz="12" w:space="0" w:color="auto"/>
              <w:left w:val="single" w:sz="12" w:space="0" w:color="auto"/>
              <w:right w:val="single" w:sz="12" w:space="0" w:color="auto"/>
            </w:tcBorders>
          </w:tcPr>
          <w:p w14:paraId="20875AAB" w14:textId="77777777" w:rsidR="00CB2E5F" w:rsidRPr="00826F71" w:rsidRDefault="00CB2E5F" w:rsidP="00310D00">
            <w:pPr>
              <w:pStyle w:val="POPBY"/>
            </w:pPr>
            <w:r w:rsidRPr="00826F71">
              <w:t>Price Base Year</w:t>
            </w:r>
            <w:r>
              <w:t xml:space="preserve">  </w:t>
            </w:r>
            <w:r>
              <w:rPr>
                <w:b w:val="0"/>
              </w:rPr>
              <w:fldChar w:fldCharType="begin">
                <w:ffData>
                  <w:name w:val="Text55"/>
                  <w:enabled/>
                  <w:calcOnExit w:val="0"/>
                  <w:textInput>
                    <w:default w:val="2019"/>
                    <w:maxLength w:val="4"/>
                  </w:textInput>
                </w:ffData>
              </w:fldChar>
            </w:r>
            <w:r>
              <w:rPr>
                <w:b w:val="0"/>
              </w:rPr>
              <w:instrText xml:space="preserve"> FORMTEXT </w:instrText>
            </w:r>
            <w:r>
              <w:rPr>
                <w:b w:val="0"/>
              </w:rPr>
            </w:r>
            <w:r>
              <w:rPr>
                <w:b w:val="0"/>
              </w:rPr>
              <w:fldChar w:fldCharType="separate"/>
            </w:r>
            <w:r>
              <w:rPr>
                <w:b w:val="0"/>
                <w:noProof/>
              </w:rPr>
              <w:t>2019</w:t>
            </w:r>
            <w:r>
              <w:rPr>
                <w:b w:val="0"/>
              </w:rPr>
              <w:fldChar w:fldCharType="end"/>
            </w:r>
          </w:p>
        </w:tc>
        <w:tc>
          <w:tcPr>
            <w:tcW w:w="1260" w:type="dxa"/>
            <w:vMerge w:val="restart"/>
            <w:tcBorders>
              <w:top w:val="single" w:sz="12" w:space="0" w:color="auto"/>
              <w:left w:val="single" w:sz="12" w:space="0" w:color="auto"/>
              <w:right w:val="single" w:sz="12" w:space="0" w:color="auto"/>
            </w:tcBorders>
          </w:tcPr>
          <w:p w14:paraId="03AE133D" w14:textId="77777777" w:rsidR="00CB2E5F" w:rsidRPr="00826F71" w:rsidRDefault="00CB2E5F" w:rsidP="00310D00">
            <w:pPr>
              <w:pStyle w:val="POPVBY"/>
            </w:pPr>
            <w:r w:rsidRPr="00826F71">
              <w:t>PV Base Year</w:t>
            </w:r>
            <w:r>
              <w:t xml:space="preserve">  </w:t>
            </w:r>
            <w:r>
              <w:rPr>
                <w:b w:val="0"/>
              </w:rPr>
              <w:fldChar w:fldCharType="begin">
                <w:ffData>
                  <w:name w:val="Text56"/>
                  <w:enabled/>
                  <w:calcOnExit w:val="0"/>
                  <w:textInput>
                    <w:default w:val="2020"/>
                    <w:maxLength w:val="4"/>
                  </w:textInput>
                </w:ffData>
              </w:fldChar>
            </w:r>
            <w:r>
              <w:rPr>
                <w:b w:val="0"/>
              </w:rPr>
              <w:instrText xml:space="preserve"> FORMTEXT </w:instrText>
            </w:r>
            <w:r>
              <w:rPr>
                <w:b w:val="0"/>
              </w:rPr>
            </w:r>
            <w:r>
              <w:rPr>
                <w:b w:val="0"/>
              </w:rPr>
              <w:fldChar w:fldCharType="separate"/>
            </w:r>
            <w:r>
              <w:rPr>
                <w:b w:val="0"/>
                <w:noProof/>
              </w:rPr>
              <w:t>2020</w:t>
            </w:r>
            <w:r>
              <w:rPr>
                <w:b w:val="0"/>
              </w:rPr>
              <w:fldChar w:fldCharType="end"/>
            </w:r>
          </w:p>
        </w:tc>
        <w:tc>
          <w:tcPr>
            <w:tcW w:w="1440" w:type="dxa"/>
            <w:vMerge w:val="restart"/>
            <w:tcBorders>
              <w:top w:val="single" w:sz="12" w:space="0" w:color="auto"/>
              <w:left w:val="single" w:sz="12" w:space="0" w:color="auto"/>
              <w:right w:val="single" w:sz="12" w:space="0" w:color="auto"/>
            </w:tcBorders>
          </w:tcPr>
          <w:p w14:paraId="4824B8B7" w14:textId="77777777" w:rsidR="00CB2E5F" w:rsidRPr="00826F71" w:rsidRDefault="00CB2E5F" w:rsidP="00310D00">
            <w:pPr>
              <w:pStyle w:val="POTPY"/>
            </w:pPr>
            <w:r w:rsidRPr="00826F71">
              <w:t>Time Period Years</w:t>
            </w:r>
            <w:r>
              <w:t xml:space="preserve">  </w:t>
            </w:r>
            <w:r w:rsidRPr="007E190E">
              <w:rPr>
                <w:b w:val="0"/>
              </w:rPr>
              <w:fldChar w:fldCharType="begin">
                <w:ffData>
                  <w:name w:val="Text57"/>
                  <w:enabled/>
                  <w:calcOnExit w:val="0"/>
                  <w:textInput>
                    <w:maxLength w:val="4"/>
                  </w:textInput>
                </w:ffData>
              </w:fldChar>
            </w:r>
            <w:r w:rsidRPr="007E190E">
              <w:rPr>
                <w:b w:val="0"/>
              </w:rPr>
              <w:instrText xml:space="preserve"> FORMTEXT </w:instrText>
            </w:r>
            <w:r w:rsidRPr="007E190E">
              <w:rPr>
                <w:b w:val="0"/>
              </w:rPr>
            </w:r>
            <w:r w:rsidRPr="007E190E">
              <w:rPr>
                <w:b w:val="0"/>
              </w:rPr>
              <w:fldChar w:fldCharType="separate"/>
            </w:r>
            <w:r w:rsidRPr="007E190E">
              <w:rPr>
                <w:b w:val="0"/>
                <w:noProof/>
              </w:rPr>
              <w:t> </w:t>
            </w:r>
            <w:r w:rsidRPr="007E190E">
              <w:rPr>
                <w:b w:val="0"/>
                <w:noProof/>
              </w:rPr>
              <w:t> </w:t>
            </w:r>
            <w:r w:rsidRPr="007E190E">
              <w:rPr>
                <w:b w:val="0"/>
                <w:noProof/>
              </w:rPr>
              <w:t> </w:t>
            </w:r>
            <w:r w:rsidRPr="007E190E">
              <w:rPr>
                <w:b w:val="0"/>
                <w:noProof/>
              </w:rPr>
              <w:t> </w:t>
            </w:r>
            <w:r w:rsidRPr="007E190E">
              <w:rPr>
                <w:b w:val="0"/>
              </w:rPr>
              <w:fldChar w:fldCharType="end"/>
            </w:r>
          </w:p>
        </w:tc>
        <w:tc>
          <w:tcPr>
            <w:tcW w:w="6260" w:type="dxa"/>
            <w:gridSpan w:val="3"/>
            <w:tcBorders>
              <w:top w:val="single" w:sz="12" w:space="0" w:color="auto"/>
              <w:left w:val="single" w:sz="12" w:space="0" w:color="auto"/>
              <w:right w:val="single" w:sz="12" w:space="0" w:color="auto"/>
            </w:tcBorders>
            <w:shd w:val="clear" w:color="auto" w:fill="FFFFFF"/>
          </w:tcPr>
          <w:p w14:paraId="43CF2F1B" w14:textId="77777777" w:rsidR="00CB2E5F" w:rsidRPr="00826F71" w:rsidRDefault="00CB2E5F" w:rsidP="00310D00">
            <w:pPr>
              <w:pStyle w:val="IATableLabel"/>
              <w:jc w:val="center"/>
            </w:pPr>
            <w:r w:rsidRPr="00826F71">
              <w:t xml:space="preserve">Net </w:t>
            </w:r>
            <w:r w:rsidRPr="0075393B">
              <w:t>B</w:t>
            </w:r>
            <w:r w:rsidRPr="00826F71">
              <w:t>enefit (</w:t>
            </w:r>
            <w:r>
              <w:t>Present Value (</w:t>
            </w:r>
            <w:r w:rsidRPr="00826F71">
              <w:t>PV</w:t>
            </w:r>
            <w:r>
              <w:t>)</w:t>
            </w:r>
            <w:r w:rsidRPr="00826F71">
              <w:t>)</w:t>
            </w:r>
            <w:r>
              <w:t xml:space="preserve"> (£m)</w:t>
            </w:r>
          </w:p>
        </w:tc>
      </w:tr>
      <w:tr w:rsidR="00CB2E5F" w:rsidRPr="007E190E" w14:paraId="67191B5B" w14:textId="77777777" w:rsidTr="00310D00">
        <w:trPr>
          <w:trHeight w:hRule="exact" w:val="340"/>
        </w:trPr>
        <w:tc>
          <w:tcPr>
            <w:tcW w:w="1402" w:type="dxa"/>
            <w:vMerge/>
            <w:tcBorders>
              <w:left w:val="single" w:sz="12" w:space="0" w:color="auto"/>
              <w:bottom w:val="single" w:sz="12" w:space="0" w:color="auto"/>
              <w:right w:val="single" w:sz="12" w:space="0" w:color="auto"/>
            </w:tcBorders>
          </w:tcPr>
          <w:p w14:paraId="33A08CC4" w14:textId="77777777" w:rsidR="00CB2E5F" w:rsidRPr="007E190E" w:rsidRDefault="00CB2E5F" w:rsidP="00310D00">
            <w:pPr>
              <w:pStyle w:val="IATableNotes"/>
              <w:ind w:left="0"/>
              <w:rPr>
                <w:b/>
                <w:sz w:val="20"/>
              </w:rPr>
            </w:pPr>
          </w:p>
        </w:tc>
        <w:tc>
          <w:tcPr>
            <w:tcW w:w="1260" w:type="dxa"/>
            <w:vMerge/>
            <w:tcBorders>
              <w:left w:val="single" w:sz="12" w:space="0" w:color="auto"/>
              <w:bottom w:val="single" w:sz="12" w:space="0" w:color="auto"/>
              <w:right w:val="single" w:sz="12" w:space="0" w:color="auto"/>
            </w:tcBorders>
          </w:tcPr>
          <w:p w14:paraId="314510B3" w14:textId="77777777" w:rsidR="00CB2E5F" w:rsidRPr="007E190E" w:rsidRDefault="00CB2E5F" w:rsidP="00310D00">
            <w:pPr>
              <w:pStyle w:val="IATableNotes"/>
              <w:ind w:left="0"/>
              <w:rPr>
                <w:b/>
                <w:sz w:val="20"/>
              </w:rPr>
            </w:pPr>
          </w:p>
        </w:tc>
        <w:tc>
          <w:tcPr>
            <w:tcW w:w="1440" w:type="dxa"/>
            <w:vMerge/>
            <w:tcBorders>
              <w:left w:val="single" w:sz="12" w:space="0" w:color="auto"/>
              <w:bottom w:val="single" w:sz="12" w:space="0" w:color="auto"/>
              <w:right w:val="single" w:sz="12" w:space="0" w:color="auto"/>
            </w:tcBorders>
          </w:tcPr>
          <w:p w14:paraId="419E602B" w14:textId="77777777" w:rsidR="00CB2E5F" w:rsidRPr="007E190E" w:rsidRDefault="00CB2E5F" w:rsidP="00310D00">
            <w:pPr>
              <w:pStyle w:val="IATableNotes"/>
              <w:ind w:left="0"/>
              <w:rPr>
                <w:b/>
                <w:sz w:val="20"/>
              </w:rPr>
            </w:pPr>
          </w:p>
        </w:tc>
        <w:tc>
          <w:tcPr>
            <w:tcW w:w="1800" w:type="dxa"/>
            <w:tcBorders>
              <w:top w:val="single" w:sz="12" w:space="0" w:color="auto"/>
              <w:left w:val="single" w:sz="12" w:space="0" w:color="auto"/>
              <w:bottom w:val="single" w:sz="12" w:space="0" w:color="auto"/>
              <w:right w:val="single" w:sz="12" w:space="0" w:color="auto"/>
            </w:tcBorders>
          </w:tcPr>
          <w:p w14:paraId="73DC33D9" w14:textId="2DA160C7" w:rsidR="00CB2E5F" w:rsidRPr="007E190E" w:rsidRDefault="00CB2E5F" w:rsidP="00310D00">
            <w:pPr>
              <w:pStyle w:val="IATableLabel"/>
              <w:rPr>
                <w:bCs/>
              </w:rPr>
            </w:pPr>
            <w:r w:rsidRPr="00304C1D">
              <w:t>Low:</w:t>
            </w:r>
            <w:r w:rsidRPr="00826F71">
              <w:t xml:space="preserve"> </w:t>
            </w:r>
            <w:r w:rsidR="00392C2B">
              <w:t>-£0.</w:t>
            </w:r>
            <w:r w:rsidR="00215B95">
              <w:t>9</w:t>
            </w:r>
            <w:r w:rsidR="009633D7">
              <w:t>1</w:t>
            </w:r>
          </w:p>
        </w:tc>
        <w:tc>
          <w:tcPr>
            <w:tcW w:w="1827" w:type="dxa"/>
            <w:tcBorders>
              <w:top w:val="single" w:sz="12" w:space="0" w:color="auto"/>
              <w:left w:val="single" w:sz="12" w:space="0" w:color="auto"/>
              <w:bottom w:val="single" w:sz="12" w:space="0" w:color="auto"/>
              <w:right w:val="single" w:sz="12" w:space="0" w:color="auto"/>
            </w:tcBorders>
          </w:tcPr>
          <w:p w14:paraId="61BE110E" w14:textId="230A76C8" w:rsidR="00CB2E5F" w:rsidRPr="007E190E" w:rsidRDefault="00CB2E5F" w:rsidP="00310D00">
            <w:pPr>
              <w:pStyle w:val="IATableLabel"/>
              <w:rPr>
                <w:rFonts w:cs="Arial"/>
                <w:bCs/>
                <w:szCs w:val="18"/>
              </w:rPr>
            </w:pPr>
            <w:r w:rsidRPr="00304C1D">
              <w:t>High:</w:t>
            </w:r>
            <w:r w:rsidRPr="00826F71">
              <w:t xml:space="preserve"> </w:t>
            </w:r>
            <w:r w:rsidR="00392C2B">
              <w:t>-£1.</w:t>
            </w:r>
            <w:r w:rsidR="00751F1C">
              <w:t>6</w:t>
            </w:r>
            <w:r w:rsidR="009633D7">
              <w:t>9</w:t>
            </w:r>
          </w:p>
        </w:tc>
        <w:tc>
          <w:tcPr>
            <w:tcW w:w="2633" w:type="dxa"/>
            <w:tcBorders>
              <w:top w:val="single" w:sz="12" w:space="0" w:color="auto"/>
              <w:left w:val="single" w:sz="12" w:space="0" w:color="auto"/>
              <w:bottom w:val="single" w:sz="12" w:space="0" w:color="auto"/>
              <w:right w:val="single" w:sz="12" w:space="0" w:color="auto"/>
            </w:tcBorders>
            <w:shd w:val="clear" w:color="auto" w:fill="FFFFFF"/>
          </w:tcPr>
          <w:p w14:paraId="53A11E6D" w14:textId="637B8AE1" w:rsidR="00CB2E5F" w:rsidRPr="007E190E" w:rsidRDefault="00CB2E5F" w:rsidP="00310D00">
            <w:pPr>
              <w:pStyle w:val="IATableLabel"/>
              <w:rPr>
                <w:szCs w:val="18"/>
              </w:rPr>
            </w:pPr>
            <w:r w:rsidRPr="00304C1D">
              <w:t xml:space="preserve">Best </w:t>
            </w:r>
            <w:r>
              <w:t>E</w:t>
            </w:r>
            <w:r w:rsidRPr="00304C1D">
              <w:t>stimate:</w:t>
            </w:r>
            <w:r w:rsidRPr="00826F71">
              <w:t xml:space="preserve"> </w:t>
            </w:r>
            <w:r w:rsidR="00392C2B">
              <w:rPr>
                <w:rStyle w:val="PONBBestEstChar"/>
                <w:sz w:val="20"/>
                <w:szCs w:val="22"/>
              </w:rPr>
              <w:t>-£</w:t>
            </w:r>
            <w:r w:rsidR="00751F1C">
              <w:rPr>
                <w:rStyle w:val="PONBBestEstChar"/>
                <w:sz w:val="20"/>
                <w:szCs w:val="22"/>
              </w:rPr>
              <w:t>1.2</w:t>
            </w:r>
            <w:r w:rsidR="009633D7">
              <w:rPr>
                <w:rStyle w:val="PONBBestEstChar"/>
                <w:sz w:val="20"/>
                <w:szCs w:val="22"/>
              </w:rPr>
              <w:t>5</w:t>
            </w:r>
          </w:p>
        </w:tc>
      </w:tr>
    </w:tbl>
    <w:p w14:paraId="493B5124" w14:textId="77777777" w:rsidR="00CB2E5F" w:rsidRDefault="00CB2E5F" w:rsidP="00CB2E5F">
      <w:pPr>
        <w:pStyle w:val="IASpacer"/>
      </w:pPr>
    </w:p>
    <w:tbl>
      <w:tblPr>
        <w:tblW w:w="5062" w:type="pct"/>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109"/>
        <w:gridCol w:w="1938"/>
        <w:gridCol w:w="786"/>
        <w:gridCol w:w="2848"/>
        <w:gridCol w:w="1765"/>
        <w:gridCol w:w="855"/>
      </w:tblGrid>
      <w:tr w:rsidR="00CB2E5F" w:rsidRPr="007E190E" w14:paraId="5E72DC84" w14:textId="77777777" w:rsidTr="006B1212">
        <w:trPr>
          <w:trHeight w:hRule="exact" w:val="567"/>
        </w:trPr>
        <w:tc>
          <w:tcPr>
            <w:tcW w:w="2109" w:type="dxa"/>
            <w:tcBorders>
              <w:top w:val="single" w:sz="12" w:space="0" w:color="auto"/>
              <w:bottom w:val="single" w:sz="12" w:space="0" w:color="auto"/>
              <w:right w:val="single" w:sz="12" w:space="0" w:color="auto"/>
            </w:tcBorders>
            <w:shd w:val="clear" w:color="auto" w:fill="FFFFFF"/>
          </w:tcPr>
          <w:p w14:paraId="03A4BF2D" w14:textId="77777777" w:rsidR="00CB2E5F" w:rsidRPr="007E190E" w:rsidRDefault="00CB2E5F" w:rsidP="00310D00">
            <w:pPr>
              <w:pStyle w:val="IATableLabel"/>
              <w:rPr>
                <w:sz w:val="24"/>
                <w:szCs w:val="24"/>
              </w:rPr>
            </w:pPr>
            <w:r w:rsidRPr="007E190E">
              <w:rPr>
                <w:sz w:val="24"/>
                <w:szCs w:val="24"/>
              </w:rPr>
              <w:t>COSTS (£m)</w:t>
            </w:r>
          </w:p>
        </w:tc>
        <w:tc>
          <w:tcPr>
            <w:tcW w:w="2724" w:type="dxa"/>
            <w:gridSpan w:val="2"/>
            <w:tcBorders>
              <w:top w:val="single" w:sz="12" w:space="0" w:color="auto"/>
              <w:left w:val="single" w:sz="12" w:space="0" w:color="auto"/>
              <w:right w:val="single" w:sz="12" w:space="0" w:color="auto"/>
            </w:tcBorders>
          </w:tcPr>
          <w:p w14:paraId="6246E6CE" w14:textId="77777777" w:rsidR="00CB2E5F" w:rsidRPr="00826F71" w:rsidRDefault="00CB2E5F" w:rsidP="00310D00">
            <w:pPr>
              <w:pStyle w:val="IATableLabel"/>
              <w:tabs>
                <w:tab w:val="right" w:pos="1800"/>
                <w:tab w:val="center" w:pos="2340"/>
              </w:tabs>
              <w:jc w:val="right"/>
            </w:pPr>
            <w:r w:rsidRPr="00826F71">
              <w:t xml:space="preserve">Total Transition </w:t>
            </w:r>
            <w:r>
              <w:br/>
            </w:r>
            <w:r>
              <w:tab/>
            </w:r>
            <w:r w:rsidRPr="007E190E">
              <w:rPr>
                <w:b w:val="0"/>
                <w:sz w:val="18"/>
                <w:szCs w:val="18"/>
              </w:rPr>
              <w:t>(Constant Price)</w:t>
            </w:r>
            <w:r>
              <w:tab/>
            </w:r>
            <w:r w:rsidRPr="007E190E">
              <w:rPr>
                <w:b w:val="0"/>
                <w:sz w:val="18"/>
                <w:szCs w:val="18"/>
              </w:rPr>
              <w:t>Yea</w:t>
            </w:r>
            <w:r w:rsidRPr="007E190E">
              <w:rPr>
                <w:b w:val="0"/>
                <w:bCs/>
                <w:sz w:val="18"/>
                <w:szCs w:val="18"/>
              </w:rPr>
              <w:t>r</w:t>
            </w:r>
            <w:r w:rsidRPr="007E190E">
              <w:rPr>
                <w:b w:val="0"/>
                <w:sz w:val="18"/>
                <w:szCs w:val="18"/>
              </w:rPr>
              <w:t>s</w:t>
            </w:r>
          </w:p>
          <w:p w14:paraId="55115549" w14:textId="77777777" w:rsidR="00CB2E5F" w:rsidRPr="00826F71" w:rsidRDefault="00CB2E5F" w:rsidP="00310D00">
            <w:pPr>
              <w:pStyle w:val="IATableLabel"/>
              <w:jc w:val="right"/>
            </w:pPr>
            <w:r>
              <w:br/>
            </w:r>
          </w:p>
        </w:tc>
        <w:tc>
          <w:tcPr>
            <w:tcW w:w="2848" w:type="dxa"/>
            <w:tcBorders>
              <w:top w:val="single" w:sz="12" w:space="0" w:color="auto"/>
              <w:left w:val="single" w:sz="12" w:space="0" w:color="auto"/>
              <w:bottom w:val="single" w:sz="12" w:space="0" w:color="auto"/>
              <w:right w:val="single" w:sz="12" w:space="0" w:color="auto"/>
            </w:tcBorders>
          </w:tcPr>
          <w:p w14:paraId="1501B34E" w14:textId="77777777" w:rsidR="00CB2E5F" w:rsidRPr="007E190E" w:rsidRDefault="00CB2E5F" w:rsidP="00310D00">
            <w:pPr>
              <w:pStyle w:val="IATableLabel"/>
              <w:jc w:val="right"/>
              <w:rPr>
                <w:rFonts w:cs="Arial"/>
                <w:bCs/>
              </w:rPr>
            </w:pPr>
            <w:r w:rsidRPr="00826F71">
              <w:t>Average Annual</w:t>
            </w:r>
            <w:r w:rsidRPr="000C031E">
              <w:t xml:space="preserve"> </w:t>
            </w:r>
            <w:r>
              <w:br/>
            </w:r>
            <w:r w:rsidRPr="007E190E">
              <w:rPr>
                <w:b w:val="0"/>
                <w:sz w:val="18"/>
                <w:szCs w:val="18"/>
              </w:rPr>
              <w:t xml:space="preserve">(excl. Transition) </w:t>
            </w:r>
            <w:r w:rsidRPr="007E190E">
              <w:rPr>
                <w:rFonts w:cs="Arial"/>
                <w:b w:val="0"/>
                <w:bCs/>
                <w:sz w:val="18"/>
                <w:szCs w:val="18"/>
              </w:rPr>
              <w:t>(Constant Price)</w:t>
            </w:r>
          </w:p>
        </w:tc>
        <w:tc>
          <w:tcPr>
            <w:tcW w:w="2620" w:type="dxa"/>
            <w:gridSpan w:val="2"/>
            <w:tcBorders>
              <w:top w:val="single" w:sz="12" w:space="0" w:color="auto"/>
              <w:left w:val="single" w:sz="12" w:space="0" w:color="auto"/>
              <w:bottom w:val="single" w:sz="12" w:space="0" w:color="auto"/>
            </w:tcBorders>
          </w:tcPr>
          <w:p w14:paraId="7D486C62" w14:textId="77777777" w:rsidR="00CB2E5F" w:rsidRPr="00826F71" w:rsidRDefault="00CB2E5F" w:rsidP="00310D00">
            <w:pPr>
              <w:pStyle w:val="IATableLabel"/>
              <w:jc w:val="right"/>
            </w:pPr>
            <w:r w:rsidRPr="00826F71">
              <w:t>Total Cost</w:t>
            </w:r>
            <w:r w:rsidRPr="007E190E">
              <w:rPr>
                <w:b w:val="0"/>
                <w:sz w:val="18"/>
                <w:szCs w:val="18"/>
              </w:rPr>
              <w:t xml:space="preserve"> </w:t>
            </w:r>
            <w:r w:rsidRPr="007E190E">
              <w:rPr>
                <w:b w:val="0"/>
                <w:sz w:val="18"/>
                <w:szCs w:val="18"/>
              </w:rPr>
              <w:br/>
              <w:t>(Present Value)</w:t>
            </w:r>
          </w:p>
        </w:tc>
      </w:tr>
      <w:tr w:rsidR="00CB2E5F" w:rsidRPr="007E190E" w14:paraId="291F332B" w14:textId="77777777" w:rsidTr="006B1212">
        <w:trPr>
          <w:trHeight w:hRule="exact" w:val="348"/>
        </w:trPr>
        <w:tc>
          <w:tcPr>
            <w:tcW w:w="2109" w:type="dxa"/>
            <w:tcBorders>
              <w:top w:val="single" w:sz="12" w:space="0" w:color="auto"/>
              <w:bottom w:val="single" w:sz="12" w:space="0" w:color="auto"/>
              <w:right w:val="single" w:sz="12" w:space="0" w:color="auto"/>
            </w:tcBorders>
            <w:vAlign w:val="center"/>
          </w:tcPr>
          <w:p w14:paraId="7782A9F6" w14:textId="77777777" w:rsidR="00CB2E5F" w:rsidRPr="00F63895" w:rsidRDefault="00CB2E5F" w:rsidP="00310D00">
            <w:pPr>
              <w:pStyle w:val="IATableLabel"/>
            </w:pPr>
            <w:r w:rsidRPr="00F63895">
              <w:t xml:space="preserve">Low </w:t>
            </w:r>
          </w:p>
        </w:tc>
        <w:tc>
          <w:tcPr>
            <w:tcW w:w="1938" w:type="dxa"/>
            <w:tcBorders>
              <w:top w:val="single" w:sz="12" w:space="0" w:color="auto"/>
              <w:left w:val="single" w:sz="12" w:space="0" w:color="auto"/>
              <w:bottom w:val="single" w:sz="12" w:space="0" w:color="auto"/>
              <w:right w:val="single" w:sz="12" w:space="0" w:color="auto"/>
            </w:tcBorders>
            <w:vAlign w:val="center"/>
          </w:tcPr>
          <w:p w14:paraId="6ABF45CA" w14:textId="158BCABC" w:rsidR="00CB2E5F" w:rsidRPr="007E190E" w:rsidRDefault="005666CF" w:rsidP="00F9634D">
            <w:pPr>
              <w:pStyle w:val="POTTCostsLow"/>
              <w:jc w:val="center"/>
              <w:rPr>
                <w:sz w:val="20"/>
              </w:rPr>
            </w:pPr>
            <w:r>
              <w:rPr>
                <w:sz w:val="20"/>
              </w:rPr>
              <w:t>£0.006</w:t>
            </w:r>
          </w:p>
        </w:tc>
        <w:tc>
          <w:tcPr>
            <w:tcW w:w="786" w:type="dxa"/>
            <w:vMerge w:val="restart"/>
            <w:tcBorders>
              <w:top w:val="single" w:sz="12" w:space="0" w:color="auto"/>
              <w:left w:val="single" w:sz="12" w:space="0" w:color="auto"/>
              <w:right w:val="single" w:sz="12" w:space="0" w:color="auto"/>
            </w:tcBorders>
            <w:vAlign w:val="center"/>
          </w:tcPr>
          <w:p w14:paraId="46E5474D" w14:textId="77777777" w:rsidR="00CB2E5F" w:rsidRPr="007E190E" w:rsidRDefault="00CB2E5F" w:rsidP="00310D00">
            <w:pPr>
              <w:pStyle w:val="POTTCostsYear"/>
              <w:rPr>
                <w:sz w:val="20"/>
                <w:szCs w:val="20"/>
              </w:rPr>
            </w:pPr>
          </w:p>
        </w:tc>
        <w:tc>
          <w:tcPr>
            <w:tcW w:w="2848" w:type="dxa"/>
            <w:tcBorders>
              <w:top w:val="single" w:sz="12" w:space="0" w:color="auto"/>
              <w:left w:val="single" w:sz="12" w:space="0" w:color="auto"/>
              <w:bottom w:val="single" w:sz="12" w:space="0" w:color="auto"/>
              <w:right w:val="single" w:sz="12" w:space="0" w:color="auto"/>
            </w:tcBorders>
            <w:vAlign w:val="center"/>
          </w:tcPr>
          <w:p w14:paraId="64ED248B" w14:textId="77777777" w:rsidR="00CB2E5F" w:rsidRPr="007E190E" w:rsidRDefault="00CE05E3" w:rsidP="00310D00">
            <w:pPr>
              <w:pStyle w:val="POAACostsLow"/>
              <w:rPr>
                <w:sz w:val="20"/>
              </w:rPr>
            </w:pPr>
            <w:r>
              <w:rPr>
                <w:sz w:val="20"/>
              </w:rPr>
              <w:t>£0.</w:t>
            </w:r>
            <w:r w:rsidR="00751F1C">
              <w:rPr>
                <w:sz w:val="20"/>
              </w:rPr>
              <w:t>12</w:t>
            </w:r>
          </w:p>
        </w:tc>
        <w:tc>
          <w:tcPr>
            <w:tcW w:w="2620" w:type="dxa"/>
            <w:gridSpan w:val="2"/>
            <w:tcBorders>
              <w:top w:val="single" w:sz="12" w:space="0" w:color="auto"/>
              <w:left w:val="single" w:sz="12" w:space="0" w:color="auto"/>
              <w:bottom w:val="single" w:sz="12" w:space="0" w:color="auto"/>
            </w:tcBorders>
            <w:vAlign w:val="center"/>
          </w:tcPr>
          <w:p w14:paraId="789FE4F3" w14:textId="77777777" w:rsidR="00CB2E5F" w:rsidRPr="007E190E" w:rsidRDefault="008D4F72" w:rsidP="00310D00">
            <w:pPr>
              <w:pStyle w:val="POTCCostsLow"/>
              <w:rPr>
                <w:sz w:val="20"/>
              </w:rPr>
            </w:pPr>
            <w:r>
              <w:rPr>
                <w:sz w:val="20"/>
              </w:rPr>
              <w:t>£0.</w:t>
            </w:r>
            <w:r w:rsidR="00751F1C">
              <w:rPr>
                <w:sz w:val="20"/>
              </w:rPr>
              <w:t>9</w:t>
            </w:r>
            <w:r w:rsidR="00215B95">
              <w:rPr>
                <w:sz w:val="20"/>
              </w:rPr>
              <w:t>5</w:t>
            </w:r>
          </w:p>
        </w:tc>
      </w:tr>
      <w:tr w:rsidR="00CB2E5F" w:rsidRPr="007E190E" w14:paraId="734DBB02" w14:textId="77777777" w:rsidTr="006B1212">
        <w:trPr>
          <w:trHeight w:hRule="exact" w:val="348"/>
        </w:trPr>
        <w:tc>
          <w:tcPr>
            <w:tcW w:w="2109" w:type="dxa"/>
            <w:tcBorders>
              <w:top w:val="single" w:sz="12" w:space="0" w:color="auto"/>
              <w:bottom w:val="single" w:sz="12" w:space="0" w:color="auto"/>
              <w:right w:val="single" w:sz="12" w:space="0" w:color="auto"/>
            </w:tcBorders>
            <w:vAlign w:val="center"/>
          </w:tcPr>
          <w:p w14:paraId="2CFAB9E3" w14:textId="77777777" w:rsidR="00CB2E5F" w:rsidRPr="00F63895" w:rsidRDefault="00CB2E5F" w:rsidP="00310D00">
            <w:pPr>
              <w:pStyle w:val="IATableLabel"/>
            </w:pPr>
            <w:r w:rsidRPr="00F63895">
              <w:t xml:space="preserve">High </w:t>
            </w:r>
          </w:p>
        </w:tc>
        <w:tc>
          <w:tcPr>
            <w:tcW w:w="1938" w:type="dxa"/>
            <w:tcBorders>
              <w:top w:val="single" w:sz="12" w:space="0" w:color="auto"/>
              <w:left w:val="single" w:sz="12" w:space="0" w:color="auto"/>
              <w:bottom w:val="single" w:sz="12" w:space="0" w:color="auto"/>
              <w:right w:val="single" w:sz="12" w:space="0" w:color="auto"/>
            </w:tcBorders>
            <w:vAlign w:val="center"/>
          </w:tcPr>
          <w:p w14:paraId="29B9F4F6" w14:textId="45D89363" w:rsidR="00CB2E5F" w:rsidRPr="007E190E" w:rsidRDefault="005666CF" w:rsidP="00F9634D">
            <w:pPr>
              <w:pStyle w:val="POTTCostsHigh"/>
              <w:jc w:val="center"/>
              <w:rPr>
                <w:sz w:val="20"/>
              </w:rPr>
            </w:pPr>
            <w:r>
              <w:rPr>
                <w:sz w:val="20"/>
              </w:rPr>
              <w:t>£0.0</w:t>
            </w:r>
            <w:r w:rsidR="00F23DFE">
              <w:rPr>
                <w:sz w:val="20"/>
              </w:rPr>
              <w:t>2</w:t>
            </w:r>
          </w:p>
        </w:tc>
        <w:tc>
          <w:tcPr>
            <w:tcW w:w="786" w:type="dxa"/>
            <w:vMerge/>
            <w:tcBorders>
              <w:left w:val="single" w:sz="12" w:space="0" w:color="auto"/>
              <w:right w:val="single" w:sz="12" w:space="0" w:color="auto"/>
            </w:tcBorders>
            <w:shd w:val="clear" w:color="auto" w:fill="FFFFFF"/>
            <w:vAlign w:val="center"/>
          </w:tcPr>
          <w:p w14:paraId="5DF73D62" w14:textId="77777777" w:rsidR="00CB2E5F" w:rsidRPr="007E190E" w:rsidRDefault="00CB2E5F" w:rsidP="00310D00">
            <w:pPr>
              <w:pStyle w:val="IATableText"/>
              <w:jc w:val="right"/>
              <w:rPr>
                <w:sz w:val="20"/>
              </w:rPr>
            </w:pPr>
          </w:p>
        </w:tc>
        <w:tc>
          <w:tcPr>
            <w:tcW w:w="2848" w:type="dxa"/>
            <w:tcBorders>
              <w:top w:val="single" w:sz="12" w:space="0" w:color="auto"/>
              <w:left w:val="single" w:sz="12" w:space="0" w:color="auto"/>
              <w:bottom w:val="single" w:sz="12" w:space="0" w:color="auto"/>
              <w:right w:val="single" w:sz="12" w:space="0" w:color="auto"/>
            </w:tcBorders>
            <w:vAlign w:val="center"/>
          </w:tcPr>
          <w:p w14:paraId="70FAC565" w14:textId="77777777" w:rsidR="00CB2E5F" w:rsidRPr="007E190E" w:rsidRDefault="008D4F72" w:rsidP="00310D00">
            <w:pPr>
              <w:pStyle w:val="POAACostsHigh"/>
              <w:rPr>
                <w:sz w:val="20"/>
              </w:rPr>
            </w:pPr>
            <w:r>
              <w:rPr>
                <w:sz w:val="20"/>
              </w:rPr>
              <w:t>£0.</w:t>
            </w:r>
            <w:r w:rsidR="00751F1C">
              <w:rPr>
                <w:sz w:val="20"/>
              </w:rPr>
              <w:t>24</w:t>
            </w:r>
          </w:p>
        </w:tc>
        <w:tc>
          <w:tcPr>
            <w:tcW w:w="2620" w:type="dxa"/>
            <w:gridSpan w:val="2"/>
            <w:tcBorders>
              <w:top w:val="single" w:sz="12" w:space="0" w:color="auto"/>
              <w:left w:val="single" w:sz="12" w:space="0" w:color="auto"/>
              <w:bottom w:val="single" w:sz="12" w:space="0" w:color="auto"/>
            </w:tcBorders>
            <w:vAlign w:val="center"/>
          </w:tcPr>
          <w:p w14:paraId="5F73AA00" w14:textId="5E82A04A" w:rsidR="00CB2E5F" w:rsidRPr="007E190E" w:rsidRDefault="008D4F72" w:rsidP="00310D00">
            <w:pPr>
              <w:pStyle w:val="POTCCostsHigh"/>
              <w:rPr>
                <w:sz w:val="20"/>
              </w:rPr>
            </w:pPr>
            <w:r>
              <w:rPr>
                <w:sz w:val="20"/>
              </w:rPr>
              <w:t>£1.</w:t>
            </w:r>
            <w:r w:rsidR="005666CF">
              <w:rPr>
                <w:sz w:val="20"/>
              </w:rPr>
              <w:t>90</w:t>
            </w:r>
          </w:p>
        </w:tc>
      </w:tr>
      <w:tr w:rsidR="00CB2E5F" w:rsidRPr="007E190E" w14:paraId="272AD4DE" w14:textId="77777777" w:rsidTr="006B1212">
        <w:trPr>
          <w:trHeight w:hRule="exact" w:val="348"/>
        </w:trPr>
        <w:tc>
          <w:tcPr>
            <w:tcW w:w="2109" w:type="dxa"/>
            <w:tcBorders>
              <w:top w:val="single" w:sz="12" w:space="0" w:color="auto"/>
              <w:bottom w:val="single" w:sz="12" w:space="0" w:color="auto"/>
              <w:right w:val="single" w:sz="12" w:space="0" w:color="auto"/>
            </w:tcBorders>
            <w:shd w:val="clear" w:color="auto" w:fill="FFFFFF"/>
            <w:vAlign w:val="center"/>
          </w:tcPr>
          <w:p w14:paraId="080C22FB" w14:textId="77777777" w:rsidR="00CB2E5F" w:rsidRPr="00F63895" w:rsidRDefault="00CB2E5F" w:rsidP="00310D00">
            <w:pPr>
              <w:pStyle w:val="IATableLabel"/>
            </w:pPr>
            <w:r w:rsidRPr="00F63895">
              <w:t>Best Estimate</w:t>
            </w:r>
          </w:p>
          <w:p w14:paraId="54A6B659" w14:textId="77777777" w:rsidR="00CB2E5F" w:rsidRPr="007E190E" w:rsidRDefault="00CB2E5F" w:rsidP="00310D00">
            <w:pPr>
              <w:pStyle w:val="IATableNotes"/>
              <w:spacing w:beforeLines="40" w:before="96"/>
              <w:ind w:left="0" w:right="-22"/>
              <w:jc w:val="center"/>
              <w:rPr>
                <w:rFonts w:cs="Arial"/>
                <w:b/>
                <w:sz w:val="20"/>
              </w:rPr>
            </w:pPr>
          </w:p>
        </w:tc>
        <w:tc>
          <w:tcPr>
            <w:tcW w:w="1938" w:type="dxa"/>
            <w:tcBorders>
              <w:top w:val="single" w:sz="12" w:space="0" w:color="auto"/>
              <w:left w:val="single" w:sz="12" w:space="0" w:color="auto"/>
              <w:bottom w:val="single" w:sz="12" w:space="0" w:color="auto"/>
              <w:right w:val="single" w:sz="12" w:space="0" w:color="auto"/>
            </w:tcBorders>
            <w:shd w:val="clear" w:color="auto" w:fill="FFFFFF"/>
            <w:vAlign w:val="center"/>
          </w:tcPr>
          <w:p w14:paraId="1AAE52E5" w14:textId="687F40AC" w:rsidR="00CB2E5F" w:rsidRPr="007E190E" w:rsidRDefault="005666CF" w:rsidP="0097144F">
            <w:pPr>
              <w:pStyle w:val="POTTCostsBest"/>
              <w:jc w:val="center"/>
              <w:rPr>
                <w:sz w:val="20"/>
              </w:rPr>
            </w:pPr>
            <w:r>
              <w:rPr>
                <w:sz w:val="20"/>
              </w:rPr>
              <w:t>£0.0</w:t>
            </w:r>
            <w:r w:rsidR="00F23DFE">
              <w:rPr>
                <w:sz w:val="20"/>
              </w:rPr>
              <w:t>07</w:t>
            </w:r>
          </w:p>
        </w:tc>
        <w:tc>
          <w:tcPr>
            <w:tcW w:w="786" w:type="dxa"/>
            <w:vMerge/>
            <w:tcBorders>
              <w:left w:val="single" w:sz="12" w:space="0" w:color="auto"/>
              <w:right w:val="single" w:sz="12" w:space="0" w:color="auto"/>
            </w:tcBorders>
            <w:shd w:val="clear" w:color="auto" w:fill="FFFFFF"/>
            <w:vAlign w:val="center"/>
          </w:tcPr>
          <w:p w14:paraId="2CAED783" w14:textId="77777777" w:rsidR="00CB2E5F" w:rsidRPr="007E190E" w:rsidRDefault="00CB2E5F" w:rsidP="00310D00">
            <w:pPr>
              <w:pStyle w:val="IATableText"/>
              <w:jc w:val="right"/>
              <w:rPr>
                <w:sz w:val="20"/>
              </w:rPr>
            </w:pPr>
          </w:p>
        </w:tc>
        <w:tc>
          <w:tcPr>
            <w:tcW w:w="2848" w:type="dxa"/>
            <w:tcBorders>
              <w:top w:val="single" w:sz="12" w:space="0" w:color="auto"/>
              <w:left w:val="single" w:sz="12" w:space="0" w:color="auto"/>
              <w:bottom w:val="single" w:sz="12" w:space="0" w:color="auto"/>
              <w:right w:val="single" w:sz="12" w:space="0" w:color="auto"/>
            </w:tcBorders>
            <w:shd w:val="clear" w:color="auto" w:fill="FFFFFF"/>
            <w:vAlign w:val="center"/>
          </w:tcPr>
          <w:p w14:paraId="4A8E7888" w14:textId="77777777" w:rsidR="00CB2E5F" w:rsidRPr="007E190E" w:rsidRDefault="008D4F72" w:rsidP="00310D00">
            <w:pPr>
              <w:pStyle w:val="POAACostsBest"/>
              <w:rPr>
                <w:sz w:val="20"/>
              </w:rPr>
            </w:pPr>
            <w:r>
              <w:rPr>
                <w:sz w:val="20"/>
              </w:rPr>
              <w:t>£0.1</w:t>
            </w:r>
            <w:r w:rsidR="00751F1C">
              <w:rPr>
                <w:sz w:val="20"/>
              </w:rPr>
              <w:t>7</w:t>
            </w:r>
          </w:p>
        </w:tc>
        <w:tc>
          <w:tcPr>
            <w:tcW w:w="2620" w:type="dxa"/>
            <w:gridSpan w:val="2"/>
            <w:tcBorders>
              <w:top w:val="single" w:sz="12" w:space="0" w:color="auto"/>
              <w:left w:val="single" w:sz="12" w:space="0" w:color="auto"/>
              <w:bottom w:val="single" w:sz="12" w:space="0" w:color="auto"/>
            </w:tcBorders>
            <w:shd w:val="clear" w:color="auto" w:fill="FFFFFF"/>
            <w:vAlign w:val="center"/>
          </w:tcPr>
          <w:p w14:paraId="56B2DF3C" w14:textId="52BC4DEF" w:rsidR="00CB2E5F" w:rsidRPr="007E190E" w:rsidRDefault="008D4F72" w:rsidP="00310D00">
            <w:pPr>
              <w:pStyle w:val="POTCCostsBest"/>
              <w:rPr>
                <w:sz w:val="20"/>
              </w:rPr>
            </w:pPr>
            <w:r>
              <w:rPr>
                <w:sz w:val="20"/>
              </w:rPr>
              <w:t>£</w:t>
            </w:r>
            <w:r w:rsidR="00751F1C">
              <w:rPr>
                <w:sz w:val="20"/>
              </w:rPr>
              <w:t>1.3</w:t>
            </w:r>
            <w:r w:rsidR="005666CF">
              <w:rPr>
                <w:sz w:val="20"/>
              </w:rPr>
              <w:t>7</w:t>
            </w:r>
          </w:p>
        </w:tc>
      </w:tr>
      <w:tr w:rsidR="006B1212" w:rsidRPr="00826F71" w14:paraId="6F37B92B" w14:textId="77777777" w:rsidTr="00F9634D">
        <w:trPr>
          <w:trHeight w:hRule="exact" w:val="1330"/>
        </w:trPr>
        <w:tc>
          <w:tcPr>
            <w:tcW w:w="10301" w:type="dxa"/>
            <w:gridSpan w:val="6"/>
            <w:tcBorders>
              <w:bottom w:val="single" w:sz="12" w:space="0" w:color="auto"/>
            </w:tcBorders>
          </w:tcPr>
          <w:p w14:paraId="31351AD9" w14:textId="77777777" w:rsidR="006B1212" w:rsidRPr="007E190E" w:rsidRDefault="006B1212" w:rsidP="006B1212">
            <w:pPr>
              <w:pStyle w:val="IAPOQ1"/>
              <w:rPr>
                <w:szCs w:val="22"/>
              </w:rPr>
            </w:pPr>
            <w:r w:rsidRPr="00544292">
              <w:t xml:space="preserve">Description and scale of </w:t>
            </w:r>
            <w:r w:rsidRPr="00826F71">
              <w:t>key monetised costs</w:t>
            </w:r>
            <w:r w:rsidRPr="00544292">
              <w:t xml:space="preserve"> by ‘main affected groups’ </w:t>
            </w:r>
          </w:p>
          <w:p w14:paraId="5D53B446" w14:textId="3B6E20DF" w:rsidR="006B1212" w:rsidRPr="00826F71" w:rsidRDefault="009633D7" w:rsidP="000B308F">
            <w:pPr>
              <w:pStyle w:val="IAPOA2"/>
            </w:pPr>
            <w:r>
              <w:rPr>
                <w:szCs w:val="22"/>
              </w:rPr>
              <w:t xml:space="preserve">Transitional costs: 1-2 days training for </w:t>
            </w:r>
            <w:r w:rsidR="000B7779">
              <w:rPr>
                <w:szCs w:val="22"/>
              </w:rPr>
              <w:t>ETW</w:t>
            </w:r>
            <w:r>
              <w:rPr>
                <w:szCs w:val="22"/>
              </w:rPr>
              <w:t xml:space="preserve"> members following incorporation of school exclusion appeals, £6,900 [best estimate; </w:t>
            </w:r>
            <w:r w:rsidR="006B1212" w:rsidRPr="00F9788B">
              <w:rPr>
                <w:szCs w:val="22"/>
              </w:rPr>
              <w:t xml:space="preserve">On-going cost: </w:t>
            </w:r>
            <w:r w:rsidR="006B1212" w:rsidRPr="000B308F">
              <w:rPr>
                <w:szCs w:val="22"/>
              </w:rPr>
              <w:t xml:space="preserve">Inclusion of the </w:t>
            </w:r>
            <w:r w:rsidR="00C25BE0">
              <w:rPr>
                <w:szCs w:val="22"/>
              </w:rPr>
              <w:t>Valuation Tribunal for Wales</w:t>
            </w:r>
            <w:r w:rsidR="006B1212" w:rsidRPr="00F9788B" w:rsidDel="003D125D">
              <w:rPr>
                <w:szCs w:val="22"/>
              </w:rPr>
              <w:t xml:space="preserve"> </w:t>
            </w:r>
            <w:r w:rsidR="006B1212" w:rsidRPr="00F9788B">
              <w:rPr>
                <w:szCs w:val="22"/>
              </w:rPr>
              <w:t>may attract a members’ fee – assumed to be the current average fee, Annual cost £</w:t>
            </w:r>
            <w:r w:rsidR="00392C2B">
              <w:rPr>
                <w:szCs w:val="22"/>
              </w:rPr>
              <w:t>77,600 commences in year 6</w:t>
            </w:r>
            <w:r w:rsidR="006B1212" w:rsidRPr="00F9788B">
              <w:rPr>
                <w:szCs w:val="22"/>
              </w:rPr>
              <w:t>- central estimate- [Welsh Government]</w:t>
            </w:r>
            <w:r w:rsidR="00E256BF">
              <w:rPr>
                <w:szCs w:val="22"/>
              </w:rPr>
              <w:t xml:space="preserve">; </w:t>
            </w:r>
            <w:r w:rsidR="00E256BF">
              <w:t xml:space="preserve">Increased </w:t>
            </w:r>
            <w:r w:rsidR="000B7779">
              <w:t>ETW</w:t>
            </w:r>
            <w:r w:rsidR="00E256BF">
              <w:t xml:space="preserve"> staffing costs </w:t>
            </w:r>
            <w:r w:rsidR="00CA28AC">
              <w:t>e</w:t>
            </w:r>
            <w:r w:rsidR="00E256BF">
              <w:t xml:space="preserve">xclusion </w:t>
            </w:r>
            <w:r w:rsidR="0005305F">
              <w:t xml:space="preserve">&amp; </w:t>
            </w:r>
            <w:r w:rsidR="00CA28AC">
              <w:t>appeals from s</w:t>
            </w:r>
            <w:r w:rsidR="0005305F">
              <w:t xml:space="preserve">chool </w:t>
            </w:r>
            <w:r w:rsidR="00CA28AC">
              <w:t>a</w:t>
            </w:r>
            <w:r w:rsidR="0005305F">
              <w:t xml:space="preserve">dmission </w:t>
            </w:r>
            <w:r w:rsidR="00CA28AC">
              <w:t>p</w:t>
            </w:r>
            <w:r w:rsidR="00E256BF">
              <w:t>anel</w:t>
            </w:r>
            <w:r w:rsidR="0019580E">
              <w:t>s</w:t>
            </w:r>
            <w:r w:rsidR="00E256BF">
              <w:t>, £</w:t>
            </w:r>
            <w:r w:rsidR="0005305F">
              <w:t>193,2</w:t>
            </w:r>
            <w:r w:rsidR="00E256BF">
              <w:t>00 [central estimate] in year 4</w:t>
            </w:r>
          </w:p>
        </w:tc>
      </w:tr>
      <w:tr w:rsidR="006B1212" w:rsidRPr="00826F71" w14:paraId="2E420C66" w14:textId="77777777" w:rsidTr="000B308F">
        <w:trPr>
          <w:trHeight w:hRule="exact" w:val="1570"/>
        </w:trPr>
        <w:tc>
          <w:tcPr>
            <w:tcW w:w="10301" w:type="dxa"/>
            <w:gridSpan w:val="6"/>
            <w:tcBorders>
              <w:top w:val="single" w:sz="12" w:space="0" w:color="auto"/>
              <w:bottom w:val="single" w:sz="12" w:space="0" w:color="auto"/>
            </w:tcBorders>
          </w:tcPr>
          <w:p w14:paraId="47C79B5C" w14:textId="77777777" w:rsidR="006B1212" w:rsidRPr="007E190E" w:rsidRDefault="006B1212" w:rsidP="006B1212">
            <w:pPr>
              <w:pStyle w:val="IAPOQ2"/>
              <w:rPr>
                <w:szCs w:val="22"/>
              </w:rPr>
            </w:pPr>
            <w:r w:rsidRPr="00544292">
              <w:t>Other</w:t>
            </w:r>
            <w:r w:rsidRPr="00826F71">
              <w:t xml:space="preserve"> key non-monetised costs</w:t>
            </w:r>
            <w:r w:rsidRPr="00544292">
              <w:t xml:space="preserve"> by ‘main affected groups’ </w:t>
            </w:r>
          </w:p>
          <w:p w14:paraId="4F9FF243" w14:textId="3AD4156A" w:rsidR="00442FD5" w:rsidRDefault="00442FD5" w:rsidP="00442FD5">
            <w:pPr>
              <w:pStyle w:val="IAPOA2"/>
              <w:rPr>
                <w:szCs w:val="22"/>
              </w:rPr>
            </w:pPr>
            <w:r>
              <w:rPr>
                <w:szCs w:val="22"/>
              </w:rPr>
              <w:t xml:space="preserve">Transitional costs: </w:t>
            </w:r>
            <w:r w:rsidR="009633D7">
              <w:rPr>
                <w:szCs w:val="22"/>
              </w:rPr>
              <w:t>Opportunity cost incurred for</w:t>
            </w:r>
            <w:r>
              <w:rPr>
                <w:szCs w:val="22"/>
              </w:rPr>
              <w:t xml:space="preserve"> 1-2 days for administrative staff working within the newly formed Unified system; </w:t>
            </w:r>
            <w:r w:rsidRPr="00D80F56">
              <w:rPr>
                <w:szCs w:val="22"/>
              </w:rPr>
              <w:t xml:space="preserve">Legislative drafting for proposed </w:t>
            </w:r>
            <w:r>
              <w:rPr>
                <w:szCs w:val="22"/>
              </w:rPr>
              <w:t>u</w:t>
            </w:r>
            <w:r w:rsidRPr="00D80F56">
              <w:rPr>
                <w:szCs w:val="22"/>
              </w:rPr>
              <w:t xml:space="preserve">nified system likely to take 6 months; Guidance material and branding for </w:t>
            </w:r>
            <w:r>
              <w:rPr>
                <w:szCs w:val="22"/>
              </w:rPr>
              <w:t>u</w:t>
            </w:r>
            <w:r w:rsidRPr="00D80F56">
              <w:rPr>
                <w:szCs w:val="22"/>
              </w:rPr>
              <w:t xml:space="preserve">nified system; </w:t>
            </w:r>
            <w:r>
              <w:rPr>
                <w:szCs w:val="22"/>
              </w:rPr>
              <w:t xml:space="preserve">replacement of WTU by </w:t>
            </w:r>
            <w:r w:rsidR="00CA28AC">
              <w:rPr>
                <w:szCs w:val="22"/>
              </w:rPr>
              <w:t>non-ministerial department</w:t>
            </w:r>
            <w:r>
              <w:rPr>
                <w:szCs w:val="22"/>
              </w:rPr>
              <w:t>.</w:t>
            </w:r>
          </w:p>
          <w:p w14:paraId="7F423A7A" w14:textId="77777777" w:rsidR="00442FD5" w:rsidRDefault="00442FD5" w:rsidP="00442FD5">
            <w:pPr>
              <w:pStyle w:val="IAPOA2"/>
              <w:rPr>
                <w:szCs w:val="22"/>
              </w:rPr>
            </w:pPr>
          </w:p>
          <w:p w14:paraId="2ACA4EE9" w14:textId="77777777" w:rsidR="006B1212" w:rsidRPr="007E190E" w:rsidRDefault="006B1212" w:rsidP="006B1212">
            <w:pPr>
              <w:pStyle w:val="IAPOA2"/>
              <w:rPr>
                <w:szCs w:val="22"/>
              </w:rPr>
            </w:pPr>
          </w:p>
        </w:tc>
      </w:tr>
      <w:tr w:rsidR="006B1212" w:rsidRPr="007E190E" w14:paraId="14FB4152" w14:textId="77777777" w:rsidTr="006B1212">
        <w:trPr>
          <w:trHeight w:hRule="exact" w:val="567"/>
        </w:trPr>
        <w:tc>
          <w:tcPr>
            <w:tcW w:w="2109" w:type="dxa"/>
            <w:tcBorders>
              <w:bottom w:val="single" w:sz="12" w:space="0" w:color="auto"/>
              <w:right w:val="single" w:sz="12" w:space="0" w:color="auto"/>
            </w:tcBorders>
            <w:shd w:val="clear" w:color="auto" w:fill="FFFFFF"/>
          </w:tcPr>
          <w:p w14:paraId="36E27108" w14:textId="77777777" w:rsidR="006B1212" w:rsidRPr="007E190E" w:rsidRDefault="006B1212" w:rsidP="006B1212">
            <w:pPr>
              <w:pStyle w:val="IATableLabel"/>
              <w:rPr>
                <w:sz w:val="24"/>
                <w:szCs w:val="24"/>
              </w:rPr>
            </w:pPr>
            <w:r w:rsidRPr="007E190E">
              <w:rPr>
                <w:sz w:val="24"/>
                <w:szCs w:val="24"/>
              </w:rPr>
              <w:t xml:space="preserve">BENEFITS </w:t>
            </w:r>
            <w:r>
              <w:rPr>
                <w:sz w:val="24"/>
                <w:szCs w:val="24"/>
              </w:rPr>
              <w:t>(</w:t>
            </w:r>
            <w:r w:rsidRPr="007E190E">
              <w:rPr>
                <w:sz w:val="24"/>
                <w:szCs w:val="24"/>
              </w:rPr>
              <w:t>£m)</w:t>
            </w:r>
          </w:p>
        </w:tc>
        <w:tc>
          <w:tcPr>
            <w:tcW w:w="2724" w:type="dxa"/>
            <w:gridSpan w:val="2"/>
            <w:tcBorders>
              <w:top w:val="single" w:sz="12" w:space="0" w:color="auto"/>
              <w:left w:val="single" w:sz="12" w:space="0" w:color="auto"/>
              <w:right w:val="single" w:sz="12" w:space="0" w:color="auto"/>
            </w:tcBorders>
          </w:tcPr>
          <w:p w14:paraId="281720CA" w14:textId="77777777" w:rsidR="006B1212" w:rsidRPr="00826F71" w:rsidRDefault="006B1212" w:rsidP="006B1212">
            <w:pPr>
              <w:pStyle w:val="IATableLabel"/>
              <w:tabs>
                <w:tab w:val="right" w:pos="1797"/>
                <w:tab w:val="center" w:pos="2340"/>
              </w:tabs>
              <w:jc w:val="right"/>
            </w:pPr>
            <w:r w:rsidRPr="00826F71">
              <w:t xml:space="preserve">Total Transition </w:t>
            </w:r>
            <w:r>
              <w:br/>
            </w:r>
            <w:r>
              <w:tab/>
            </w:r>
            <w:r w:rsidRPr="007E190E">
              <w:rPr>
                <w:b w:val="0"/>
                <w:sz w:val="18"/>
                <w:szCs w:val="18"/>
              </w:rPr>
              <w:t>(Constant Price)</w:t>
            </w:r>
            <w:r>
              <w:tab/>
            </w:r>
            <w:r w:rsidRPr="007E190E">
              <w:rPr>
                <w:b w:val="0"/>
                <w:sz w:val="18"/>
                <w:szCs w:val="18"/>
              </w:rPr>
              <w:t>Yea</w:t>
            </w:r>
            <w:r w:rsidRPr="007E190E">
              <w:rPr>
                <w:b w:val="0"/>
                <w:bCs/>
                <w:sz w:val="18"/>
                <w:szCs w:val="18"/>
              </w:rPr>
              <w:t>r</w:t>
            </w:r>
            <w:r w:rsidRPr="007E190E">
              <w:rPr>
                <w:b w:val="0"/>
                <w:sz w:val="18"/>
                <w:szCs w:val="18"/>
              </w:rPr>
              <w:t>s</w:t>
            </w:r>
          </w:p>
          <w:p w14:paraId="1A51B9E8" w14:textId="77777777" w:rsidR="006B1212" w:rsidRPr="00826F71" w:rsidRDefault="006B1212" w:rsidP="006B1212">
            <w:pPr>
              <w:pStyle w:val="IATableLabel"/>
              <w:jc w:val="right"/>
            </w:pPr>
            <w:r>
              <w:br/>
            </w:r>
          </w:p>
        </w:tc>
        <w:tc>
          <w:tcPr>
            <w:tcW w:w="2848" w:type="dxa"/>
            <w:tcBorders>
              <w:left w:val="single" w:sz="12" w:space="0" w:color="auto"/>
              <w:bottom w:val="single" w:sz="12" w:space="0" w:color="auto"/>
              <w:right w:val="single" w:sz="12" w:space="0" w:color="auto"/>
            </w:tcBorders>
          </w:tcPr>
          <w:p w14:paraId="4C55A890" w14:textId="77777777" w:rsidR="006B1212" w:rsidRPr="007E190E" w:rsidRDefault="006B1212" w:rsidP="006B1212">
            <w:pPr>
              <w:pStyle w:val="IATableLabel"/>
              <w:jc w:val="right"/>
              <w:rPr>
                <w:rFonts w:cs="Arial"/>
                <w:bCs/>
              </w:rPr>
            </w:pPr>
            <w:r w:rsidRPr="00826F71">
              <w:t>Average Annual</w:t>
            </w:r>
            <w:r w:rsidRPr="000C031E">
              <w:t xml:space="preserve"> </w:t>
            </w:r>
            <w:r>
              <w:br/>
            </w:r>
            <w:r w:rsidRPr="007E190E">
              <w:rPr>
                <w:b w:val="0"/>
                <w:sz w:val="18"/>
                <w:szCs w:val="18"/>
              </w:rPr>
              <w:t xml:space="preserve">(excl. Transition) </w:t>
            </w:r>
            <w:r w:rsidRPr="007E190E">
              <w:rPr>
                <w:rFonts w:cs="Arial"/>
                <w:b w:val="0"/>
                <w:bCs/>
                <w:sz w:val="18"/>
                <w:szCs w:val="18"/>
              </w:rPr>
              <w:t>(Constant Price)</w:t>
            </w:r>
          </w:p>
        </w:tc>
        <w:tc>
          <w:tcPr>
            <w:tcW w:w="2620" w:type="dxa"/>
            <w:gridSpan w:val="2"/>
            <w:tcBorders>
              <w:top w:val="single" w:sz="12" w:space="0" w:color="auto"/>
              <w:left w:val="single" w:sz="12" w:space="0" w:color="auto"/>
              <w:bottom w:val="single" w:sz="12" w:space="0" w:color="auto"/>
            </w:tcBorders>
          </w:tcPr>
          <w:p w14:paraId="0D306765" w14:textId="77777777" w:rsidR="006B1212" w:rsidRPr="00826F71" w:rsidRDefault="006B1212" w:rsidP="006B1212">
            <w:pPr>
              <w:pStyle w:val="IATableLabel"/>
              <w:jc w:val="right"/>
            </w:pPr>
            <w:r w:rsidRPr="00826F71">
              <w:t xml:space="preserve">Total </w:t>
            </w:r>
            <w:r>
              <w:t>Benefit</w:t>
            </w:r>
            <w:r w:rsidRPr="007E190E">
              <w:rPr>
                <w:b w:val="0"/>
                <w:sz w:val="18"/>
                <w:szCs w:val="18"/>
              </w:rPr>
              <w:t xml:space="preserve"> </w:t>
            </w:r>
            <w:r w:rsidRPr="007E190E">
              <w:rPr>
                <w:b w:val="0"/>
                <w:sz w:val="18"/>
                <w:szCs w:val="18"/>
              </w:rPr>
              <w:br/>
              <w:t>(Present Value)</w:t>
            </w:r>
          </w:p>
        </w:tc>
      </w:tr>
      <w:tr w:rsidR="006B1212" w:rsidRPr="007E190E" w14:paraId="72CFD5C0" w14:textId="77777777" w:rsidTr="006B1212">
        <w:trPr>
          <w:trHeight w:hRule="exact" w:val="348"/>
        </w:trPr>
        <w:tc>
          <w:tcPr>
            <w:tcW w:w="2109" w:type="dxa"/>
            <w:tcBorders>
              <w:top w:val="single" w:sz="12" w:space="0" w:color="auto"/>
              <w:bottom w:val="single" w:sz="12" w:space="0" w:color="auto"/>
              <w:right w:val="single" w:sz="12" w:space="0" w:color="auto"/>
            </w:tcBorders>
            <w:vAlign w:val="center"/>
          </w:tcPr>
          <w:p w14:paraId="0605A00A" w14:textId="77777777" w:rsidR="006B1212" w:rsidRPr="00826F71" w:rsidRDefault="006B1212" w:rsidP="006B1212">
            <w:pPr>
              <w:pStyle w:val="IATableLabel"/>
            </w:pPr>
            <w:r w:rsidRPr="00826F71">
              <w:t xml:space="preserve">Low </w:t>
            </w:r>
          </w:p>
        </w:tc>
        <w:tc>
          <w:tcPr>
            <w:tcW w:w="1938" w:type="dxa"/>
            <w:tcBorders>
              <w:top w:val="single" w:sz="12" w:space="0" w:color="auto"/>
              <w:left w:val="single" w:sz="12" w:space="0" w:color="auto"/>
              <w:bottom w:val="single" w:sz="12" w:space="0" w:color="auto"/>
              <w:right w:val="single" w:sz="12" w:space="0" w:color="auto"/>
            </w:tcBorders>
            <w:vAlign w:val="center"/>
          </w:tcPr>
          <w:p w14:paraId="20D94A6B" w14:textId="77777777" w:rsidR="006B1212" w:rsidRPr="007E190E" w:rsidRDefault="00E256BF" w:rsidP="006B1212">
            <w:pPr>
              <w:pStyle w:val="POTTBenLow"/>
              <w:rPr>
                <w:sz w:val="20"/>
              </w:rPr>
            </w:pPr>
            <w:r>
              <w:rPr>
                <w:sz w:val="20"/>
              </w:rPr>
              <w:t>0</w:t>
            </w:r>
          </w:p>
        </w:tc>
        <w:tc>
          <w:tcPr>
            <w:tcW w:w="786" w:type="dxa"/>
            <w:vMerge w:val="restart"/>
            <w:tcBorders>
              <w:top w:val="single" w:sz="12" w:space="0" w:color="auto"/>
              <w:left w:val="single" w:sz="12" w:space="0" w:color="auto"/>
              <w:right w:val="single" w:sz="12" w:space="0" w:color="auto"/>
            </w:tcBorders>
            <w:vAlign w:val="center"/>
          </w:tcPr>
          <w:p w14:paraId="4B08B9D8" w14:textId="77777777" w:rsidR="006B1212" w:rsidRPr="007E190E" w:rsidRDefault="006B1212" w:rsidP="006B1212">
            <w:pPr>
              <w:pStyle w:val="IATableText"/>
              <w:jc w:val="center"/>
              <w:rPr>
                <w:sz w:val="20"/>
              </w:rPr>
            </w:pPr>
          </w:p>
        </w:tc>
        <w:tc>
          <w:tcPr>
            <w:tcW w:w="2848" w:type="dxa"/>
            <w:tcBorders>
              <w:top w:val="single" w:sz="12" w:space="0" w:color="auto"/>
              <w:left w:val="single" w:sz="12" w:space="0" w:color="auto"/>
              <w:bottom w:val="single" w:sz="12" w:space="0" w:color="auto"/>
              <w:right w:val="single" w:sz="12" w:space="0" w:color="auto"/>
            </w:tcBorders>
            <w:vAlign w:val="center"/>
          </w:tcPr>
          <w:p w14:paraId="28CE7E8B" w14:textId="77777777" w:rsidR="006B1212" w:rsidRPr="007E190E" w:rsidRDefault="008D4F72" w:rsidP="006B1212">
            <w:pPr>
              <w:pStyle w:val="POAABenLow"/>
              <w:rPr>
                <w:sz w:val="20"/>
              </w:rPr>
            </w:pPr>
            <w:r>
              <w:rPr>
                <w:sz w:val="20"/>
              </w:rPr>
              <w:t>£0.0</w:t>
            </w:r>
            <w:r w:rsidR="00751F1C">
              <w:rPr>
                <w:sz w:val="20"/>
              </w:rPr>
              <w:t>07</w:t>
            </w:r>
          </w:p>
        </w:tc>
        <w:tc>
          <w:tcPr>
            <w:tcW w:w="2620" w:type="dxa"/>
            <w:gridSpan w:val="2"/>
            <w:tcBorders>
              <w:top w:val="single" w:sz="12" w:space="0" w:color="auto"/>
              <w:left w:val="single" w:sz="12" w:space="0" w:color="auto"/>
              <w:bottom w:val="single" w:sz="12" w:space="0" w:color="auto"/>
            </w:tcBorders>
            <w:vAlign w:val="center"/>
          </w:tcPr>
          <w:p w14:paraId="14D963A1" w14:textId="77777777" w:rsidR="006B1212" w:rsidRPr="007E190E" w:rsidRDefault="008D4F72" w:rsidP="006B1212">
            <w:pPr>
              <w:pStyle w:val="POTBBenLow"/>
              <w:rPr>
                <w:sz w:val="20"/>
              </w:rPr>
            </w:pPr>
            <w:r>
              <w:rPr>
                <w:sz w:val="20"/>
              </w:rPr>
              <w:t>£0.05</w:t>
            </w:r>
          </w:p>
        </w:tc>
      </w:tr>
      <w:tr w:rsidR="006B1212" w:rsidRPr="007E190E" w14:paraId="46474F59" w14:textId="77777777" w:rsidTr="006B1212">
        <w:trPr>
          <w:trHeight w:hRule="exact" w:val="348"/>
        </w:trPr>
        <w:tc>
          <w:tcPr>
            <w:tcW w:w="2109" w:type="dxa"/>
            <w:tcBorders>
              <w:top w:val="single" w:sz="12" w:space="0" w:color="auto"/>
              <w:bottom w:val="single" w:sz="12" w:space="0" w:color="auto"/>
              <w:right w:val="single" w:sz="12" w:space="0" w:color="auto"/>
            </w:tcBorders>
            <w:vAlign w:val="center"/>
          </w:tcPr>
          <w:p w14:paraId="2A4824C8" w14:textId="77777777" w:rsidR="006B1212" w:rsidRPr="00826F71" w:rsidRDefault="006B1212" w:rsidP="006B1212">
            <w:pPr>
              <w:pStyle w:val="IATableLabel"/>
            </w:pPr>
            <w:r w:rsidRPr="00826F71">
              <w:t xml:space="preserve">High </w:t>
            </w:r>
          </w:p>
        </w:tc>
        <w:tc>
          <w:tcPr>
            <w:tcW w:w="1938" w:type="dxa"/>
            <w:tcBorders>
              <w:top w:val="single" w:sz="12" w:space="0" w:color="auto"/>
              <w:left w:val="single" w:sz="12" w:space="0" w:color="auto"/>
              <w:bottom w:val="single" w:sz="12" w:space="0" w:color="auto"/>
              <w:right w:val="single" w:sz="12" w:space="0" w:color="auto"/>
            </w:tcBorders>
            <w:vAlign w:val="center"/>
          </w:tcPr>
          <w:p w14:paraId="2CB7D437" w14:textId="77777777" w:rsidR="006B1212" w:rsidRPr="007E190E" w:rsidRDefault="00E256BF" w:rsidP="006B1212">
            <w:pPr>
              <w:pStyle w:val="POTTBenHigh"/>
              <w:rPr>
                <w:sz w:val="20"/>
              </w:rPr>
            </w:pPr>
            <w:r>
              <w:rPr>
                <w:sz w:val="20"/>
              </w:rPr>
              <w:t>0</w:t>
            </w:r>
          </w:p>
        </w:tc>
        <w:tc>
          <w:tcPr>
            <w:tcW w:w="786" w:type="dxa"/>
            <w:vMerge/>
            <w:tcBorders>
              <w:left w:val="single" w:sz="12" w:space="0" w:color="auto"/>
              <w:right w:val="single" w:sz="12" w:space="0" w:color="auto"/>
            </w:tcBorders>
            <w:shd w:val="clear" w:color="auto" w:fill="FFFFFF"/>
            <w:vAlign w:val="center"/>
          </w:tcPr>
          <w:p w14:paraId="2355075E" w14:textId="77777777" w:rsidR="006B1212" w:rsidRPr="007E190E" w:rsidRDefault="006B1212" w:rsidP="006B1212">
            <w:pPr>
              <w:pStyle w:val="IATableText"/>
              <w:jc w:val="right"/>
              <w:rPr>
                <w:sz w:val="20"/>
              </w:rPr>
            </w:pPr>
          </w:p>
        </w:tc>
        <w:tc>
          <w:tcPr>
            <w:tcW w:w="2848" w:type="dxa"/>
            <w:tcBorders>
              <w:top w:val="single" w:sz="12" w:space="0" w:color="auto"/>
              <w:left w:val="single" w:sz="12" w:space="0" w:color="auto"/>
              <w:bottom w:val="single" w:sz="12" w:space="0" w:color="auto"/>
              <w:right w:val="single" w:sz="12" w:space="0" w:color="auto"/>
            </w:tcBorders>
            <w:vAlign w:val="center"/>
          </w:tcPr>
          <w:p w14:paraId="10085C45" w14:textId="77777777" w:rsidR="006B1212" w:rsidRPr="007E190E" w:rsidRDefault="008D4F72" w:rsidP="006B1212">
            <w:pPr>
              <w:pStyle w:val="POAABenHigh"/>
              <w:rPr>
                <w:sz w:val="20"/>
              </w:rPr>
            </w:pPr>
            <w:r>
              <w:rPr>
                <w:sz w:val="20"/>
              </w:rPr>
              <w:t>£0.03</w:t>
            </w:r>
          </w:p>
        </w:tc>
        <w:tc>
          <w:tcPr>
            <w:tcW w:w="2620" w:type="dxa"/>
            <w:gridSpan w:val="2"/>
            <w:tcBorders>
              <w:top w:val="single" w:sz="12" w:space="0" w:color="auto"/>
              <w:left w:val="single" w:sz="12" w:space="0" w:color="auto"/>
              <w:bottom w:val="single" w:sz="12" w:space="0" w:color="auto"/>
            </w:tcBorders>
            <w:vAlign w:val="center"/>
          </w:tcPr>
          <w:p w14:paraId="2BC8829B" w14:textId="77777777" w:rsidR="006B1212" w:rsidRPr="007E190E" w:rsidRDefault="008D4F72" w:rsidP="006B1212">
            <w:pPr>
              <w:pStyle w:val="POTBBenHigh"/>
              <w:rPr>
                <w:sz w:val="20"/>
              </w:rPr>
            </w:pPr>
            <w:r>
              <w:rPr>
                <w:sz w:val="20"/>
              </w:rPr>
              <w:t>£0.21</w:t>
            </w:r>
          </w:p>
        </w:tc>
      </w:tr>
      <w:tr w:rsidR="006B1212" w:rsidRPr="007E190E" w14:paraId="78E2364B" w14:textId="77777777" w:rsidTr="006B1212">
        <w:trPr>
          <w:trHeight w:hRule="exact" w:val="348"/>
        </w:trPr>
        <w:tc>
          <w:tcPr>
            <w:tcW w:w="2109" w:type="dxa"/>
            <w:tcBorders>
              <w:top w:val="single" w:sz="12" w:space="0" w:color="auto"/>
              <w:bottom w:val="single" w:sz="12" w:space="0" w:color="auto"/>
              <w:right w:val="single" w:sz="12" w:space="0" w:color="auto"/>
            </w:tcBorders>
            <w:shd w:val="clear" w:color="auto" w:fill="FFFFFF"/>
            <w:vAlign w:val="center"/>
          </w:tcPr>
          <w:p w14:paraId="38BBD768" w14:textId="77777777" w:rsidR="006B1212" w:rsidRPr="00826F71" w:rsidRDefault="006B1212" w:rsidP="006B1212">
            <w:pPr>
              <w:pStyle w:val="IATableLabel"/>
            </w:pPr>
            <w:r w:rsidRPr="00826F71">
              <w:t xml:space="preserve">Best </w:t>
            </w:r>
            <w:r>
              <w:t>E</w:t>
            </w:r>
            <w:r w:rsidRPr="00826F71">
              <w:t>stimate</w:t>
            </w:r>
          </w:p>
          <w:p w14:paraId="194394F7" w14:textId="77777777" w:rsidR="006B1212" w:rsidRPr="007E190E" w:rsidRDefault="006B1212" w:rsidP="006B1212">
            <w:pPr>
              <w:pStyle w:val="IATableNotes"/>
              <w:spacing w:beforeLines="40" w:before="96"/>
              <w:ind w:left="0" w:right="-22"/>
              <w:jc w:val="center"/>
              <w:rPr>
                <w:rFonts w:cs="Arial"/>
                <w:b/>
                <w:sz w:val="20"/>
              </w:rPr>
            </w:pPr>
          </w:p>
        </w:tc>
        <w:tc>
          <w:tcPr>
            <w:tcW w:w="1938" w:type="dxa"/>
            <w:tcBorders>
              <w:top w:val="single" w:sz="12" w:space="0" w:color="auto"/>
              <w:left w:val="single" w:sz="12" w:space="0" w:color="auto"/>
              <w:bottom w:val="single" w:sz="12" w:space="0" w:color="auto"/>
              <w:right w:val="single" w:sz="12" w:space="0" w:color="auto"/>
            </w:tcBorders>
            <w:shd w:val="clear" w:color="auto" w:fill="FFFFFF"/>
            <w:vAlign w:val="center"/>
          </w:tcPr>
          <w:p w14:paraId="50B67596" w14:textId="77777777" w:rsidR="006B1212" w:rsidRPr="007E190E" w:rsidRDefault="00E256BF" w:rsidP="006B1212">
            <w:pPr>
              <w:pStyle w:val="POTTBenBest"/>
              <w:rPr>
                <w:sz w:val="20"/>
              </w:rPr>
            </w:pPr>
            <w:r>
              <w:rPr>
                <w:sz w:val="20"/>
              </w:rPr>
              <w:t>0</w:t>
            </w:r>
          </w:p>
        </w:tc>
        <w:tc>
          <w:tcPr>
            <w:tcW w:w="786" w:type="dxa"/>
            <w:vMerge/>
            <w:tcBorders>
              <w:left w:val="single" w:sz="12" w:space="0" w:color="auto"/>
              <w:bottom w:val="single" w:sz="12" w:space="0" w:color="auto"/>
              <w:right w:val="single" w:sz="12" w:space="0" w:color="auto"/>
            </w:tcBorders>
            <w:shd w:val="clear" w:color="auto" w:fill="FFFFFF"/>
            <w:vAlign w:val="center"/>
          </w:tcPr>
          <w:p w14:paraId="02C9DBA1" w14:textId="77777777" w:rsidR="006B1212" w:rsidRPr="007E190E" w:rsidRDefault="006B1212" w:rsidP="006B1212">
            <w:pPr>
              <w:pStyle w:val="IATableText"/>
              <w:jc w:val="right"/>
              <w:rPr>
                <w:sz w:val="20"/>
              </w:rPr>
            </w:pPr>
          </w:p>
        </w:tc>
        <w:tc>
          <w:tcPr>
            <w:tcW w:w="2848" w:type="dxa"/>
            <w:tcBorders>
              <w:top w:val="single" w:sz="12" w:space="0" w:color="auto"/>
              <w:left w:val="single" w:sz="12" w:space="0" w:color="auto"/>
              <w:bottom w:val="single" w:sz="12" w:space="0" w:color="auto"/>
              <w:right w:val="single" w:sz="12" w:space="0" w:color="auto"/>
            </w:tcBorders>
            <w:shd w:val="clear" w:color="auto" w:fill="FFFFFF"/>
            <w:vAlign w:val="center"/>
          </w:tcPr>
          <w:p w14:paraId="14FB64B1" w14:textId="77777777" w:rsidR="006B1212" w:rsidRPr="007E190E" w:rsidRDefault="008D4F72" w:rsidP="006B1212">
            <w:pPr>
              <w:pStyle w:val="POAABenBest"/>
              <w:rPr>
                <w:sz w:val="20"/>
              </w:rPr>
            </w:pPr>
            <w:r>
              <w:rPr>
                <w:sz w:val="20"/>
              </w:rPr>
              <w:t>£0.02</w:t>
            </w:r>
          </w:p>
        </w:tc>
        <w:tc>
          <w:tcPr>
            <w:tcW w:w="2620" w:type="dxa"/>
            <w:gridSpan w:val="2"/>
            <w:tcBorders>
              <w:top w:val="single" w:sz="12" w:space="0" w:color="auto"/>
              <w:left w:val="single" w:sz="12" w:space="0" w:color="auto"/>
              <w:bottom w:val="single" w:sz="12" w:space="0" w:color="auto"/>
            </w:tcBorders>
            <w:shd w:val="clear" w:color="auto" w:fill="FFFFFF"/>
            <w:vAlign w:val="center"/>
          </w:tcPr>
          <w:p w14:paraId="0B528C6F" w14:textId="77777777" w:rsidR="006B1212" w:rsidRPr="007E190E" w:rsidRDefault="008D4F72" w:rsidP="006B1212">
            <w:pPr>
              <w:pStyle w:val="POTBBenBest"/>
              <w:rPr>
                <w:sz w:val="20"/>
              </w:rPr>
            </w:pPr>
            <w:r>
              <w:rPr>
                <w:sz w:val="20"/>
              </w:rPr>
              <w:t>£0.12</w:t>
            </w:r>
          </w:p>
        </w:tc>
      </w:tr>
      <w:tr w:rsidR="006B1212" w:rsidRPr="00826F71" w14:paraId="483CEA95" w14:textId="77777777" w:rsidTr="000B308F">
        <w:trPr>
          <w:trHeight w:hRule="exact" w:val="1502"/>
        </w:trPr>
        <w:tc>
          <w:tcPr>
            <w:tcW w:w="10301" w:type="dxa"/>
            <w:gridSpan w:val="6"/>
            <w:tcBorders>
              <w:bottom w:val="single" w:sz="12" w:space="0" w:color="auto"/>
            </w:tcBorders>
          </w:tcPr>
          <w:p w14:paraId="1949CF63" w14:textId="77777777" w:rsidR="006B1212" w:rsidRPr="007E190E" w:rsidRDefault="006B1212" w:rsidP="006B1212">
            <w:pPr>
              <w:pStyle w:val="IPPOQ3"/>
              <w:rPr>
                <w:szCs w:val="22"/>
              </w:rPr>
            </w:pPr>
            <w:r w:rsidRPr="00544292">
              <w:t xml:space="preserve">Description and scale of </w:t>
            </w:r>
            <w:r w:rsidRPr="00826F71">
              <w:t xml:space="preserve">key monetised </w:t>
            </w:r>
            <w:r>
              <w:t>benefits</w:t>
            </w:r>
            <w:r w:rsidRPr="00544292">
              <w:t xml:space="preserve"> by ‘main affected groups’ </w:t>
            </w:r>
          </w:p>
          <w:p w14:paraId="3FA5D16C" w14:textId="2419390A" w:rsidR="008B5022" w:rsidRDefault="008B5022" w:rsidP="008B5022">
            <w:pPr>
              <w:pStyle w:val="IAPOA3"/>
              <w:ind w:left="0"/>
            </w:pPr>
            <w:r>
              <w:t xml:space="preserve">No transitional </w:t>
            </w:r>
            <w:r w:rsidR="003B3910">
              <w:t>benefi</w:t>
            </w:r>
            <w:r>
              <w:t>ts identified</w:t>
            </w:r>
          </w:p>
          <w:p w14:paraId="575FE883" w14:textId="76ADF2E5" w:rsidR="008B5022" w:rsidRPr="00F9788B" w:rsidRDefault="008B5022" w:rsidP="000B308F">
            <w:pPr>
              <w:pStyle w:val="IAPOA3"/>
              <w:ind w:left="0"/>
            </w:pPr>
            <w:r w:rsidRPr="00EF7D7A">
              <w:t>On-going benefits:</w:t>
            </w:r>
            <w:r>
              <w:t xml:space="preserve"> </w:t>
            </w:r>
            <w:r w:rsidRPr="00EF7D7A">
              <w:t xml:space="preserve">Avoided costs of setting up new </w:t>
            </w:r>
            <w:r w:rsidR="00442FD5">
              <w:t>t</w:t>
            </w:r>
            <w:r w:rsidRPr="00EF7D7A">
              <w:t>ribunals and/or arranging new appeal routes</w:t>
            </w:r>
            <w:r w:rsidR="006572D6">
              <w:t>, £</w:t>
            </w:r>
            <w:r w:rsidR="003B3910">
              <w:t>4,904</w:t>
            </w:r>
            <w:r w:rsidR="006572D6">
              <w:t xml:space="preserve"> [central estimate]</w:t>
            </w:r>
            <w:r>
              <w:t>; Annual t</w:t>
            </w:r>
            <w:r w:rsidRPr="00F9788B">
              <w:t xml:space="preserve">ime savings to </w:t>
            </w:r>
            <w:r w:rsidR="00442FD5">
              <w:t>local authorities</w:t>
            </w:r>
            <w:r w:rsidRPr="00735B64">
              <w:t xml:space="preserve"> in not having to arrange for </w:t>
            </w:r>
            <w:r w:rsidR="00442FD5">
              <w:t>s</w:t>
            </w:r>
            <w:r w:rsidRPr="00F9788B">
              <w:t>chool exclusion panels- £</w:t>
            </w:r>
            <w:r w:rsidR="006572D6">
              <w:t>6,60</w:t>
            </w:r>
            <w:r w:rsidRPr="00F9788B">
              <w:t xml:space="preserve">0 </w:t>
            </w:r>
            <w:r w:rsidR="006572D6">
              <w:t>from year 4</w:t>
            </w:r>
            <w:r w:rsidRPr="00F9788B">
              <w:t xml:space="preserve"> [central estimate]</w:t>
            </w:r>
          </w:p>
          <w:p w14:paraId="1567BFFC" w14:textId="77777777" w:rsidR="006B1212" w:rsidRPr="00826F71" w:rsidRDefault="006B1212" w:rsidP="006B1212">
            <w:pPr>
              <w:pStyle w:val="IAPOA3"/>
            </w:pPr>
          </w:p>
        </w:tc>
      </w:tr>
      <w:tr w:rsidR="006B1212" w:rsidRPr="00826F71" w14:paraId="1D856A88" w14:textId="77777777" w:rsidTr="000B308F">
        <w:trPr>
          <w:trHeight w:hRule="exact" w:val="1694"/>
        </w:trPr>
        <w:tc>
          <w:tcPr>
            <w:tcW w:w="10301" w:type="dxa"/>
            <w:gridSpan w:val="6"/>
            <w:tcBorders>
              <w:top w:val="single" w:sz="12" w:space="0" w:color="auto"/>
            </w:tcBorders>
          </w:tcPr>
          <w:p w14:paraId="64002D45" w14:textId="77777777" w:rsidR="006B1212" w:rsidRPr="007E190E" w:rsidRDefault="006B1212" w:rsidP="006B1212">
            <w:pPr>
              <w:pStyle w:val="IAPOQ4"/>
              <w:rPr>
                <w:szCs w:val="22"/>
              </w:rPr>
            </w:pPr>
            <w:r w:rsidRPr="00544292">
              <w:t>Other</w:t>
            </w:r>
            <w:r w:rsidRPr="00826F71">
              <w:t xml:space="preserve"> key non-monetised </w:t>
            </w:r>
            <w:r>
              <w:t>benefits</w:t>
            </w:r>
            <w:r w:rsidRPr="00544292">
              <w:t xml:space="preserve"> by ‘main affected groups’ </w:t>
            </w:r>
          </w:p>
          <w:p w14:paraId="75D5936B" w14:textId="0A4C3939" w:rsidR="006B1212" w:rsidRPr="00826F71" w:rsidRDefault="008B5022" w:rsidP="006B1212">
            <w:pPr>
              <w:pStyle w:val="IAPOA4"/>
            </w:pPr>
            <w:r w:rsidRPr="00C357ED">
              <w:rPr>
                <w:rFonts w:cs="Arial"/>
                <w:bCs/>
                <w:color w:val="000000"/>
                <w:lang w:eastAsia="en-GB"/>
              </w:rPr>
              <w:t xml:space="preserve">Efficiency </w:t>
            </w:r>
            <w:r>
              <w:rPr>
                <w:rFonts w:cs="Arial"/>
                <w:bCs/>
                <w:color w:val="000000"/>
                <w:lang w:eastAsia="en-GB"/>
              </w:rPr>
              <w:t>[</w:t>
            </w:r>
            <w:r w:rsidRPr="00C357ED">
              <w:rPr>
                <w:rFonts w:cs="Arial"/>
                <w:bCs/>
                <w:color w:val="000000"/>
                <w:lang w:eastAsia="en-GB"/>
              </w:rPr>
              <w:t>administrative</w:t>
            </w:r>
            <w:r>
              <w:rPr>
                <w:rFonts w:cs="Arial"/>
                <w:bCs/>
                <w:color w:val="000000"/>
                <w:lang w:eastAsia="en-GB"/>
              </w:rPr>
              <w:t>]</w:t>
            </w:r>
            <w:r w:rsidRPr="00C357ED">
              <w:rPr>
                <w:rFonts w:cs="Arial"/>
                <w:bCs/>
                <w:color w:val="000000"/>
                <w:lang w:eastAsia="en-GB"/>
              </w:rPr>
              <w:t xml:space="preserve"> savings</w:t>
            </w:r>
            <w:r>
              <w:rPr>
                <w:rFonts w:cs="Arial"/>
                <w:bCs/>
                <w:color w:val="000000"/>
                <w:lang w:eastAsia="en-GB"/>
              </w:rPr>
              <w:t xml:space="preserve"> from housing all Welsh Tribunals under one umbrella [Unified system]; Judicial independence -</w:t>
            </w:r>
            <w:r w:rsidRPr="00D337D1" w:rsidDel="00CB2D58">
              <w:t xml:space="preserve"> </w:t>
            </w:r>
            <w:r w:rsidRPr="002A6CB2">
              <w:rPr>
                <w:rFonts w:cs="Arial"/>
              </w:rPr>
              <w:t>role for senior judiciary in the running of the tribunal system</w:t>
            </w:r>
            <w:r>
              <w:rPr>
                <w:rFonts w:cs="Arial"/>
              </w:rPr>
              <w:t xml:space="preserve">; Enhanced certainty from a standardised approach to appointments, procedure, etc; </w:t>
            </w:r>
            <w:r w:rsidRPr="00C357ED">
              <w:rPr>
                <w:rFonts w:cs="Arial"/>
              </w:rPr>
              <w:t>Tribunals dealing with Welsh matters will be subject to a centralised supervisory oversight</w:t>
            </w:r>
            <w:r>
              <w:rPr>
                <w:rFonts w:cs="Arial"/>
              </w:rPr>
              <w:t xml:space="preserve">; Transfer of resources from LAs to Welsh government provides savings to LAs from the removal of expenses paid to </w:t>
            </w:r>
            <w:r w:rsidR="00C25BE0">
              <w:rPr>
                <w:rFonts w:cs="Arial"/>
              </w:rPr>
              <w:t>independent appeal panel</w:t>
            </w:r>
            <w:r>
              <w:rPr>
                <w:rFonts w:cs="Arial"/>
              </w:rPr>
              <w:t xml:space="preserve"> members.</w:t>
            </w:r>
          </w:p>
        </w:tc>
      </w:tr>
      <w:tr w:rsidR="006B1212" w:rsidRPr="00826F71" w14:paraId="570A821B" w14:textId="77777777" w:rsidTr="006B1212">
        <w:trPr>
          <w:trHeight w:hRule="exact" w:val="346"/>
        </w:trPr>
        <w:tc>
          <w:tcPr>
            <w:tcW w:w="9446" w:type="dxa"/>
            <w:gridSpan w:val="5"/>
            <w:tcBorders>
              <w:top w:val="single" w:sz="12" w:space="0" w:color="auto"/>
              <w:bottom w:val="single" w:sz="12" w:space="0" w:color="auto"/>
              <w:right w:val="single" w:sz="12" w:space="0" w:color="auto"/>
            </w:tcBorders>
          </w:tcPr>
          <w:p w14:paraId="2254A439" w14:textId="77777777" w:rsidR="006B1212" w:rsidRDefault="006B1212" w:rsidP="006B1212">
            <w:pPr>
              <w:pStyle w:val="IATableLabel"/>
              <w:tabs>
                <w:tab w:val="left" w:pos="7655"/>
              </w:tabs>
            </w:pPr>
            <w:r w:rsidRPr="00F1653E">
              <w:rPr>
                <w:rStyle w:val="IAPOQ5Char"/>
                <w:b/>
              </w:rPr>
              <w:t>Key assumptions/sensitivities/risks</w:t>
            </w:r>
            <w:r>
              <w:tab/>
              <w:t>Discount rate (%)</w:t>
            </w:r>
          </w:p>
          <w:p w14:paraId="242CD6C1" w14:textId="77777777" w:rsidR="006B1212" w:rsidRPr="00455895" w:rsidRDefault="006B1212" w:rsidP="006B1212">
            <w:pPr>
              <w:pStyle w:val="IATableLabel"/>
            </w:pPr>
          </w:p>
        </w:tc>
        <w:tc>
          <w:tcPr>
            <w:tcW w:w="855" w:type="dxa"/>
            <w:tcBorders>
              <w:top w:val="single" w:sz="12" w:space="0" w:color="auto"/>
              <w:left w:val="single" w:sz="12" w:space="0" w:color="auto"/>
              <w:bottom w:val="single" w:sz="12" w:space="0" w:color="auto"/>
            </w:tcBorders>
          </w:tcPr>
          <w:p w14:paraId="67377EDB" w14:textId="77777777" w:rsidR="006B1212" w:rsidRPr="007E6CF8" w:rsidRDefault="008B5022" w:rsidP="006B1212">
            <w:pPr>
              <w:pStyle w:val="IAPODisRate"/>
            </w:pPr>
            <w:r>
              <w:t>3.5</w:t>
            </w:r>
          </w:p>
        </w:tc>
      </w:tr>
      <w:tr w:rsidR="006B1212" w:rsidRPr="007E190E" w14:paraId="5084FFCF" w14:textId="77777777" w:rsidTr="006B1212">
        <w:trPr>
          <w:trHeight w:hRule="exact" w:val="1375"/>
        </w:trPr>
        <w:tc>
          <w:tcPr>
            <w:tcW w:w="10301" w:type="dxa"/>
            <w:gridSpan w:val="6"/>
            <w:tcBorders>
              <w:top w:val="nil"/>
              <w:bottom w:val="single" w:sz="12" w:space="0" w:color="auto"/>
            </w:tcBorders>
          </w:tcPr>
          <w:p w14:paraId="492E2AE3" w14:textId="77777777" w:rsidR="008B5022" w:rsidRDefault="008B5022" w:rsidP="008B5022">
            <w:pPr>
              <w:pStyle w:val="IAPOA5"/>
            </w:pPr>
            <w:r>
              <w:t xml:space="preserve">Assumptions: Pension arrangements not factored into the proposed inclusion of the </w:t>
            </w:r>
            <w:r w:rsidR="00C25BE0">
              <w:t>Valuation Tribunal for Wales</w:t>
            </w:r>
            <w:r>
              <w:t xml:space="preserve"> within the Unified system; </w:t>
            </w:r>
          </w:p>
          <w:p w14:paraId="0B302195" w14:textId="77777777" w:rsidR="006B1212" w:rsidRPr="00544292" w:rsidRDefault="008B5022" w:rsidP="008B5022">
            <w:pPr>
              <w:pStyle w:val="IAPOA5"/>
            </w:pPr>
            <w:r>
              <w:t xml:space="preserve">Risk: </w:t>
            </w:r>
            <w:r w:rsidR="00C25BE0">
              <w:t>Valuation Tribunal for Wales</w:t>
            </w:r>
            <w:r>
              <w:t xml:space="preserve"> attracts a pension premium</w:t>
            </w:r>
          </w:p>
        </w:tc>
      </w:tr>
    </w:tbl>
    <w:p w14:paraId="19568843" w14:textId="77777777" w:rsidR="00CB2E5F" w:rsidRDefault="00CB2E5F" w:rsidP="00CB2E5F">
      <w:pPr>
        <w:pStyle w:val="IASpacer"/>
      </w:pPr>
    </w:p>
    <w:p w14:paraId="27B62093" w14:textId="77777777" w:rsidR="00CB2E5F" w:rsidRDefault="00CB2E5F" w:rsidP="00CB2E5F">
      <w:pPr>
        <w:pStyle w:val="IAHeadLabel"/>
        <w:spacing w:before="50"/>
      </w:pPr>
    </w:p>
    <w:p w14:paraId="110C5DA7" w14:textId="77777777" w:rsidR="00CB2E5F" w:rsidRDefault="00CB2E5F" w:rsidP="00CB2E5F">
      <w:pPr>
        <w:pStyle w:val="IAHeadLabel"/>
        <w:spacing w:before="50"/>
      </w:pPr>
      <w:r>
        <w:t xml:space="preserve">BUSINESS ASSESSMENT (Option </w:t>
      </w:r>
      <w:r w:rsidR="001D72FA">
        <w:rPr>
          <w:noProof/>
        </w:rPr>
        <w:t>2</w:t>
      </w:r>
      <w:r>
        <w:t>)</w:t>
      </w:r>
    </w:p>
    <w:tbl>
      <w:tblPr>
        <w:tblW w:w="5067" w:type="pct"/>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977"/>
        <w:gridCol w:w="1836"/>
        <w:gridCol w:w="1694"/>
        <w:gridCol w:w="4804"/>
      </w:tblGrid>
      <w:tr w:rsidR="00CB2E5F" w:rsidRPr="000E02BE" w14:paraId="3FE5617F" w14:textId="77777777" w:rsidTr="00310D00">
        <w:trPr>
          <w:trHeight w:hRule="exact" w:val="384"/>
        </w:trPr>
        <w:tc>
          <w:tcPr>
            <w:tcW w:w="5529" w:type="dxa"/>
            <w:gridSpan w:val="3"/>
            <w:tcBorders>
              <w:top w:val="single" w:sz="12" w:space="0" w:color="auto"/>
              <w:left w:val="single" w:sz="12" w:space="0" w:color="auto"/>
              <w:bottom w:val="nil"/>
              <w:right w:val="single" w:sz="12" w:space="0" w:color="auto"/>
            </w:tcBorders>
          </w:tcPr>
          <w:p w14:paraId="227196A1" w14:textId="77777777" w:rsidR="00CB2E5F" w:rsidRPr="000E02BE" w:rsidRDefault="00CB2E5F" w:rsidP="00310D00">
            <w:pPr>
              <w:pStyle w:val="IATableLabel"/>
            </w:pPr>
            <w:r w:rsidRPr="000E02BE">
              <w:t xml:space="preserve">Direct impact on </w:t>
            </w:r>
            <w:r>
              <w:t>business (Equivalent Annual) £m</w:t>
            </w:r>
            <w:r w:rsidRPr="000E02BE">
              <w:t xml:space="preserve">: </w:t>
            </w:r>
          </w:p>
        </w:tc>
        <w:tc>
          <w:tcPr>
            <w:tcW w:w="4823" w:type="dxa"/>
            <w:vMerge w:val="restart"/>
            <w:tcBorders>
              <w:top w:val="single" w:sz="12" w:space="0" w:color="auto"/>
              <w:left w:val="single" w:sz="12" w:space="0" w:color="auto"/>
              <w:right w:val="single" w:sz="12" w:space="0" w:color="auto"/>
            </w:tcBorders>
          </w:tcPr>
          <w:p w14:paraId="7AAC527C" w14:textId="77777777" w:rsidR="00CB2E5F" w:rsidRPr="000E02BE" w:rsidRDefault="00CB2E5F" w:rsidP="00310D00">
            <w:pPr>
              <w:pStyle w:val="IATableLabel"/>
            </w:pPr>
            <w:r>
              <w:t>Score for Business Impact Target (qualifying provisions only) £m:</w:t>
            </w:r>
          </w:p>
        </w:tc>
      </w:tr>
      <w:tr w:rsidR="00CB2E5F" w:rsidRPr="00E75380" w14:paraId="76C4D1D0" w14:textId="77777777" w:rsidTr="00310D00">
        <w:trPr>
          <w:trHeight w:hRule="exact" w:val="340"/>
        </w:trPr>
        <w:tc>
          <w:tcPr>
            <w:tcW w:w="1985" w:type="dxa"/>
            <w:vMerge w:val="restart"/>
            <w:tcBorders>
              <w:top w:val="single" w:sz="12" w:space="0" w:color="auto"/>
              <w:left w:val="single" w:sz="12" w:space="0" w:color="auto"/>
              <w:right w:val="single" w:sz="12" w:space="0" w:color="auto"/>
            </w:tcBorders>
            <w:shd w:val="clear" w:color="auto" w:fill="FFFFFF"/>
          </w:tcPr>
          <w:p w14:paraId="5DDA281E" w14:textId="77777777" w:rsidR="00CB2E5F" w:rsidRPr="00F63895" w:rsidRDefault="00CB2E5F" w:rsidP="00310D00">
            <w:pPr>
              <w:pStyle w:val="IATableLabel"/>
            </w:pPr>
            <w:r w:rsidRPr="00F63895">
              <w:t xml:space="preserve">Costs: </w:t>
            </w:r>
            <w:r w:rsidRPr="00F63895">
              <w:rPr>
                <w:rStyle w:val="IAPODICostChar"/>
                <w:b/>
                <w:sz w:val="20"/>
              </w:rPr>
              <w:fldChar w:fldCharType="begin">
                <w:ffData>
                  <w:name w:val="Text67"/>
                  <w:enabled/>
                  <w:calcOnExit w:val="0"/>
                  <w:textInput>
                    <w:maxLength w:val="9"/>
                  </w:textInput>
                </w:ffData>
              </w:fldChar>
            </w:r>
            <w:r w:rsidRPr="00F63895">
              <w:rPr>
                <w:rStyle w:val="IAPODICostChar"/>
                <w:b/>
                <w:sz w:val="20"/>
              </w:rPr>
              <w:instrText xml:space="preserve"> FORMTEXT </w:instrText>
            </w:r>
            <w:r w:rsidRPr="00F63895">
              <w:rPr>
                <w:rStyle w:val="IAPODICostChar"/>
                <w:b/>
                <w:sz w:val="20"/>
              </w:rPr>
            </w:r>
            <w:r w:rsidRPr="00F63895">
              <w:rPr>
                <w:rStyle w:val="IAPODICostChar"/>
                <w:b/>
                <w:sz w:val="20"/>
              </w:rPr>
              <w:fldChar w:fldCharType="separate"/>
            </w:r>
            <w:r w:rsidRPr="00F63895">
              <w:rPr>
                <w:rStyle w:val="IAPODICostChar"/>
                <w:noProof/>
                <w:sz w:val="20"/>
              </w:rPr>
              <w:t> </w:t>
            </w:r>
            <w:r w:rsidRPr="00F63895">
              <w:rPr>
                <w:rStyle w:val="IAPODICostChar"/>
                <w:noProof/>
                <w:sz w:val="20"/>
              </w:rPr>
              <w:t> </w:t>
            </w:r>
            <w:r w:rsidRPr="00F63895">
              <w:rPr>
                <w:rStyle w:val="IAPODICostChar"/>
                <w:noProof/>
                <w:sz w:val="20"/>
              </w:rPr>
              <w:t> </w:t>
            </w:r>
            <w:r w:rsidRPr="00F63895">
              <w:rPr>
                <w:rStyle w:val="IAPODICostChar"/>
                <w:noProof/>
                <w:sz w:val="20"/>
              </w:rPr>
              <w:t> </w:t>
            </w:r>
            <w:r w:rsidRPr="00F63895">
              <w:rPr>
                <w:rStyle w:val="IAPODICostChar"/>
                <w:noProof/>
                <w:sz w:val="20"/>
              </w:rPr>
              <w:t> </w:t>
            </w:r>
            <w:r w:rsidRPr="00F63895">
              <w:rPr>
                <w:rStyle w:val="IAPODICostChar"/>
                <w:b/>
                <w:sz w:val="20"/>
              </w:rPr>
              <w:fldChar w:fldCharType="end"/>
            </w:r>
          </w:p>
        </w:tc>
        <w:tc>
          <w:tcPr>
            <w:tcW w:w="1843" w:type="dxa"/>
            <w:vMerge w:val="restart"/>
            <w:tcBorders>
              <w:top w:val="single" w:sz="12" w:space="0" w:color="auto"/>
              <w:left w:val="single" w:sz="12" w:space="0" w:color="auto"/>
              <w:right w:val="single" w:sz="12" w:space="0" w:color="auto"/>
            </w:tcBorders>
            <w:shd w:val="clear" w:color="auto" w:fill="FFFFFF"/>
          </w:tcPr>
          <w:p w14:paraId="1541DEB8" w14:textId="77777777" w:rsidR="00CB2E5F" w:rsidRPr="00F63895" w:rsidRDefault="00CB2E5F" w:rsidP="00310D00">
            <w:pPr>
              <w:pStyle w:val="IATableLabel"/>
            </w:pPr>
            <w:r w:rsidRPr="00F63895">
              <w:t xml:space="preserve">Benefits: </w:t>
            </w:r>
            <w:r w:rsidRPr="00F63895">
              <w:rPr>
                <w:rStyle w:val="IAPODIBenChar"/>
                <w:sz w:val="20"/>
              </w:rPr>
              <w:fldChar w:fldCharType="begin">
                <w:ffData>
                  <w:name w:val="Text68"/>
                  <w:enabled/>
                  <w:calcOnExit w:val="0"/>
                  <w:textInput>
                    <w:maxLength w:val="9"/>
                  </w:textInput>
                </w:ffData>
              </w:fldChar>
            </w:r>
            <w:r w:rsidRPr="00F63895">
              <w:rPr>
                <w:rStyle w:val="IAPODIBenChar"/>
                <w:sz w:val="20"/>
              </w:rPr>
              <w:instrText xml:space="preserve"> FORMTEXT </w:instrText>
            </w:r>
            <w:r w:rsidRPr="00F63895">
              <w:rPr>
                <w:rStyle w:val="IAPODIBenChar"/>
                <w:sz w:val="20"/>
              </w:rPr>
            </w:r>
            <w:r w:rsidRPr="00F63895">
              <w:rPr>
                <w:rStyle w:val="IAPODIBenChar"/>
                <w:sz w:val="20"/>
              </w:rPr>
              <w:fldChar w:fldCharType="separate"/>
            </w:r>
            <w:r w:rsidRPr="00F63895">
              <w:rPr>
                <w:rStyle w:val="IAPODIBenChar"/>
                <w:noProof/>
                <w:sz w:val="20"/>
              </w:rPr>
              <w:t> </w:t>
            </w:r>
            <w:r w:rsidRPr="00F63895">
              <w:rPr>
                <w:rStyle w:val="IAPODIBenChar"/>
                <w:noProof/>
                <w:sz w:val="20"/>
              </w:rPr>
              <w:t> </w:t>
            </w:r>
            <w:r w:rsidRPr="00F63895">
              <w:rPr>
                <w:rStyle w:val="IAPODIBenChar"/>
                <w:noProof/>
                <w:sz w:val="20"/>
              </w:rPr>
              <w:t> </w:t>
            </w:r>
            <w:r w:rsidRPr="00F63895">
              <w:rPr>
                <w:rStyle w:val="IAPODIBenChar"/>
                <w:noProof/>
                <w:sz w:val="20"/>
              </w:rPr>
              <w:t> </w:t>
            </w:r>
            <w:r w:rsidRPr="00F63895">
              <w:rPr>
                <w:rStyle w:val="IAPODIBenChar"/>
                <w:noProof/>
                <w:sz w:val="20"/>
              </w:rPr>
              <w:t> </w:t>
            </w:r>
            <w:r w:rsidRPr="00F63895">
              <w:rPr>
                <w:rStyle w:val="IAPODIBenChar"/>
                <w:sz w:val="20"/>
              </w:rPr>
              <w:fldChar w:fldCharType="end"/>
            </w:r>
          </w:p>
        </w:tc>
        <w:tc>
          <w:tcPr>
            <w:tcW w:w="1701" w:type="dxa"/>
            <w:vMerge w:val="restart"/>
            <w:tcBorders>
              <w:top w:val="single" w:sz="12" w:space="0" w:color="auto"/>
              <w:left w:val="single" w:sz="12" w:space="0" w:color="auto"/>
              <w:right w:val="single" w:sz="12" w:space="0" w:color="auto"/>
            </w:tcBorders>
            <w:shd w:val="clear" w:color="auto" w:fill="FFFFFF"/>
          </w:tcPr>
          <w:p w14:paraId="1B09E7D4" w14:textId="77777777" w:rsidR="00CB2E5F" w:rsidRPr="00F63895" w:rsidRDefault="00CB2E5F" w:rsidP="00310D00">
            <w:pPr>
              <w:pStyle w:val="IATableLabel"/>
            </w:pPr>
            <w:r w:rsidRPr="00F63895">
              <w:t xml:space="preserve">Net: </w:t>
            </w:r>
            <w:r w:rsidRPr="00F63895">
              <w:rPr>
                <w:rStyle w:val="IAPODINetChar"/>
                <w:sz w:val="20"/>
              </w:rPr>
              <w:fldChar w:fldCharType="begin">
                <w:ffData>
                  <w:name w:val="Text69"/>
                  <w:enabled/>
                  <w:calcOnExit w:val="0"/>
                  <w:textInput>
                    <w:maxLength w:val="9"/>
                  </w:textInput>
                </w:ffData>
              </w:fldChar>
            </w:r>
            <w:r w:rsidRPr="00F63895">
              <w:rPr>
                <w:rStyle w:val="IAPODINetChar"/>
                <w:sz w:val="20"/>
              </w:rPr>
              <w:instrText xml:space="preserve"> FORMTEXT </w:instrText>
            </w:r>
            <w:r w:rsidRPr="00F63895">
              <w:rPr>
                <w:rStyle w:val="IAPODINetChar"/>
                <w:sz w:val="20"/>
              </w:rPr>
            </w:r>
            <w:r w:rsidRPr="00F63895">
              <w:rPr>
                <w:rStyle w:val="IAPODINetChar"/>
                <w:sz w:val="20"/>
              </w:rPr>
              <w:fldChar w:fldCharType="separate"/>
            </w:r>
            <w:r w:rsidRPr="00F63895">
              <w:rPr>
                <w:rStyle w:val="IAPODINetChar"/>
                <w:noProof/>
                <w:sz w:val="20"/>
              </w:rPr>
              <w:t> </w:t>
            </w:r>
            <w:r w:rsidRPr="00F63895">
              <w:rPr>
                <w:rStyle w:val="IAPODINetChar"/>
                <w:noProof/>
                <w:sz w:val="20"/>
              </w:rPr>
              <w:t> </w:t>
            </w:r>
            <w:r w:rsidRPr="00F63895">
              <w:rPr>
                <w:rStyle w:val="IAPODINetChar"/>
                <w:noProof/>
                <w:sz w:val="20"/>
              </w:rPr>
              <w:t> </w:t>
            </w:r>
            <w:r w:rsidRPr="00F63895">
              <w:rPr>
                <w:rStyle w:val="IAPODINetChar"/>
                <w:noProof/>
                <w:sz w:val="20"/>
              </w:rPr>
              <w:t> </w:t>
            </w:r>
            <w:r w:rsidRPr="00F63895">
              <w:rPr>
                <w:rStyle w:val="IAPODINetChar"/>
                <w:noProof/>
                <w:sz w:val="20"/>
              </w:rPr>
              <w:t> </w:t>
            </w:r>
            <w:r w:rsidRPr="00F63895">
              <w:rPr>
                <w:rStyle w:val="IAPODINetChar"/>
                <w:sz w:val="20"/>
              </w:rPr>
              <w:fldChar w:fldCharType="end"/>
            </w:r>
          </w:p>
        </w:tc>
        <w:tc>
          <w:tcPr>
            <w:tcW w:w="4823" w:type="dxa"/>
            <w:vMerge/>
            <w:tcBorders>
              <w:left w:val="single" w:sz="12" w:space="0" w:color="auto"/>
              <w:bottom w:val="single" w:sz="12" w:space="0" w:color="auto"/>
              <w:right w:val="single" w:sz="12" w:space="0" w:color="auto"/>
            </w:tcBorders>
            <w:shd w:val="clear" w:color="auto" w:fill="FFFFFF"/>
          </w:tcPr>
          <w:p w14:paraId="660F5F38" w14:textId="77777777" w:rsidR="00CB2E5F" w:rsidRPr="00F63895" w:rsidRDefault="00CB2E5F" w:rsidP="00310D00">
            <w:pPr>
              <w:pStyle w:val="IAPODIMQ"/>
            </w:pPr>
          </w:p>
        </w:tc>
      </w:tr>
      <w:tr w:rsidR="00CB2E5F" w:rsidRPr="00E75380" w14:paraId="4347C0A3" w14:textId="77777777" w:rsidTr="00310D00">
        <w:trPr>
          <w:trHeight w:hRule="exact" w:val="340"/>
        </w:trPr>
        <w:tc>
          <w:tcPr>
            <w:tcW w:w="1985" w:type="dxa"/>
            <w:vMerge/>
            <w:tcBorders>
              <w:left w:val="single" w:sz="12" w:space="0" w:color="auto"/>
              <w:bottom w:val="single" w:sz="12" w:space="0" w:color="auto"/>
              <w:right w:val="single" w:sz="12" w:space="0" w:color="auto"/>
            </w:tcBorders>
            <w:shd w:val="clear" w:color="auto" w:fill="FFFFFF"/>
          </w:tcPr>
          <w:p w14:paraId="77B21D08" w14:textId="77777777" w:rsidR="00CB2E5F" w:rsidRPr="00F63895" w:rsidRDefault="00CB2E5F" w:rsidP="00310D00">
            <w:pPr>
              <w:pStyle w:val="IATableLabel"/>
            </w:pPr>
          </w:p>
        </w:tc>
        <w:tc>
          <w:tcPr>
            <w:tcW w:w="1843" w:type="dxa"/>
            <w:vMerge/>
            <w:tcBorders>
              <w:left w:val="single" w:sz="12" w:space="0" w:color="auto"/>
              <w:bottom w:val="single" w:sz="12" w:space="0" w:color="auto"/>
              <w:right w:val="single" w:sz="12" w:space="0" w:color="auto"/>
            </w:tcBorders>
            <w:shd w:val="clear" w:color="auto" w:fill="FFFFFF"/>
          </w:tcPr>
          <w:p w14:paraId="0710C182" w14:textId="77777777" w:rsidR="00CB2E5F" w:rsidRPr="00F63895" w:rsidRDefault="00CB2E5F" w:rsidP="00310D00">
            <w:pPr>
              <w:pStyle w:val="IATableLabel"/>
            </w:pPr>
          </w:p>
        </w:tc>
        <w:tc>
          <w:tcPr>
            <w:tcW w:w="1701" w:type="dxa"/>
            <w:vMerge/>
            <w:tcBorders>
              <w:left w:val="single" w:sz="12" w:space="0" w:color="auto"/>
              <w:bottom w:val="single" w:sz="12" w:space="0" w:color="auto"/>
              <w:right w:val="single" w:sz="12" w:space="0" w:color="auto"/>
            </w:tcBorders>
            <w:shd w:val="clear" w:color="auto" w:fill="FFFFFF"/>
          </w:tcPr>
          <w:p w14:paraId="28DC469C" w14:textId="77777777" w:rsidR="00CB2E5F" w:rsidRPr="00F63895" w:rsidRDefault="00CB2E5F" w:rsidP="00310D00">
            <w:pPr>
              <w:pStyle w:val="IATableLabel"/>
            </w:pPr>
          </w:p>
        </w:tc>
        <w:tc>
          <w:tcPr>
            <w:tcW w:w="4823" w:type="dxa"/>
            <w:tcBorders>
              <w:top w:val="single" w:sz="12" w:space="0" w:color="auto"/>
              <w:left w:val="single" w:sz="12" w:space="0" w:color="auto"/>
              <w:bottom w:val="single" w:sz="12" w:space="0" w:color="auto"/>
              <w:right w:val="single" w:sz="12" w:space="0" w:color="auto"/>
            </w:tcBorders>
            <w:shd w:val="clear" w:color="auto" w:fill="FFFFFF"/>
          </w:tcPr>
          <w:p w14:paraId="258D92DC" w14:textId="77777777" w:rsidR="00CB2E5F" w:rsidRPr="00F63895" w:rsidRDefault="00CB2E5F" w:rsidP="00310D00">
            <w:pPr>
              <w:pStyle w:val="IAPODIMQ"/>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B60854" w14:textId="77777777" w:rsidR="00CB2E5F" w:rsidRDefault="00CB2E5F" w:rsidP="00CB2E5F">
      <w:pPr>
        <w:sectPr w:rsidR="00CB2E5F" w:rsidSect="00F1328C">
          <w:footnotePr>
            <w:numRestart w:val="eachSect"/>
          </w:footnotePr>
          <w:pgSz w:w="11907" w:h="16840" w:code="9"/>
          <w:pgMar w:top="680" w:right="851" w:bottom="680" w:left="851" w:header="284" w:footer="284" w:gutter="0"/>
          <w:cols w:space="708"/>
          <w:docGrid w:linePitch="360"/>
        </w:sectPr>
      </w:pPr>
    </w:p>
    <w:p w14:paraId="0C6A5390" w14:textId="77777777" w:rsidR="00B472DC" w:rsidRDefault="00B472DC" w:rsidP="00B472DC">
      <w:pPr>
        <w:pStyle w:val="Heading1"/>
        <w:spacing w:before="0"/>
      </w:pPr>
      <w:r>
        <w:t>Summary: Analysis &amp; Evidence</w:t>
      </w:r>
      <w:r>
        <w:tab/>
      </w:r>
      <w:r w:rsidRPr="00E3545D">
        <w:rPr>
          <w:rFonts w:ascii="Arial" w:hAnsi="Arial"/>
          <w:b w:val="0"/>
          <w:bCs w:val="0"/>
        </w:rPr>
        <w:t xml:space="preserve">Policy Option </w:t>
      </w:r>
      <w:r>
        <w:rPr>
          <w:rFonts w:ascii="Arial" w:hAnsi="Arial"/>
          <w:b w:val="0"/>
          <w:bCs w:val="0"/>
        </w:rPr>
        <w:t>3</w:t>
      </w:r>
    </w:p>
    <w:p w14:paraId="66147501" w14:textId="77777777" w:rsidR="00B472DC" w:rsidRDefault="00B472DC" w:rsidP="00B472DC">
      <w:pPr>
        <w:pStyle w:val="IAHeadLabel"/>
        <w:spacing w:before="50"/>
      </w:pPr>
      <w:r w:rsidRPr="00892576">
        <w:t xml:space="preserve">Description: </w:t>
      </w:r>
      <w:r w:rsidRPr="006B70AF">
        <w:t xml:space="preserve"> </w:t>
      </w:r>
      <w:r w:rsidRPr="00B67760">
        <w:rPr>
          <w:b w:val="0"/>
          <w:szCs w:val="22"/>
        </w:rPr>
        <w:t>Use primary legislation to standardise c</w:t>
      </w:r>
      <w:r w:rsidRPr="000D0568">
        <w:rPr>
          <w:b w:val="0"/>
          <w:szCs w:val="22"/>
        </w:rPr>
        <w:t>urrent arrangements for the existing devolved Welsh tribunals in relation to appointments and discipline without creating a unified first-tier tribunal</w:t>
      </w:r>
    </w:p>
    <w:p w14:paraId="39D9A252" w14:textId="77777777" w:rsidR="00B472DC" w:rsidRDefault="00B472DC" w:rsidP="00B472DC">
      <w:pPr>
        <w:pStyle w:val="IAHeadLabel"/>
        <w:spacing w:before="50"/>
      </w:pPr>
      <w:r>
        <w:t>FULL ECONOMIC ASSESSMENT</w:t>
      </w:r>
    </w:p>
    <w:tbl>
      <w:tblPr>
        <w:tblW w:w="50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95"/>
        <w:gridCol w:w="1254"/>
        <w:gridCol w:w="1433"/>
        <w:gridCol w:w="1791"/>
        <w:gridCol w:w="1818"/>
        <w:gridCol w:w="2620"/>
      </w:tblGrid>
      <w:tr w:rsidR="00B472DC" w:rsidRPr="007E190E" w14:paraId="1AC8B0AF" w14:textId="77777777" w:rsidTr="00BC00FA">
        <w:trPr>
          <w:trHeight w:hRule="exact" w:val="312"/>
        </w:trPr>
        <w:tc>
          <w:tcPr>
            <w:tcW w:w="1402" w:type="dxa"/>
            <w:vMerge w:val="restart"/>
            <w:tcBorders>
              <w:top w:val="single" w:sz="12" w:space="0" w:color="auto"/>
              <w:left w:val="single" w:sz="12" w:space="0" w:color="auto"/>
              <w:right w:val="single" w:sz="12" w:space="0" w:color="auto"/>
            </w:tcBorders>
          </w:tcPr>
          <w:p w14:paraId="6D350066" w14:textId="77777777" w:rsidR="00B472DC" w:rsidRPr="00826F71" w:rsidRDefault="00B472DC" w:rsidP="00BC00FA">
            <w:pPr>
              <w:pStyle w:val="POPBY"/>
            </w:pPr>
            <w:r w:rsidRPr="00826F71">
              <w:t>Price Base Year</w:t>
            </w:r>
            <w:r>
              <w:t xml:space="preserve">  </w:t>
            </w:r>
            <w:r>
              <w:rPr>
                <w:b w:val="0"/>
              </w:rPr>
              <w:fldChar w:fldCharType="begin">
                <w:ffData>
                  <w:name w:val="Text55"/>
                  <w:enabled/>
                  <w:calcOnExit w:val="0"/>
                  <w:textInput>
                    <w:default w:val="2019"/>
                    <w:maxLength w:val="4"/>
                  </w:textInput>
                </w:ffData>
              </w:fldChar>
            </w:r>
            <w:r>
              <w:rPr>
                <w:b w:val="0"/>
              </w:rPr>
              <w:instrText xml:space="preserve"> FORMTEXT </w:instrText>
            </w:r>
            <w:r>
              <w:rPr>
                <w:b w:val="0"/>
              </w:rPr>
            </w:r>
            <w:r>
              <w:rPr>
                <w:b w:val="0"/>
              </w:rPr>
              <w:fldChar w:fldCharType="separate"/>
            </w:r>
            <w:r>
              <w:rPr>
                <w:b w:val="0"/>
                <w:noProof/>
              </w:rPr>
              <w:t>2019</w:t>
            </w:r>
            <w:r>
              <w:rPr>
                <w:b w:val="0"/>
              </w:rPr>
              <w:fldChar w:fldCharType="end"/>
            </w:r>
          </w:p>
        </w:tc>
        <w:tc>
          <w:tcPr>
            <w:tcW w:w="1260" w:type="dxa"/>
            <w:vMerge w:val="restart"/>
            <w:tcBorders>
              <w:top w:val="single" w:sz="12" w:space="0" w:color="auto"/>
              <w:left w:val="single" w:sz="12" w:space="0" w:color="auto"/>
              <w:right w:val="single" w:sz="12" w:space="0" w:color="auto"/>
            </w:tcBorders>
          </w:tcPr>
          <w:p w14:paraId="255D3661" w14:textId="77777777" w:rsidR="00B472DC" w:rsidRPr="00826F71" w:rsidRDefault="00B472DC" w:rsidP="00BC00FA">
            <w:pPr>
              <w:pStyle w:val="POPVBY"/>
            </w:pPr>
            <w:r w:rsidRPr="00826F71">
              <w:t>PV Base Year</w:t>
            </w:r>
            <w:r>
              <w:t xml:space="preserve">  </w:t>
            </w:r>
            <w:r>
              <w:rPr>
                <w:b w:val="0"/>
              </w:rPr>
              <w:fldChar w:fldCharType="begin">
                <w:ffData>
                  <w:name w:val="Text56"/>
                  <w:enabled/>
                  <w:calcOnExit w:val="0"/>
                  <w:textInput>
                    <w:default w:val="2020"/>
                    <w:maxLength w:val="4"/>
                  </w:textInput>
                </w:ffData>
              </w:fldChar>
            </w:r>
            <w:r>
              <w:rPr>
                <w:b w:val="0"/>
              </w:rPr>
              <w:instrText xml:space="preserve"> FORMTEXT </w:instrText>
            </w:r>
            <w:r>
              <w:rPr>
                <w:b w:val="0"/>
              </w:rPr>
            </w:r>
            <w:r>
              <w:rPr>
                <w:b w:val="0"/>
              </w:rPr>
              <w:fldChar w:fldCharType="separate"/>
            </w:r>
            <w:r>
              <w:rPr>
                <w:b w:val="0"/>
                <w:noProof/>
              </w:rPr>
              <w:t>2020</w:t>
            </w:r>
            <w:r>
              <w:rPr>
                <w:b w:val="0"/>
              </w:rPr>
              <w:fldChar w:fldCharType="end"/>
            </w:r>
          </w:p>
        </w:tc>
        <w:tc>
          <w:tcPr>
            <w:tcW w:w="1440" w:type="dxa"/>
            <w:vMerge w:val="restart"/>
            <w:tcBorders>
              <w:top w:val="single" w:sz="12" w:space="0" w:color="auto"/>
              <w:left w:val="single" w:sz="12" w:space="0" w:color="auto"/>
              <w:right w:val="single" w:sz="12" w:space="0" w:color="auto"/>
            </w:tcBorders>
          </w:tcPr>
          <w:p w14:paraId="03FBDB51" w14:textId="77777777" w:rsidR="00B472DC" w:rsidRPr="00826F71" w:rsidRDefault="00B472DC" w:rsidP="00BC00FA">
            <w:pPr>
              <w:pStyle w:val="POTPY"/>
            </w:pPr>
            <w:r w:rsidRPr="00826F71">
              <w:t>Time Period Years</w:t>
            </w:r>
            <w:r>
              <w:t xml:space="preserve">  </w:t>
            </w:r>
            <w:r w:rsidRPr="007E190E">
              <w:rPr>
                <w:b w:val="0"/>
              </w:rPr>
              <w:fldChar w:fldCharType="begin">
                <w:ffData>
                  <w:name w:val="Text57"/>
                  <w:enabled/>
                  <w:calcOnExit w:val="0"/>
                  <w:textInput>
                    <w:maxLength w:val="4"/>
                  </w:textInput>
                </w:ffData>
              </w:fldChar>
            </w:r>
            <w:r w:rsidRPr="007E190E">
              <w:rPr>
                <w:b w:val="0"/>
              </w:rPr>
              <w:instrText xml:space="preserve"> FORMTEXT </w:instrText>
            </w:r>
            <w:r w:rsidRPr="007E190E">
              <w:rPr>
                <w:b w:val="0"/>
              </w:rPr>
            </w:r>
            <w:r w:rsidRPr="007E190E">
              <w:rPr>
                <w:b w:val="0"/>
              </w:rPr>
              <w:fldChar w:fldCharType="separate"/>
            </w:r>
            <w:r w:rsidRPr="007E190E">
              <w:rPr>
                <w:b w:val="0"/>
                <w:noProof/>
              </w:rPr>
              <w:t> </w:t>
            </w:r>
            <w:r w:rsidRPr="007E190E">
              <w:rPr>
                <w:b w:val="0"/>
                <w:noProof/>
              </w:rPr>
              <w:t> </w:t>
            </w:r>
            <w:r w:rsidRPr="007E190E">
              <w:rPr>
                <w:b w:val="0"/>
                <w:noProof/>
              </w:rPr>
              <w:t> </w:t>
            </w:r>
            <w:r w:rsidRPr="007E190E">
              <w:rPr>
                <w:b w:val="0"/>
                <w:noProof/>
              </w:rPr>
              <w:t> </w:t>
            </w:r>
            <w:r w:rsidRPr="007E190E">
              <w:rPr>
                <w:b w:val="0"/>
              </w:rPr>
              <w:fldChar w:fldCharType="end"/>
            </w:r>
          </w:p>
        </w:tc>
        <w:tc>
          <w:tcPr>
            <w:tcW w:w="6260" w:type="dxa"/>
            <w:gridSpan w:val="3"/>
            <w:tcBorders>
              <w:top w:val="single" w:sz="12" w:space="0" w:color="auto"/>
              <w:left w:val="single" w:sz="12" w:space="0" w:color="auto"/>
              <w:right w:val="single" w:sz="12" w:space="0" w:color="auto"/>
            </w:tcBorders>
            <w:shd w:val="clear" w:color="auto" w:fill="FFFFFF"/>
          </w:tcPr>
          <w:p w14:paraId="70196F1D" w14:textId="77777777" w:rsidR="00B472DC" w:rsidRPr="00826F71" w:rsidRDefault="00B472DC" w:rsidP="00BC00FA">
            <w:pPr>
              <w:pStyle w:val="IATableLabel"/>
              <w:jc w:val="center"/>
            </w:pPr>
            <w:r w:rsidRPr="00826F71">
              <w:t xml:space="preserve">Net </w:t>
            </w:r>
            <w:r w:rsidRPr="0075393B">
              <w:t>B</w:t>
            </w:r>
            <w:r w:rsidRPr="00826F71">
              <w:t>enefit (</w:t>
            </w:r>
            <w:r>
              <w:t>Present Value (</w:t>
            </w:r>
            <w:r w:rsidRPr="00826F71">
              <w:t>PV</w:t>
            </w:r>
            <w:r>
              <w:t>)</w:t>
            </w:r>
            <w:r w:rsidRPr="00826F71">
              <w:t>)</w:t>
            </w:r>
            <w:r>
              <w:t xml:space="preserve"> (£m)</w:t>
            </w:r>
          </w:p>
        </w:tc>
      </w:tr>
      <w:tr w:rsidR="00B472DC" w:rsidRPr="007E190E" w14:paraId="72050310" w14:textId="77777777" w:rsidTr="00BC00FA">
        <w:trPr>
          <w:trHeight w:hRule="exact" w:val="340"/>
        </w:trPr>
        <w:tc>
          <w:tcPr>
            <w:tcW w:w="1402" w:type="dxa"/>
            <w:vMerge/>
            <w:tcBorders>
              <w:left w:val="single" w:sz="12" w:space="0" w:color="auto"/>
              <w:bottom w:val="single" w:sz="12" w:space="0" w:color="auto"/>
              <w:right w:val="single" w:sz="12" w:space="0" w:color="auto"/>
            </w:tcBorders>
          </w:tcPr>
          <w:p w14:paraId="202EFAE0" w14:textId="77777777" w:rsidR="00B472DC" w:rsidRPr="007E190E" w:rsidRDefault="00B472DC" w:rsidP="00BC00FA">
            <w:pPr>
              <w:pStyle w:val="IATableNotes"/>
              <w:ind w:left="0"/>
              <w:rPr>
                <w:b/>
                <w:sz w:val="20"/>
              </w:rPr>
            </w:pPr>
          </w:p>
        </w:tc>
        <w:tc>
          <w:tcPr>
            <w:tcW w:w="1260" w:type="dxa"/>
            <w:vMerge/>
            <w:tcBorders>
              <w:left w:val="single" w:sz="12" w:space="0" w:color="auto"/>
              <w:bottom w:val="single" w:sz="12" w:space="0" w:color="auto"/>
              <w:right w:val="single" w:sz="12" w:space="0" w:color="auto"/>
            </w:tcBorders>
          </w:tcPr>
          <w:p w14:paraId="455B19EC" w14:textId="77777777" w:rsidR="00B472DC" w:rsidRPr="007E190E" w:rsidRDefault="00B472DC" w:rsidP="00BC00FA">
            <w:pPr>
              <w:pStyle w:val="IATableNotes"/>
              <w:ind w:left="0"/>
              <w:rPr>
                <w:b/>
                <w:sz w:val="20"/>
              </w:rPr>
            </w:pPr>
          </w:p>
        </w:tc>
        <w:tc>
          <w:tcPr>
            <w:tcW w:w="1440" w:type="dxa"/>
            <w:vMerge/>
            <w:tcBorders>
              <w:left w:val="single" w:sz="12" w:space="0" w:color="auto"/>
              <w:bottom w:val="single" w:sz="12" w:space="0" w:color="auto"/>
              <w:right w:val="single" w:sz="12" w:space="0" w:color="auto"/>
            </w:tcBorders>
          </w:tcPr>
          <w:p w14:paraId="52FE5590" w14:textId="77777777" w:rsidR="00B472DC" w:rsidRPr="007E190E" w:rsidRDefault="00B472DC" w:rsidP="00BC00FA">
            <w:pPr>
              <w:pStyle w:val="IATableNotes"/>
              <w:ind w:left="0"/>
              <w:rPr>
                <w:b/>
                <w:sz w:val="20"/>
              </w:rPr>
            </w:pPr>
          </w:p>
        </w:tc>
        <w:tc>
          <w:tcPr>
            <w:tcW w:w="1800" w:type="dxa"/>
            <w:tcBorders>
              <w:top w:val="single" w:sz="12" w:space="0" w:color="auto"/>
              <w:left w:val="single" w:sz="12" w:space="0" w:color="auto"/>
              <w:bottom w:val="single" w:sz="12" w:space="0" w:color="auto"/>
              <w:right w:val="single" w:sz="12" w:space="0" w:color="auto"/>
            </w:tcBorders>
          </w:tcPr>
          <w:p w14:paraId="0225658F" w14:textId="77777777" w:rsidR="00B472DC" w:rsidRPr="007E190E" w:rsidRDefault="00B472DC" w:rsidP="00BC00FA">
            <w:pPr>
              <w:pStyle w:val="IATableLabel"/>
              <w:rPr>
                <w:bCs/>
              </w:rPr>
            </w:pPr>
            <w:r w:rsidRPr="00304C1D">
              <w:t>Low:</w:t>
            </w:r>
            <w:r w:rsidRPr="00826F71">
              <w:t xml:space="preserve"> </w:t>
            </w:r>
            <w:r w:rsidRPr="007E190E">
              <w:rPr>
                <w:rStyle w:val="PONBLowCharChar"/>
                <w:sz w:val="20"/>
                <w:szCs w:val="22"/>
              </w:rPr>
              <w:fldChar w:fldCharType="begin">
                <w:ffData>
                  <w:name w:val="Text58"/>
                  <w:enabled/>
                  <w:calcOnExit w:val="0"/>
                  <w:textInput>
                    <w:default w:val="Optional"/>
                    <w:maxLength w:val="8"/>
                  </w:textInput>
                </w:ffData>
              </w:fldChar>
            </w:r>
            <w:r w:rsidRPr="007E190E">
              <w:rPr>
                <w:rStyle w:val="PONBLowCharChar"/>
                <w:sz w:val="20"/>
                <w:szCs w:val="22"/>
              </w:rPr>
              <w:instrText xml:space="preserve"> FORMTEXT </w:instrText>
            </w:r>
            <w:r w:rsidRPr="007E190E">
              <w:rPr>
                <w:rStyle w:val="PONBLowCharChar"/>
                <w:sz w:val="20"/>
                <w:szCs w:val="22"/>
              </w:rPr>
            </w:r>
            <w:r w:rsidRPr="007E190E">
              <w:rPr>
                <w:rStyle w:val="PONBLowCharChar"/>
                <w:sz w:val="20"/>
                <w:szCs w:val="22"/>
              </w:rPr>
              <w:fldChar w:fldCharType="separate"/>
            </w:r>
            <w:r w:rsidRPr="007E190E">
              <w:rPr>
                <w:rStyle w:val="PONBLowCharChar"/>
                <w:noProof/>
                <w:sz w:val="20"/>
                <w:szCs w:val="22"/>
              </w:rPr>
              <w:t>Optional</w:t>
            </w:r>
            <w:r w:rsidRPr="007E190E">
              <w:rPr>
                <w:rStyle w:val="PONBLowCharChar"/>
                <w:sz w:val="20"/>
                <w:szCs w:val="22"/>
              </w:rPr>
              <w:fldChar w:fldCharType="end"/>
            </w:r>
          </w:p>
        </w:tc>
        <w:tc>
          <w:tcPr>
            <w:tcW w:w="1827" w:type="dxa"/>
            <w:tcBorders>
              <w:top w:val="single" w:sz="12" w:space="0" w:color="auto"/>
              <w:left w:val="single" w:sz="12" w:space="0" w:color="auto"/>
              <w:bottom w:val="single" w:sz="12" w:space="0" w:color="auto"/>
              <w:right w:val="single" w:sz="12" w:space="0" w:color="auto"/>
            </w:tcBorders>
          </w:tcPr>
          <w:p w14:paraId="6FB5D62B" w14:textId="77777777" w:rsidR="00B472DC" w:rsidRPr="007E190E" w:rsidRDefault="00B472DC" w:rsidP="00BC00FA">
            <w:pPr>
              <w:pStyle w:val="IATableLabel"/>
              <w:rPr>
                <w:rFonts w:cs="Arial"/>
                <w:bCs/>
                <w:szCs w:val="18"/>
              </w:rPr>
            </w:pPr>
            <w:r w:rsidRPr="00304C1D">
              <w:t>High:</w:t>
            </w:r>
            <w:r w:rsidRPr="00826F71">
              <w:t xml:space="preserve"> </w:t>
            </w:r>
            <w:r w:rsidRPr="007E190E">
              <w:rPr>
                <w:rStyle w:val="PONBHighChar"/>
                <w:sz w:val="20"/>
                <w:szCs w:val="22"/>
              </w:rPr>
              <w:fldChar w:fldCharType="begin">
                <w:ffData>
                  <w:name w:val="Text59"/>
                  <w:enabled/>
                  <w:calcOnExit w:val="0"/>
                  <w:textInput>
                    <w:default w:val="Optional"/>
                    <w:maxLength w:val="8"/>
                  </w:textInput>
                </w:ffData>
              </w:fldChar>
            </w:r>
            <w:r w:rsidRPr="007E190E">
              <w:rPr>
                <w:rStyle w:val="PONBHighChar"/>
                <w:sz w:val="20"/>
                <w:szCs w:val="22"/>
              </w:rPr>
              <w:instrText xml:space="preserve"> FORMTEXT </w:instrText>
            </w:r>
            <w:r w:rsidRPr="007E190E">
              <w:rPr>
                <w:rStyle w:val="PONBHighChar"/>
                <w:sz w:val="20"/>
                <w:szCs w:val="22"/>
              </w:rPr>
            </w:r>
            <w:r w:rsidRPr="007E190E">
              <w:rPr>
                <w:rStyle w:val="PONBHighChar"/>
                <w:sz w:val="20"/>
                <w:szCs w:val="22"/>
              </w:rPr>
              <w:fldChar w:fldCharType="separate"/>
            </w:r>
            <w:r w:rsidRPr="007E190E">
              <w:rPr>
                <w:rStyle w:val="PONBHighChar"/>
                <w:noProof/>
                <w:sz w:val="20"/>
                <w:szCs w:val="22"/>
              </w:rPr>
              <w:t>Optional</w:t>
            </w:r>
            <w:r w:rsidRPr="007E190E">
              <w:rPr>
                <w:rStyle w:val="PONBHighChar"/>
                <w:sz w:val="20"/>
                <w:szCs w:val="22"/>
              </w:rPr>
              <w:fldChar w:fldCharType="end"/>
            </w:r>
          </w:p>
        </w:tc>
        <w:tc>
          <w:tcPr>
            <w:tcW w:w="2633" w:type="dxa"/>
            <w:tcBorders>
              <w:top w:val="single" w:sz="12" w:space="0" w:color="auto"/>
              <w:left w:val="single" w:sz="12" w:space="0" w:color="auto"/>
              <w:bottom w:val="single" w:sz="12" w:space="0" w:color="auto"/>
              <w:right w:val="single" w:sz="12" w:space="0" w:color="auto"/>
            </w:tcBorders>
            <w:shd w:val="clear" w:color="auto" w:fill="FFFFFF"/>
          </w:tcPr>
          <w:p w14:paraId="2DE62ACF" w14:textId="77777777" w:rsidR="00B472DC" w:rsidRPr="007E190E" w:rsidRDefault="00B472DC" w:rsidP="00BC00FA">
            <w:pPr>
              <w:pStyle w:val="IATableLabel"/>
              <w:rPr>
                <w:szCs w:val="18"/>
              </w:rPr>
            </w:pPr>
            <w:r w:rsidRPr="00304C1D">
              <w:t xml:space="preserve">Best </w:t>
            </w:r>
            <w:r>
              <w:t>E</w:t>
            </w:r>
            <w:r w:rsidRPr="00304C1D">
              <w:t>stimate:</w:t>
            </w:r>
            <w:r w:rsidRPr="00826F71">
              <w:t xml:space="preserve"> </w:t>
            </w:r>
            <w:r w:rsidRPr="007E190E">
              <w:rPr>
                <w:rStyle w:val="PONBBestEstChar"/>
                <w:sz w:val="20"/>
                <w:szCs w:val="22"/>
              </w:rPr>
              <w:fldChar w:fldCharType="begin">
                <w:ffData>
                  <w:name w:val="Text60"/>
                  <w:enabled/>
                  <w:calcOnExit w:val="0"/>
                  <w:textInput>
                    <w:maxLength w:val="8"/>
                  </w:textInput>
                </w:ffData>
              </w:fldChar>
            </w:r>
            <w:r w:rsidRPr="007E190E">
              <w:rPr>
                <w:rStyle w:val="PONBBestEstChar"/>
                <w:sz w:val="20"/>
                <w:szCs w:val="22"/>
              </w:rPr>
              <w:instrText xml:space="preserve"> FORMTEXT </w:instrText>
            </w:r>
            <w:r w:rsidRPr="007E190E">
              <w:rPr>
                <w:rStyle w:val="PONBBestEstChar"/>
                <w:sz w:val="20"/>
                <w:szCs w:val="22"/>
              </w:rPr>
            </w:r>
            <w:r w:rsidRPr="007E190E">
              <w:rPr>
                <w:rStyle w:val="PONBBestEstChar"/>
                <w:sz w:val="20"/>
                <w:szCs w:val="22"/>
              </w:rPr>
              <w:fldChar w:fldCharType="separate"/>
            </w:r>
            <w:r w:rsidRPr="007E190E">
              <w:rPr>
                <w:rStyle w:val="PONBBestEstChar"/>
                <w:noProof/>
                <w:sz w:val="20"/>
                <w:szCs w:val="22"/>
              </w:rPr>
              <w:t> </w:t>
            </w:r>
            <w:r w:rsidRPr="007E190E">
              <w:rPr>
                <w:rStyle w:val="PONBBestEstChar"/>
                <w:noProof/>
                <w:sz w:val="20"/>
                <w:szCs w:val="22"/>
              </w:rPr>
              <w:t> </w:t>
            </w:r>
            <w:r w:rsidRPr="007E190E">
              <w:rPr>
                <w:rStyle w:val="PONBBestEstChar"/>
                <w:noProof/>
                <w:sz w:val="20"/>
                <w:szCs w:val="22"/>
              </w:rPr>
              <w:t> </w:t>
            </w:r>
            <w:r w:rsidRPr="007E190E">
              <w:rPr>
                <w:rStyle w:val="PONBBestEstChar"/>
                <w:noProof/>
                <w:sz w:val="20"/>
                <w:szCs w:val="22"/>
              </w:rPr>
              <w:t> </w:t>
            </w:r>
            <w:r w:rsidRPr="007E190E">
              <w:rPr>
                <w:rStyle w:val="PONBBestEstChar"/>
                <w:noProof/>
                <w:sz w:val="20"/>
                <w:szCs w:val="22"/>
              </w:rPr>
              <w:t> </w:t>
            </w:r>
            <w:r w:rsidRPr="007E190E">
              <w:rPr>
                <w:rStyle w:val="PONBBestEstChar"/>
                <w:sz w:val="20"/>
                <w:szCs w:val="22"/>
              </w:rPr>
              <w:fldChar w:fldCharType="end"/>
            </w:r>
          </w:p>
        </w:tc>
      </w:tr>
    </w:tbl>
    <w:p w14:paraId="45538209" w14:textId="77777777" w:rsidR="00B472DC" w:rsidRDefault="00B472DC" w:rsidP="00B472DC">
      <w:pPr>
        <w:pStyle w:val="IASpacer"/>
      </w:pPr>
    </w:p>
    <w:tbl>
      <w:tblPr>
        <w:tblW w:w="5062" w:type="pct"/>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109"/>
        <w:gridCol w:w="1938"/>
        <w:gridCol w:w="786"/>
        <w:gridCol w:w="2848"/>
        <w:gridCol w:w="1765"/>
        <w:gridCol w:w="855"/>
      </w:tblGrid>
      <w:tr w:rsidR="00B472DC" w:rsidRPr="007E190E" w14:paraId="30DC4DCD" w14:textId="77777777" w:rsidTr="00BC00FA">
        <w:trPr>
          <w:trHeight w:hRule="exact" w:val="567"/>
        </w:trPr>
        <w:tc>
          <w:tcPr>
            <w:tcW w:w="2122" w:type="dxa"/>
            <w:tcBorders>
              <w:top w:val="single" w:sz="12" w:space="0" w:color="auto"/>
              <w:bottom w:val="single" w:sz="12" w:space="0" w:color="auto"/>
              <w:right w:val="single" w:sz="12" w:space="0" w:color="auto"/>
            </w:tcBorders>
            <w:shd w:val="clear" w:color="auto" w:fill="FFFFFF"/>
          </w:tcPr>
          <w:p w14:paraId="2FB06B9C" w14:textId="77777777" w:rsidR="00B472DC" w:rsidRPr="007E190E" w:rsidRDefault="00B472DC" w:rsidP="00BC00FA">
            <w:pPr>
              <w:pStyle w:val="IATableLabel"/>
              <w:rPr>
                <w:sz w:val="24"/>
                <w:szCs w:val="24"/>
              </w:rPr>
            </w:pPr>
            <w:r w:rsidRPr="007E190E">
              <w:rPr>
                <w:sz w:val="24"/>
                <w:szCs w:val="24"/>
              </w:rPr>
              <w:t>COSTS (£m)</w:t>
            </w:r>
          </w:p>
        </w:tc>
        <w:tc>
          <w:tcPr>
            <w:tcW w:w="2739" w:type="dxa"/>
            <w:gridSpan w:val="2"/>
            <w:tcBorders>
              <w:top w:val="single" w:sz="12" w:space="0" w:color="auto"/>
              <w:left w:val="single" w:sz="12" w:space="0" w:color="auto"/>
              <w:right w:val="single" w:sz="12" w:space="0" w:color="auto"/>
            </w:tcBorders>
          </w:tcPr>
          <w:p w14:paraId="1E1D1F6F" w14:textId="77777777" w:rsidR="00B472DC" w:rsidRPr="00826F71" w:rsidRDefault="00B472DC" w:rsidP="00BC00FA">
            <w:pPr>
              <w:pStyle w:val="IATableLabel"/>
              <w:tabs>
                <w:tab w:val="right" w:pos="1800"/>
                <w:tab w:val="center" w:pos="2340"/>
              </w:tabs>
              <w:jc w:val="right"/>
            </w:pPr>
            <w:r w:rsidRPr="00826F71">
              <w:t xml:space="preserve">Total Transition </w:t>
            </w:r>
            <w:r>
              <w:br/>
            </w:r>
            <w:r>
              <w:tab/>
            </w:r>
            <w:r w:rsidRPr="007E190E">
              <w:rPr>
                <w:b w:val="0"/>
                <w:sz w:val="18"/>
                <w:szCs w:val="18"/>
              </w:rPr>
              <w:t>(Constant Price)</w:t>
            </w:r>
            <w:r>
              <w:tab/>
            </w:r>
            <w:r w:rsidRPr="007E190E">
              <w:rPr>
                <w:b w:val="0"/>
                <w:sz w:val="18"/>
                <w:szCs w:val="18"/>
              </w:rPr>
              <w:t>Yea</w:t>
            </w:r>
            <w:r w:rsidRPr="007E190E">
              <w:rPr>
                <w:b w:val="0"/>
                <w:bCs/>
                <w:sz w:val="18"/>
                <w:szCs w:val="18"/>
              </w:rPr>
              <w:t>r</w:t>
            </w:r>
            <w:r w:rsidRPr="007E190E">
              <w:rPr>
                <w:b w:val="0"/>
                <w:sz w:val="18"/>
                <w:szCs w:val="18"/>
              </w:rPr>
              <w:t>s</w:t>
            </w:r>
          </w:p>
          <w:p w14:paraId="5E4B9E0B" w14:textId="77777777" w:rsidR="00B472DC" w:rsidRPr="00826F71" w:rsidRDefault="00B472DC" w:rsidP="00BC00FA">
            <w:pPr>
              <w:pStyle w:val="IATableLabel"/>
              <w:jc w:val="right"/>
            </w:pPr>
            <w:r>
              <w:br/>
            </w:r>
          </w:p>
        </w:tc>
        <w:tc>
          <w:tcPr>
            <w:tcW w:w="2865" w:type="dxa"/>
            <w:tcBorders>
              <w:top w:val="single" w:sz="12" w:space="0" w:color="auto"/>
              <w:left w:val="single" w:sz="12" w:space="0" w:color="auto"/>
              <w:bottom w:val="single" w:sz="12" w:space="0" w:color="auto"/>
              <w:right w:val="single" w:sz="12" w:space="0" w:color="auto"/>
            </w:tcBorders>
          </w:tcPr>
          <w:p w14:paraId="15FAF918" w14:textId="77777777" w:rsidR="00B472DC" w:rsidRPr="007E190E" w:rsidRDefault="00B472DC" w:rsidP="00BC00FA">
            <w:pPr>
              <w:pStyle w:val="IATableLabel"/>
              <w:jc w:val="right"/>
              <w:rPr>
                <w:rFonts w:cs="Arial"/>
                <w:bCs/>
              </w:rPr>
            </w:pPr>
            <w:r w:rsidRPr="00826F71">
              <w:t>Average Annual</w:t>
            </w:r>
            <w:r w:rsidRPr="000C031E">
              <w:t xml:space="preserve"> </w:t>
            </w:r>
            <w:r>
              <w:br/>
            </w:r>
            <w:r w:rsidRPr="007E190E">
              <w:rPr>
                <w:b w:val="0"/>
                <w:sz w:val="18"/>
                <w:szCs w:val="18"/>
              </w:rPr>
              <w:t xml:space="preserve">(excl. Transition) </w:t>
            </w:r>
            <w:r w:rsidRPr="007E190E">
              <w:rPr>
                <w:rFonts w:cs="Arial"/>
                <w:b w:val="0"/>
                <w:bCs/>
                <w:sz w:val="18"/>
                <w:szCs w:val="18"/>
              </w:rPr>
              <w:t>(Constant Price)</w:t>
            </w:r>
          </w:p>
        </w:tc>
        <w:tc>
          <w:tcPr>
            <w:tcW w:w="2636" w:type="dxa"/>
            <w:gridSpan w:val="2"/>
            <w:tcBorders>
              <w:top w:val="single" w:sz="12" w:space="0" w:color="auto"/>
              <w:left w:val="single" w:sz="12" w:space="0" w:color="auto"/>
              <w:bottom w:val="single" w:sz="12" w:space="0" w:color="auto"/>
            </w:tcBorders>
          </w:tcPr>
          <w:p w14:paraId="5832D32D" w14:textId="77777777" w:rsidR="00B472DC" w:rsidRPr="00826F71" w:rsidRDefault="00B472DC" w:rsidP="00BC00FA">
            <w:pPr>
              <w:pStyle w:val="IATableLabel"/>
              <w:jc w:val="right"/>
            </w:pPr>
            <w:r w:rsidRPr="00826F71">
              <w:t>Total Cost</w:t>
            </w:r>
            <w:r w:rsidRPr="007E190E">
              <w:rPr>
                <w:b w:val="0"/>
                <w:sz w:val="18"/>
                <w:szCs w:val="18"/>
              </w:rPr>
              <w:t xml:space="preserve"> </w:t>
            </w:r>
            <w:r w:rsidRPr="007E190E">
              <w:rPr>
                <w:b w:val="0"/>
                <w:sz w:val="18"/>
                <w:szCs w:val="18"/>
              </w:rPr>
              <w:br/>
              <w:t>(Present Value)</w:t>
            </w:r>
          </w:p>
        </w:tc>
      </w:tr>
      <w:tr w:rsidR="00B472DC" w:rsidRPr="007E190E" w14:paraId="396A920E" w14:textId="77777777" w:rsidTr="00BC00FA">
        <w:trPr>
          <w:trHeight w:hRule="exact" w:val="348"/>
        </w:trPr>
        <w:tc>
          <w:tcPr>
            <w:tcW w:w="2122" w:type="dxa"/>
            <w:tcBorders>
              <w:top w:val="single" w:sz="12" w:space="0" w:color="auto"/>
              <w:bottom w:val="single" w:sz="12" w:space="0" w:color="auto"/>
              <w:right w:val="single" w:sz="12" w:space="0" w:color="auto"/>
            </w:tcBorders>
            <w:vAlign w:val="center"/>
          </w:tcPr>
          <w:p w14:paraId="0EA16CE5" w14:textId="77777777" w:rsidR="00B472DC" w:rsidRPr="00F63895" w:rsidRDefault="00B472DC" w:rsidP="00BC00FA">
            <w:pPr>
              <w:pStyle w:val="IATableLabel"/>
            </w:pPr>
            <w:r w:rsidRPr="00F63895">
              <w:t xml:space="preserve">Low </w:t>
            </w:r>
          </w:p>
        </w:tc>
        <w:tc>
          <w:tcPr>
            <w:tcW w:w="1949" w:type="dxa"/>
            <w:tcBorders>
              <w:top w:val="single" w:sz="12" w:space="0" w:color="auto"/>
              <w:left w:val="single" w:sz="12" w:space="0" w:color="auto"/>
              <w:bottom w:val="single" w:sz="12" w:space="0" w:color="auto"/>
              <w:right w:val="single" w:sz="12" w:space="0" w:color="auto"/>
            </w:tcBorders>
            <w:vAlign w:val="center"/>
          </w:tcPr>
          <w:p w14:paraId="61DB423D" w14:textId="77777777" w:rsidR="00B472DC" w:rsidRPr="007E190E" w:rsidRDefault="00B472DC" w:rsidP="00BC00FA">
            <w:pPr>
              <w:pStyle w:val="POTTCostsLow"/>
              <w:rPr>
                <w:sz w:val="20"/>
              </w:rPr>
            </w:pPr>
            <w:r w:rsidRPr="007E190E">
              <w:rPr>
                <w:sz w:val="20"/>
              </w:rPr>
              <w:fldChar w:fldCharType="begin">
                <w:ffData>
                  <w:name w:val="Text45"/>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c>
          <w:tcPr>
            <w:tcW w:w="790" w:type="dxa"/>
            <w:vMerge w:val="restart"/>
            <w:tcBorders>
              <w:top w:val="single" w:sz="12" w:space="0" w:color="auto"/>
              <w:left w:val="single" w:sz="12" w:space="0" w:color="auto"/>
              <w:right w:val="single" w:sz="12" w:space="0" w:color="auto"/>
            </w:tcBorders>
            <w:vAlign w:val="center"/>
          </w:tcPr>
          <w:p w14:paraId="33890F14" w14:textId="77777777" w:rsidR="00B472DC" w:rsidRPr="007E190E" w:rsidRDefault="00B472DC" w:rsidP="00BC00FA">
            <w:pPr>
              <w:pStyle w:val="POTTCostsYear"/>
              <w:rPr>
                <w:sz w:val="20"/>
                <w:szCs w:val="20"/>
              </w:rPr>
            </w:pPr>
            <w:r w:rsidRPr="007E190E">
              <w:rPr>
                <w:sz w:val="20"/>
                <w:szCs w:val="20"/>
              </w:rPr>
              <w:fldChar w:fldCharType="begin">
                <w:ffData>
                  <w:name w:val="Text48"/>
                  <w:enabled/>
                  <w:calcOnExit w:val="0"/>
                  <w:textInput>
                    <w:maxLength w:val="3"/>
                  </w:textInput>
                </w:ffData>
              </w:fldChar>
            </w:r>
            <w:r w:rsidRPr="007E190E">
              <w:rPr>
                <w:sz w:val="20"/>
                <w:szCs w:val="20"/>
              </w:rPr>
              <w:instrText xml:space="preserve"> FORMTEXT </w:instrText>
            </w:r>
            <w:r w:rsidRPr="007E190E">
              <w:rPr>
                <w:sz w:val="20"/>
                <w:szCs w:val="20"/>
              </w:rPr>
            </w:r>
            <w:r w:rsidRPr="007E190E">
              <w:rPr>
                <w:sz w:val="20"/>
                <w:szCs w:val="20"/>
              </w:rPr>
              <w:fldChar w:fldCharType="separate"/>
            </w:r>
            <w:r w:rsidRPr="007E190E">
              <w:rPr>
                <w:noProof/>
                <w:sz w:val="20"/>
                <w:szCs w:val="20"/>
              </w:rPr>
              <w:t> </w:t>
            </w:r>
            <w:r w:rsidRPr="007E190E">
              <w:rPr>
                <w:noProof/>
                <w:sz w:val="20"/>
                <w:szCs w:val="20"/>
              </w:rPr>
              <w:t> </w:t>
            </w:r>
            <w:r w:rsidRPr="007E190E">
              <w:rPr>
                <w:noProof/>
                <w:sz w:val="20"/>
                <w:szCs w:val="20"/>
              </w:rPr>
              <w:t> </w:t>
            </w:r>
            <w:r w:rsidRPr="007E190E">
              <w:rPr>
                <w:sz w:val="20"/>
                <w:szCs w:val="20"/>
              </w:rPr>
              <w:fldChar w:fldCharType="end"/>
            </w:r>
          </w:p>
        </w:tc>
        <w:tc>
          <w:tcPr>
            <w:tcW w:w="2865" w:type="dxa"/>
            <w:tcBorders>
              <w:top w:val="single" w:sz="12" w:space="0" w:color="auto"/>
              <w:left w:val="single" w:sz="12" w:space="0" w:color="auto"/>
              <w:bottom w:val="single" w:sz="12" w:space="0" w:color="auto"/>
              <w:right w:val="single" w:sz="12" w:space="0" w:color="auto"/>
            </w:tcBorders>
            <w:vAlign w:val="center"/>
          </w:tcPr>
          <w:p w14:paraId="2C1441D7" w14:textId="77777777" w:rsidR="00B472DC" w:rsidRPr="007E190E" w:rsidRDefault="00B472DC" w:rsidP="00BC00FA">
            <w:pPr>
              <w:pStyle w:val="POAACostsLow"/>
              <w:rPr>
                <w:sz w:val="20"/>
              </w:rPr>
            </w:pPr>
            <w:r w:rsidRPr="007E190E">
              <w:rPr>
                <w:sz w:val="20"/>
              </w:rPr>
              <w:fldChar w:fldCharType="begin">
                <w:ffData>
                  <w:name w:val="Text49"/>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c>
          <w:tcPr>
            <w:tcW w:w="2636" w:type="dxa"/>
            <w:gridSpan w:val="2"/>
            <w:tcBorders>
              <w:top w:val="single" w:sz="12" w:space="0" w:color="auto"/>
              <w:left w:val="single" w:sz="12" w:space="0" w:color="auto"/>
              <w:bottom w:val="single" w:sz="12" w:space="0" w:color="auto"/>
            </w:tcBorders>
            <w:vAlign w:val="center"/>
          </w:tcPr>
          <w:p w14:paraId="202EAB33" w14:textId="77777777" w:rsidR="00B472DC" w:rsidRPr="007E190E" w:rsidRDefault="00B472DC" w:rsidP="00BC00FA">
            <w:pPr>
              <w:pStyle w:val="POTCCostsLow"/>
              <w:rPr>
                <w:sz w:val="20"/>
              </w:rPr>
            </w:pPr>
            <w:r w:rsidRPr="007E190E">
              <w:rPr>
                <w:sz w:val="20"/>
              </w:rPr>
              <w:fldChar w:fldCharType="begin">
                <w:ffData>
                  <w:name w:val="Text52"/>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r>
      <w:tr w:rsidR="00B472DC" w:rsidRPr="007E190E" w14:paraId="77B16F19" w14:textId="77777777" w:rsidTr="00BC00FA">
        <w:trPr>
          <w:trHeight w:hRule="exact" w:val="348"/>
        </w:trPr>
        <w:tc>
          <w:tcPr>
            <w:tcW w:w="2122" w:type="dxa"/>
            <w:tcBorders>
              <w:top w:val="single" w:sz="12" w:space="0" w:color="auto"/>
              <w:bottom w:val="single" w:sz="12" w:space="0" w:color="auto"/>
              <w:right w:val="single" w:sz="12" w:space="0" w:color="auto"/>
            </w:tcBorders>
            <w:vAlign w:val="center"/>
          </w:tcPr>
          <w:p w14:paraId="4871E459" w14:textId="77777777" w:rsidR="00B472DC" w:rsidRPr="00F63895" w:rsidRDefault="00B472DC" w:rsidP="00BC00FA">
            <w:pPr>
              <w:pStyle w:val="IATableLabel"/>
            </w:pPr>
            <w:r w:rsidRPr="00F63895">
              <w:t xml:space="preserve">High </w:t>
            </w:r>
          </w:p>
        </w:tc>
        <w:tc>
          <w:tcPr>
            <w:tcW w:w="1949" w:type="dxa"/>
            <w:tcBorders>
              <w:top w:val="single" w:sz="12" w:space="0" w:color="auto"/>
              <w:left w:val="single" w:sz="12" w:space="0" w:color="auto"/>
              <w:bottom w:val="single" w:sz="12" w:space="0" w:color="auto"/>
              <w:right w:val="single" w:sz="12" w:space="0" w:color="auto"/>
            </w:tcBorders>
            <w:vAlign w:val="center"/>
          </w:tcPr>
          <w:p w14:paraId="54520C30" w14:textId="77777777" w:rsidR="00B472DC" w:rsidRPr="007E190E" w:rsidRDefault="00B472DC" w:rsidP="00BC00FA">
            <w:pPr>
              <w:pStyle w:val="POTTCostsHigh"/>
              <w:rPr>
                <w:sz w:val="20"/>
              </w:rPr>
            </w:pPr>
            <w:r w:rsidRPr="007E190E">
              <w:rPr>
                <w:sz w:val="20"/>
              </w:rPr>
              <w:fldChar w:fldCharType="begin">
                <w:ffData>
                  <w:name w:val="Text46"/>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c>
          <w:tcPr>
            <w:tcW w:w="790" w:type="dxa"/>
            <w:vMerge/>
            <w:tcBorders>
              <w:left w:val="single" w:sz="12" w:space="0" w:color="auto"/>
              <w:right w:val="single" w:sz="12" w:space="0" w:color="auto"/>
            </w:tcBorders>
            <w:shd w:val="clear" w:color="auto" w:fill="FFFFFF"/>
            <w:vAlign w:val="center"/>
          </w:tcPr>
          <w:p w14:paraId="6AAA6FD1" w14:textId="77777777" w:rsidR="00B472DC" w:rsidRPr="007E190E" w:rsidRDefault="00B472DC" w:rsidP="00BC00FA">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vAlign w:val="center"/>
          </w:tcPr>
          <w:p w14:paraId="279091B9" w14:textId="77777777" w:rsidR="00B472DC" w:rsidRPr="007E190E" w:rsidRDefault="00B472DC" w:rsidP="00BC00FA">
            <w:pPr>
              <w:pStyle w:val="POAACostsHigh"/>
              <w:rPr>
                <w:sz w:val="20"/>
              </w:rPr>
            </w:pPr>
            <w:r w:rsidRPr="007E190E">
              <w:rPr>
                <w:sz w:val="20"/>
              </w:rPr>
              <w:fldChar w:fldCharType="begin">
                <w:ffData>
                  <w:name w:val="Text50"/>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c>
          <w:tcPr>
            <w:tcW w:w="2636" w:type="dxa"/>
            <w:gridSpan w:val="2"/>
            <w:tcBorders>
              <w:top w:val="single" w:sz="12" w:space="0" w:color="auto"/>
              <w:left w:val="single" w:sz="12" w:space="0" w:color="auto"/>
              <w:bottom w:val="single" w:sz="12" w:space="0" w:color="auto"/>
            </w:tcBorders>
            <w:vAlign w:val="center"/>
          </w:tcPr>
          <w:p w14:paraId="70333627" w14:textId="77777777" w:rsidR="00B472DC" w:rsidRPr="007E190E" w:rsidRDefault="00B472DC" w:rsidP="00BC00FA">
            <w:pPr>
              <w:pStyle w:val="POTCCostsHigh"/>
              <w:rPr>
                <w:sz w:val="20"/>
              </w:rPr>
            </w:pPr>
            <w:r w:rsidRPr="007E190E">
              <w:rPr>
                <w:sz w:val="20"/>
              </w:rPr>
              <w:fldChar w:fldCharType="begin">
                <w:ffData>
                  <w:name w:val="Text53"/>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r>
      <w:tr w:rsidR="00B472DC" w:rsidRPr="007E190E" w14:paraId="06531D07" w14:textId="77777777" w:rsidTr="00BC00FA">
        <w:trPr>
          <w:trHeight w:hRule="exact" w:val="348"/>
        </w:trPr>
        <w:tc>
          <w:tcPr>
            <w:tcW w:w="2122" w:type="dxa"/>
            <w:tcBorders>
              <w:top w:val="single" w:sz="12" w:space="0" w:color="auto"/>
              <w:bottom w:val="single" w:sz="12" w:space="0" w:color="auto"/>
              <w:right w:val="single" w:sz="12" w:space="0" w:color="auto"/>
            </w:tcBorders>
            <w:shd w:val="clear" w:color="auto" w:fill="FFFFFF"/>
            <w:vAlign w:val="center"/>
          </w:tcPr>
          <w:p w14:paraId="6D0018E0" w14:textId="77777777" w:rsidR="00B472DC" w:rsidRPr="00F63895" w:rsidRDefault="00B472DC" w:rsidP="00BC00FA">
            <w:pPr>
              <w:pStyle w:val="IATableLabel"/>
            </w:pPr>
            <w:r w:rsidRPr="00F63895">
              <w:t>Best Estimate</w:t>
            </w:r>
          </w:p>
          <w:p w14:paraId="37C740E3" w14:textId="77777777" w:rsidR="00B472DC" w:rsidRPr="007E190E" w:rsidRDefault="00B472DC" w:rsidP="00BC00FA">
            <w:pPr>
              <w:pStyle w:val="IATableNotes"/>
              <w:spacing w:beforeLines="40" w:before="96"/>
              <w:ind w:left="0" w:right="-22"/>
              <w:jc w:val="center"/>
              <w:rPr>
                <w:rFonts w:cs="Arial"/>
                <w:b/>
                <w:sz w:val="20"/>
              </w:rPr>
            </w:pPr>
          </w:p>
        </w:tc>
        <w:tc>
          <w:tcPr>
            <w:tcW w:w="1949" w:type="dxa"/>
            <w:tcBorders>
              <w:top w:val="single" w:sz="12" w:space="0" w:color="auto"/>
              <w:left w:val="single" w:sz="12" w:space="0" w:color="auto"/>
              <w:bottom w:val="single" w:sz="12" w:space="0" w:color="auto"/>
              <w:right w:val="single" w:sz="12" w:space="0" w:color="auto"/>
            </w:tcBorders>
            <w:shd w:val="clear" w:color="auto" w:fill="FFFFFF"/>
            <w:vAlign w:val="center"/>
          </w:tcPr>
          <w:p w14:paraId="72111383" w14:textId="77777777" w:rsidR="00B472DC" w:rsidRPr="007E190E" w:rsidRDefault="00B472DC" w:rsidP="00BC00FA">
            <w:pPr>
              <w:pStyle w:val="POTTCostsBest"/>
              <w:rPr>
                <w:sz w:val="20"/>
              </w:rPr>
            </w:pPr>
            <w:r w:rsidRPr="007E190E">
              <w:rPr>
                <w:sz w:val="20"/>
              </w:rPr>
              <w:fldChar w:fldCharType="begin">
                <w:ffData>
                  <w:name w:val="Text51"/>
                  <w:enabled/>
                  <w:calcOnExit w:val="0"/>
                  <w:textInput>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 </w:t>
            </w:r>
            <w:r w:rsidRPr="007E190E">
              <w:rPr>
                <w:noProof/>
                <w:sz w:val="20"/>
              </w:rPr>
              <w:t> </w:t>
            </w:r>
            <w:r w:rsidRPr="007E190E">
              <w:rPr>
                <w:noProof/>
                <w:sz w:val="20"/>
              </w:rPr>
              <w:t> </w:t>
            </w:r>
            <w:r w:rsidRPr="007E190E">
              <w:rPr>
                <w:noProof/>
                <w:sz w:val="20"/>
              </w:rPr>
              <w:t> </w:t>
            </w:r>
            <w:r w:rsidRPr="007E190E">
              <w:rPr>
                <w:noProof/>
                <w:sz w:val="20"/>
              </w:rPr>
              <w:t> </w:t>
            </w:r>
            <w:r w:rsidRPr="007E190E">
              <w:rPr>
                <w:sz w:val="20"/>
              </w:rPr>
              <w:fldChar w:fldCharType="end"/>
            </w:r>
          </w:p>
        </w:tc>
        <w:tc>
          <w:tcPr>
            <w:tcW w:w="790" w:type="dxa"/>
            <w:vMerge/>
            <w:tcBorders>
              <w:left w:val="single" w:sz="12" w:space="0" w:color="auto"/>
              <w:right w:val="single" w:sz="12" w:space="0" w:color="auto"/>
            </w:tcBorders>
            <w:shd w:val="clear" w:color="auto" w:fill="FFFFFF"/>
            <w:vAlign w:val="center"/>
          </w:tcPr>
          <w:p w14:paraId="14267AA2" w14:textId="77777777" w:rsidR="00B472DC" w:rsidRPr="007E190E" w:rsidRDefault="00B472DC" w:rsidP="00BC00FA">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shd w:val="clear" w:color="auto" w:fill="FFFFFF"/>
            <w:vAlign w:val="center"/>
          </w:tcPr>
          <w:p w14:paraId="233B5E03" w14:textId="77777777" w:rsidR="00B472DC" w:rsidRPr="007E190E" w:rsidRDefault="00B472DC" w:rsidP="00BC00FA">
            <w:pPr>
              <w:pStyle w:val="POAACostsBest"/>
              <w:rPr>
                <w:sz w:val="20"/>
              </w:rPr>
            </w:pPr>
            <w:r w:rsidRPr="007E190E">
              <w:rPr>
                <w:sz w:val="20"/>
              </w:rPr>
              <w:fldChar w:fldCharType="begin">
                <w:ffData>
                  <w:name w:val="Text51"/>
                  <w:enabled/>
                  <w:calcOnExit w:val="0"/>
                  <w:textInput>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 </w:t>
            </w:r>
            <w:r w:rsidRPr="007E190E">
              <w:rPr>
                <w:noProof/>
                <w:sz w:val="20"/>
              </w:rPr>
              <w:t> </w:t>
            </w:r>
            <w:r w:rsidRPr="007E190E">
              <w:rPr>
                <w:noProof/>
                <w:sz w:val="20"/>
              </w:rPr>
              <w:t> </w:t>
            </w:r>
            <w:r w:rsidRPr="007E190E">
              <w:rPr>
                <w:noProof/>
                <w:sz w:val="20"/>
              </w:rPr>
              <w:t> </w:t>
            </w:r>
            <w:r w:rsidRPr="007E190E">
              <w:rPr>
                <w:noProof/>
                <w:sz w:val="20"/>
              </w:rPr>
              <w:t> </w:t>
            </w:r>
            <w:r w:rsidRPr="007E190E">
              <w:rPr>
                <w:sz w:val="20"/>
              </w:rPr>
              <w:fldChar w:fldCharType="end"/>
            </w:r>
          </w:p>
        </w:tc>
        <w:tc>
          <w:tcPr>
            <w:tcW w:w="2636" w:type="dxa"/>
            <w:gridSpan w:val="2"/>
            <w:tcBorders>
              <w:top w:val="single" w:sz="12" w:space="0" w:color="auto"/>
              <w:left w:val="single" w:sz="12" w:space="0" w:color="auto"/>
              <w:bottom w:val="single" w:sz="12" w:space="0" w:color="auto"/>
            </w:tcBorders>
            <w:shd w:val="clear" w:color="auto" w:fill="FFFFFF"/>
            <w:vAlign w:val="center"/>
          </w:tcPr>
          <w:p w14:paraId="379265AB" w14:textId="77777777" w:rsidR="00B472DC" w:rsidRPr="007E190E" w:rsidRDefault="00B472DC" w:rsidP="00BC00FA">
            <w:pPr>
              <w:pStyle w:val="POTCCostsBest"/>
              <w:rPr>
                <w:sz w:val="20"/>
              </w:rPr>
            </w:pPr>
            <w:r w:rsidRPr="007E190E">
              <w:rPr>
                <w:sz w:val="20"/>
              </w:rPr>
              <w:fldChar w:fldCharType="begin">
                <w:ffData>
                  <w:name w:val="Text54"/>
                  <w:enabled/>
                  <w:calcOnExit w:val="0"/>
                  <w:textInput>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 </w:t>
            </w:r>
            <w:r w:rsidRPr="007E190E">
              <w:rPr>
                <w:noProof/>
                <w:sz w:val="20"/>
              </w:rPr>
              <w:t> </w:t>
            </w:r>
            <w:r w:rsidRPr="007E190E">
              <w:rPr>
                <w:noProof/>
                <w:sz w:val="20"/>
              </w:rPr>
              <w:t> </w:t>
            </w:r>
            <w:r w:rsidRPr="007E190E">
              <w:rPr>
                <w:noProof/>
                <w:sz w:val="20"/>
              </w:rPr>
              <w:t> </w:t>
            </w:r>
            <w:r w:rsidRPr="007E190E">
              <w:rPr>
                <w:noProof/>
                <w:sz w:val="20"/>
              </w:rPr>
              <w:t> </w:t>
            </w:r>
            <w:r w:rsidRPr="007E190E">
              <w:rPr>
                <w:sz w:val="20"/>
              </w:rPr>
              <w:fldChar w:fldCharType="end"/>
            </w:r>
          </w:p>
        </w:tc>
      </w:tr>
      <w:tr w:rsidR="00B472DC" w:rsidRPr="00826F71" w14:paraId="7AACFCB0" w14:textId="77777777" w:rsidTr="000B308F">
        <w:trPr>
          <w:trHeight w:hRule="exact" w:val="782"/>
        </w:trPr>
        <w:tc>
          <w:tcPr>
            <w:tcW w:w="10362" w:type="dxa"/>
            <w:gridSpan w:val="6"/>
            <w:tcBorders>
              <w:bottom w:val="single" w:sz="12" w:space="0" w:color="auto"/>
            </w:tcBorders>
          </w:tcPr>
          <w:p w14:paraId="3D8D4918" w14:textId="77777777" w:rsidR="00B472DC" w:rsidRPr="007E190E" w:rsidRDefault="00B472DC" w:rsidP="00BC00FA">
            <w:pPr>
              <w:pStyle w:val="IAPOQ1"/>
              <w:rPr>
                <w:szCs w:val="22"/>
              </w:rPr>
            </w:pPr>
            <w:r w:rsidRPr="00544292">
              <w:t xml:space="preserve">Description and scale of </w:t>
            </w:r>
            <w:r w:rsidRPr="00826F71">
              <w:t>key monetised costs</w:t>
            </w:r>
            <w:r w:rsidRPr="00544292">
              <w:t xml:space="preserve"> by ‘main affected groups’ </w:t>
            </w:r>
          </w:p>
          <w:p w14:paraId="7039F65B" w14:textId="77777777" w:rsidR="00B472DC" w:rsidRPr="00826F71" w:rsidRDefault="00B472DC" w:rsidP="00BC00FA">
            <w:pPr>
              <w:pStyle w:val="IAPOA1"/>
            </w:pPr>
          </w:p>
        </w:tc>
      </w:tr>
      <w:tr w:rsidR="00B472DC" w:rsidRPr="00826F71" w14:paraId="5580042F" w14:textId="77777777" w:rsidTr="00BC00FA">
        <w:trPr>
          <w:trHeight w:hRule="exact" w:val="1701"/>
        </w:trPr>
        <w:tc>
          <w:tcPr>
            <w:tcW w:w="10362" w:type="dxa"/>
            <w:gridSpan w:val="6"/>
            <w:tcBorders>
              <w:top w:val="single" w:sz="12" w:space="0" w:color="auto"/>
              <w:bottom w:val="single" w:sz="12" w:space="0" w:color="auto"/>
            </w:tcBorders>
          </w:tcPr>
          <w:p w14:paraId="5966E10D" w14:textId="77777777" w:rsidR="00B472DC" w:rsidRPr="007E190E" w:rsidRDefault="00B472DC" w:rsidP="00BC00FA">
            <w:pPr>
              <w:pStyle w:val="IAPOQ2"/>
              <w:rPr>
                <w:szCs w:val="22"/>
              </w:rPr>
            </w:pPr>
            <w:r w:rsidRPr="00544292">
              <w:t>Other</w:t>
            </w:r>
            <w:r w:rsidRPr="00826F71">
              <w:t xml:space="preserve"> key non-monetised costs</w:t>
            </w:r>
            <w:r w:rsidRPr="00544292">
              <w:t xml:space="preserve"> by ‘main affected groups’ </w:t>
            </w:r>
          </w:p>
          <w:p w14:paraId="5AD485F7" w14:textId="77777777" w:rsidR="00B472DC" w:rsidRDefault="008B5022" w:rsidP="00BC00FA">
            <w:pPr>
              <w:pStyle w:val="IAPOA2"/>
              <w:rPr>
                <w:szCs w:val="22"/>
              </w:rPr>
            </w:pPr>
            <w:r>
              <w:rPr>
                <w:szCs w:val="22"/>
              </w:rPr>
              <w:t>Transitional costs: Negligible training required for the administrative support within the WTU.</w:t>
            </w:r>
          </w:p>
          <w:p w14:paraId="26243132" w14:textId="77777777" w:rsidR="008B5022" w:rsidRPr="007E190E" w:rsidRDefault="008B5022" w:rsidP="00BC00FA">
            <w:pPr>
              <w:pStyle w:val="IAPOA2"/>
              <w:rPr>
                <w:szCs w:val="22"/>
              </w:rPr>
            </w:pPr>
            <w:r>
              <w:rPr>
                <w:szCs w:val="22"/>
              </w:rPr>
              <w:t>Some new guidance material to be drafted – but minimal; Legislative drafting required</w:t>
            </w:r>
            <w:r w:rsidR="00442FD5">
              <w:rPr>
                <w:szCs w:val="22"/>
              </w:rPr>
              <w:t>.</w:t>
            </w:r>
          </w:p>
        </w:tc>
      </w:tr>
      <w:tr w:rsidR="00B472DC" w:rsidRPr="007E190E" w14:paraId="136BB1B2" w14:textId="77777777" w:rsidTr="00BC00FA">
        <w:trPr>
          <w:trHeight w:hRule="exact" w:val="567"/>
        </w:trPr>
        <w:tc>
          <w:tcPr>
            <w:tcW w:w="2122" w:type="dxa"/>
            <w:tcBorders>
              <w:bottom w:val="single" w:sz="12" w:space="0" w:color="auto"/>
              <w:right w:val="single" w:sz="12" w:space="0" w:color="auto"/>
            </w:tcBorders>
            <w:shd w:val="clear" w:color="auto" w:fill="FFFFFF"/>
          </w:tcPr>
          <w:p w14:paraId="2B2D61AE" w14:textId="77777777" w:rsidR="00B472DC" w:rsidRPr="007E190E" w:rsidRDefault="00B472DC" w:rsidP="00BC00FA">
            <w:pPr>
              <w:pStyle w:val="IATableLabel"/>
              <w:rPr>
                <w:sz w:val="24"/>
                <w:szCs w:val="24"/>
              </w:rPr>
            </w:pPr>
            <w:r w:rsidRPr="007E190E">
              <w:rPr>
                <w:sz w:val="24"/>
                <w:szCs w:val="24"/>
              </w:rPr>
              <w:t xml:space="preserve">BENEFITS </w:t>
            </w:r>
            <w:r>
              <w:rPr>
                <w:sz w:val="24"/>
                <w:szCs w:val="24"/>
              </w:rPr>
              <w:t>(</w:t>
            </w:r>
            <w:r w:rsidRPr="007E190E">
              <w:rPr>
                <w:sz w:val="24"/>
                <w:szCs w:val="24"/>
              </w:rPr>
              <w:t>£m)</w:t>
            </w:r>
          </w:p>
        </w:tc>
        <w:tc>
          <w:tcPr>
            <w:tcW w:w="2739" w:type="dxa"/>
            <w:gridSpan w:val="2"/>
            <w:tcBorders>
              <w:top w:val="single" w:sz="12" w:space="0" w:color="auto"/>
              <w:left w:val="single" w:sz="12" w:space="0" w:color="auto"/>
              <w:right w:val="single" w:sz="12" w:space="0" w:color="auto"/>
            </w:tcBorders>
          </w:tcPr>
          <w:p w14:paraId="07092B8D" w14:textId="77777777" w:rsidR="00B472DC" w:rsidRPr="00826F71" w:rsidRDefault="00B472DC" w:rsidP="00BC00FA">
            <w:pPr>
              <w:pStyle w:val="IATableLabel"/>
              <w:tabs>
                <w:tab w:val="right" w:pos="1797"/>
                <w:tab w:val="center" w:pos="2340"/>
              </w:tabs>
              <w:jc w:val="right"/>
            </w:pPr>
            <w:r w:rsidRPr="00826F71">
              <w:t xml:space="preserve">Total Transition </w:t>
            </w:r>
            <w:r>
              <w:br/>
            </w:r>
            <w:r>
              <w:tab/>
            </w:r>
            <w:r w:rsidRPr="007E190E">
              <w:rPr>
                <w:b w:val="0"/>
                <w:sz w:val="18"/>
                <w:szCs w:val="18"/>
              </w:rPr>
              <w:t>(Constant Price)</w:t>
            </w:r>
            <w:r>
              <w:tab/>
            </w:r>
            <w:r w:rsidRPr="007E190E">
              <w:rPr>
                <w:b w:val="0"/>
                <w:sz w:val="18"/>
                <w:szCs w:val="18"/>
              </w:rPr>
              <w:t>Yea</w:t>
            </w:r>
            <w:r w:rsidRPr="007E190E">
              <w:rPr>
                <w:b w:val="0"/>
                <w:bCs/>
                <w:sz w:val="18"/>
                <w:szCs w:val="18"/>
              </w:rPr>
              <w:t>r</w:t>
            </w:r>
            <w:r w:rsidRPr="007E190E">
              <w:rPr>
                <w:b w:val="0"/>
                <w:sz w:val="18"/>
                <w:szCs w:val="18"/>
              </w:rPr>
              <w:t>s</w:t>
            </w:r>
          </w:p>
          <w:p w14:paraId="05D883D0" w14:textId="77777777" w:rsidR="00B472DC" w:rsidRPr="00826F71" w:rsidRDefault="00B472DC" w:rsidP="00BC00FA">
            <w:pPr>
              <w:pStyle w:val="IATableLabel"/>
              <w:jc w:val="right"/>
            </w:pPr>
            <w:r>
              <w:br/>
            </w:r>
          </w:p>
        </w:tc>
        <w:tc>
          <w:tcPr>
            <w:tcW w:w="2865" w:type="dxa"/>
            <w:tcBorders>
              <w:left w:val="single" w:sz="12" w:space="0" w:color="auto"/>
              <w:bottom w:val="single" w:sz="12" w:space="0" w:color="auto"/>
              <w:right w:val="single" w:sz="12" w:space="0" w:color="auto"/>
            </w:tcBorders>
          </w:tcPr>
          <w:p w14:paraId="5E456FE5" w14:textId="77777777" w:rsidR="00B472DC" w:rsidRPr="007E190E" w:rsidRDefault="00B472DC" w:rsidP="00BC00FA">
            <w:pPr>
              <w:pStyle w:val="IATableLabel"/>
              <w:jc w:val="right"/>
              <w:rPr>
                <w:rFonts w:cs="Arial"/>
                <w:bCs/>
              </w:rPr>
            </w:pPr>
            <w:r w:rsidRPr="00826F71">
              <w:t>Average Annual</w:t>
            </w:r>
            <w:r w:rsidRPr="000C031E">
              <w:t xml:space="preserve"> </w:t>
            </w:r>
            <w:r>
              <w:br/>
            </w:r>
            <w:r w:rsidRPr="007E190E">
              <w:rPr>
                <w:b w:val="0"/>
                <w:sz w:val="18"/>
                <w:szCs w:val="18"/>
              </w:rPr>
              <w:t xml:space="preserve">(excl. Transition) </w:t>
            </w:r>
            <w:r w:rsidRPr="007E190E">
              <w:rPr>
                <w:rFonts w:cs="Arial"/>
                <w:b w:val="0"/>
                <w:bCs/>
                <w:sz w:val="18"/>
                <w:szCs w:val="18"/>
              </w:rPr>
              <w:t>(Constant Price)</w:t>
            </w:r>
          </w:p>
        </w:tc>
        <w:tc>
          <w:tcPr>
            <w:tcW w:w="2636" w:type="dxa"/>
            <w:gridSpan w:val="2"/>
            <w:tcBorders>
              <w:top w:val="single" w:sz="12" w:space="0" w:color="auto"/>
              <w:left w:val="single" w:sz="12" w:space="0" w:color="auto"/>
              <w:bottom w:val="single" w:sz="12" w:space="0" w:color="auto"/>
            </w:tcBorders>
          </w:tcPr>
          <w:p w14:paraId="28E279E9" w14:textId="77777777" w:rsidR="00B472DC" w:rsidRPr="00826F71" w:rsidRDefault="00B472DC" w:rsidP="00BC00FA">
            <w:pPr>
              <w:pStyle w:val="IATableLabel"/>
              <w:jc w:val="right"/>
            </w:pPr>
            <w:r w:rsidRPr="00826F71">
              <w:t xml:space="preserve">Total </w:t>
            </w:r>
            <w:r>
              <w:t>Benefit</w:t>
            </w:r>
            <w:r w:rsidRPr="007E190E">
              <w:rPr>
                <w:b w:val="0"/>
                <w:sz w:val="18"/>
                <w:szCs w:val="18"/>
              </w:rPr>
              <w:t xml:space="preserve"> </w:t>
            </w:r>
            <w:r w:rsidRPr="007E190E">
              <w:rPr>
                <w:b w:val="0"/>
                <w:sz w:val="18"/>
                <w:szCs w:val="18"/>
              </w:rPr>
              <w:br/>
              <w:t>(Present Value)</w:t>
            </w:r>
          </w:p>
        </w:tc>
      </w:tr>
      <w:tr w:rsidR="00B472DC" w:rsidRPr="007E190E" w14:paraId="450AD54B" w14:textId="77777777" w:rsidTr="00BC00FA">
        <w:trPr>
          <w:trHeight w:hRule="exact" w:val="348"/>
        </w:trPr>
        <w:tc>
          <w:tcPr>
            <w:tcW w:w="2122" w:type="dxa"/>
            <w:tcBorders>
              <w:top w:val="single" w:sz="12" w:space="0" w:color="auto"/>
              <w:bottom w:val="single" w:sz="12" w:space="0" w:color="auto"/>
              <w:right w:val="single" w:sz="12" w:space="0" w:color="auto"/>
            </w:tcBorders>
            <w:vAlign w:val="center"/>
          </w:tcPr>
          <w:p w14:paraId="258CA92C" w14:textId="77777777" w:rsidR="00B472DC" w:rsidRPr="00826F71" w:rsidRDefault="00B472DC" w:rsidP="00BC00FA">
            <w:pPr>
              <w:pStyle w:val="IATableLabel"/>
            </w:pPr>
            <w:r w:rsidRPr="00826F71">
              <w:t xml:space="preserve">Low </w:t>
            </w:r>
          </w:p>
        </w:tc>
        <w:tc>
          <w:tcPr>
            <w:tcW w:w="1949" w:type="dxa"/>
            <w:tcBorders>
              <w:top w:val="single" w:sz="12" w:space="0" w:color="auto"/>
              <w:left w:val="single" w:sz="12" w:space="0" w:color="auto"/>
              <w:bottom w:val="single" w:sz="12" w:space="0" w:color="auto"/>
              <w:right w:val="single" w:sz="12" w:space="0" w:color="auto"/>
            </w:tcBorders>
            <w:vAlign w:val="center"/>
          </w:tcPr>
          <w:p w14:paraId="2042B69B" w14:textId="77777777" w:rsidR="00B472DC" w:rsidRPr="007E190E" w:rsidRDefault="00B472DC" w:rsidP="00BC00FA">
            <w:pPr>
              <w:pStyle w:val="POTTBenLow"/>
              <w:rPr>
                <w:sz w:val="20"/>
              </w:rPr>
            </w:pPr>
            <w:r w:rsidRPr="007E190E">
              <w:rPr>
                <w:sz w:val="20"/>
              </w:rPr>
              <w:fldChar w:fldCharType="begin">
                <w:ffData>
                  <w:name w:val=""/>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c>
          <w:tcPr>
            <w:tcW w:w="790" w:type="dxa"/>
            <w:vMerge w:val="restart"/>
            <w:tcBorders>
              <w:top w:val="single" w:sz="12" w:space="0" w:color="auto"/>
              <w:left w:val="single" w:sz="12" w:space="0" w:color="auto"/>
              <w:right w:val="single" w:sz="12" w:space="0" w:color="auto"/>
            </w:tcBorders>
            <w:vAlign w:val="center"/>
          </w:tcPr>
          <w:p w14:paraId="3A6425EF" w14:textId="77777777" w:rsidR="00B472DC" w:rsidRPr="007E190E" w:rsidRDefault="00B472DC" w:rsidP="00BC00FA">
            <w:pPr>
              <w:pStyle w:val="IATableText"/>
              <w:jc w:val="center"/>
              <w:rPr>
                <w:sz w:val="20"/>
              </w:rPr>
            </w:pPr>
            <w:r w:rsidRPr="007E190E">
              <w:rPr>
                <w:sz w:val="20"/>
              </w:rPr>
              <w:fldChar w:fldCharType="begin">
                <w:ffData>
                  <w:name w:val="Text48"/>
                  <w:enabled/>
                  <w:calcOnExit w:val="0"/>
                  <w:textInput>
                    <w:maxLength w:val="3"/>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 </w:t>
            </w:r>
            <w:r w:rsidRPr="007E190E">
              <w:rPr>
                <w:noProof/>
                <w:sz w:val="20"/>
              </w:rPr>
              <w:t> </w:t>
            </w:r>
            <w:r w:rsidRPr="007E190E">
              <w:rPr>
                <w:noProof/>
                <w:sz w:val="20"/>
              </w:rPr>
              <w:t> </w:t>
            </w:r>
            <w:r w:rsidRPr="007E190E">
              <w:rPr>
                <w:sz w:val="20"/>
              </w:rPr>
              <w:fldChar w:fldCharType="end"/>
            </w:r>
          </w:p>
        </w:tc>
        <w:tc>
          <w:tcPr>
            <w:tcW w:w="2865" w:type="dxa"/>
            <w:tcBorders>
              <w:top w:val="single" w:sz="12" w:space="0" w:color="auto"/>
              <w:left w:val="single" w:sz="12" w:space="0" w:color="auto"/>
              <w:bottom w:val="single" w:sz="12" w:space="0" w:color="auto"/>
              <w:right w:val="single" w:sz="12" w:space="0" w:color="auto"/>
            </w:tcBorders>
            <w:vAlign w:val="center"/>
          </w:tcPr>
          <w:p w14:paraId="2F10228F" w14:textId="77777777" w:rsidR="00B472DC" w:rsidRPr="007E190E" w:rsidRDefault="00B472DC" w:rsidP="00BC00FA">
            <w:pPr>
              <w:pStyle w:val="POAABenLow"/>
              <w:rPr>
                <w:sz w:val="20"/>
              </w:rPr>
            </w:pPr>
            <w:r w:rsidRPr="007E190E">
              <w:rPr>
                <w:sz w:val="20"/>
              </w:rPr>
              <w:fldChar w:fldCharType="begin">
                <w:ffData>
                  <w:name w:val=""/>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c>
          <w:tcPr>
            <w:tcW w:w="2636" w:type="dxa"/>
            <w:gridSpan w:val="2"/>
            <w:tcBorders>
              <w:top w:val="single" w:sz="12" w:space="0" w:color="auto"/>
              <w:left w:val="single" w:sz="12" w:space="0" w:color="auto"/>
              <w:bottom w:val="single" w:sz="12" w:space="0" w:color="auto"/>
            </w:tcBorders>
            <w:vAlign w:val="center"/>
          </w:tcPr>
          <w:p w14:paraId="190A8E89" w14:textId="77777777" w:rsidR="00B472DC" w:rsidRPr="007E190E" w:rsidRDefault="00B472DC" w:rsidP="00BC00FA">
            <w:pPr>
              <w:pStyle w:val="POTBBenLow"/>
              <w:rPr>
                <w:sz w:val="20"/>
              </w:rPr>
            </w:pPr>
            <w:r w:rsidRPr="007E190E">
              <w:rPr>
                <w:sz w:val="20"/>
              </w:rPr>
              <w:fldChar w:fldCharType="begin">
                <w:ffData>
                  <w:name w:val=""/>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r>
      <w:tr w:rsidR="00B472DC" w:rsidRPr="007E190E" w14:paraId="14002FBE" w14:textId="77777777" w:rsidTr="00BC00FA">
        <w:trPr>
          <w:trHeight w:hRule="exact" w:val="348"/>
        </w:trPr>
        <w:tc>
          <w:tcPr>
            <w:tcW w:w="2122" w:type="dxa"/>
            <w:tcBorders>
              <w:top w:val="single" w:sz="12" w:space="0" w:color="auto"/>
              <w:bottom w:val="single" w:sz="12" w:space="0" w:color="auto"/>
              <w:right w:val="single" w:sz="12" w:space="0" w:color="auto"/>
            </w:tcBorders>
            <w:vAlign w:val="center"/>
          </w:tcPr>
          <w:p w14:paraId="4BA56893" w14:textId="77777777" w:rsidR="00B472DC" w:rsidRPr="00826F71" w:rsidRDefault="00B472DC" w:rsidP="00BC00FA">
            <w:pPr>
              <w:pStyle w:val="IATableLabel"/>
            </w:pPr>
            <w:r w:rsidRPr="00826F71">
              <w:t xml:space="preserve">High </w:t>
            </w:r>
          </w:p>
        </w:tc>
        <w:tc>
          <w:tcPr>
            <w:tcW w:w="1949" w:type="dxa"/>
            <w:tcBorders>
              <w:top w:val="single" w:sz="12" w:space="0" w:color="auto"/>
              <w:left w:val="single" w:sz="12" w:space="0" w:color="auto"/>
              <w:bottom w:val="single" w:sz="12" w:space="0" w:color="auto"/>
              <w:right w:val="single" w:sz="12" w:space="0" w:color="auto"/>
            </w:tcBorders>
            <w:vAlign w:val="center"/>
          </w:tcPr>
          <w:p w14:paraId="23A9B070" w14:textId="77777777" w:rsidR="00B472DC" w:rsidRPr="007E190E" w:rsidRDefault="00B472DC" w:rsidP="00BC00FA">
            <w:pPr>
              <w:pStyle w:val="POTTBenHigh"/>
              <w:rPr>
                <w:sz w:val="20"/>
              </w:rPr>
            </w:pPr>
            <w:r w:rsidRPr="007E190E">
              <w:rPr>
                <w:sz w:val="20"/>
              </w:rPr>
              <w:fldChar w:fldCharType="begin">
                <w:ffData>
                  <w:name w:val=""/>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c>
          <w:tcPr>
            <w:tcW w:w="790" w:type="dxa"/>
            <w:vMerge/>
            <w:tcBorders>
              <w:left w:val="single" w:sz="12" w:space="0" w:color="auto"/>
              <w:right w:val="single" w:sz="12" w:space="0" w:color="auto"/>
            </w:tcBorders>
            <w:shd w:val="clear" w:color="auto" w:fill="FFFFFF"/>
            <w:vAlign w:val="center"/>
          </w:tcPr>
          <w:p w14:paraId="3FE274C8" w14:textId="77777777" w:rsidR="00B472DC" w:rsidRPr="007E190E" w:rsidRDefault="00B472DC" w:rsidP="00BC00FA">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vAlign w:val="center"/>
          </w:tcPr>
          <w:p w14:paraId="6DA6EA0E" w14:textId="77777777" w:rsidR="00B472DC" w:rsidRPr="007E190E" w:rsidRDefault="00B472DC" w:rsidP="00BC00FA">
            <w:pPr>
              <w:pStyle w:val="POAABenHigh"/>
              <w:rPr>
                <w:sz w:val="20"/>
              </w:rPr>
            </w:pPr>
            <w:r w:rsidRPr="007E190E">
              <w:rPr>
                <w:sz w:val="20"/>
              </w:rPr>
              <w:fldChar w:fldCharType="begin">
                <w:ffData>
                  <w:name w:val=""/>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c>
          <w:tcPr>
            <w:tcW w:w="2636" w:type="dxa"/>
            <w:gridSpan w:val="2"/>
            <w:tcBorders>
              <w:top w:val="single" w:sz="12" w:space="0" w:color="auto"/>
              <w:left w:val="single" w:sz="12" w:space="0" w:color="auto"/>
              <w:bottom w:val="single" w:sz="12" w:space="0" w:color="auto"/>
            </w:tcBorders>
            <w:vAlign w:val="center"/>
          </w:tcPr>
          <w:p w14:paraId="376E0D47" w14:textId="77777777" w:rsidR="00B472DC" w:rsidRPr="007E190E" w:rsidRDefault="00B472DC" w:rsidP="00BC00FA">
            <w:pPr>
              <w:pStyle w:val="POTBBenHigh"/>
              <w:rPr>
                <w:sz w:val="20"/>
              </w:rPr>
            </w:pPr>
            <w:r w:rsidRPr="007E190E">
              <w:rPr>
                <w:sz w:val="20"/>
              </w:rPr>
              <w:fldChar w:fldCharType="begin">
                <w:ffData>
                  <w:name w:val=""/>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Optional</w:t>
            </w:r>
            <w:r w:rsidRPr="007E190E">
              <w:rPr>
                <w:sz w:val="20"/>
              </w:rPr>
              <w:fldChar w:fldCharType="end"/>
            </w:r>
          </w:p>
        </w:tc>
      </w:tr>
      <w:tr w:rsidR="00B472DC" w:rsidRPr="007E190E" w14:paraId="58344182" w14:textId="77777777" w:rsidTr="00BC00FA">
        <w:trPr>
          <w:trHeight w:hRule="exact" w:val="348"/>
        </w:trPr>
        <w:tc>
          <w:tcPr>
            <w:tcW w:w="2122" w:type="dxa"/>
            <w:tcBorders>
              <w:top w:val="single" w:sz="12" w:space="0" w:color="auto"/>
              <w:bottom w:val="single" w:sz="12" w:space="0" w:color="auto"/>
              <w:right w:val="single" w:sz="12" w:space="0" w:color="auto"/>
            </w:tcBorders>
            <w:shd w:val="clear" w:color="auto" w:fill="FFFFFF"/>
            <w:vAlign w:val="center"/>
          </w:tcPr>
          <w:p w14:paraId="6634426B" w14:textId="77777777" w:rsidR="00B472DC" w:rsidRPr="00826F71" w:rsidRDefault="00B472DC" w:rsidP="00BC00FA">
            <w:pPr>
              <w:pStyle w:val="IATableLabel"/>
            </w:pPr>
            <w:r w:rsidRPr="00826F71">
              <w:t xml:space="preserve">Best </w:t>
            </w:r>
            <w:r>
              <w:t>E</w:t>
            </w:r>
            <w:r w:rsidRPr="00826F71">
              <w:t>stimate</w:t>
            </w:r>
          </w:p>
          <w:p w14:paraId="7DE4FE20" w14:textId="77777777" w:rsidR="00B472DC" w:rsidRPr="007E190E" w:rsidRDefault="00B472DC" w:rsidP="00BC00FA">
            <w:pPr>
              <w:pStyle w:val="IATableNotes"/>
              <w:spacing w:beforeLines="40" w:before="96"/>
              <w:ind w:left="0" w:right="-22"/>
              <w:jc w:val="center"/>
              <w:rPr>
                <w:rFonts w:cs="Arial"/>
                <w:b/>
                <w:sz w:val="20"/>
              </w:rPr>
            </w:pPr>
          </w:p>
        </w:tc>
        <w:tc>
          <w:tcPr>
            <w:tcW w:w="1949" w:type="dxa"/>
            <w:tcBorders>
              <w:top w:val="single" w:sz="12" w:space="0" w:color="auto"/>
              <w:left w:val="single" w:sz="12" w:space="0" w:color="auto"/>
              <w:bottom w:val="single" w:sz="12" w:space="0" w:color="auto"/>
              <w:right w:val="single" w:sz="12" w:space="0" w:color="auto"/>
            </w:tcBorders>
            <w:shd w:val="clear" w:color="auto" w:fill="FFFFFF"/>
            <w:vAlign w:val="center"/>
          </w:tcPr>
          <w:p w14:paraId="54F60A1C" w14:textId="77777777" w:rsidR="00B472DC" w:rsidRPr="007E190E" w:rsidRDefault="00B472DC" w:rsidP="00BC00FA">
            <w:pPr>
              <w:pStyle w:val="POTTBenBest"/>
              <w:rPr>
                <w:sz w:val="20"/>
              </w:rPr>
            </w:pPr>
            <w:r w:rsidRPr="007E190E">
              <w:rPr>
                <w:sz w:val="20"/>
              </w:rPr>
              <w:fldChar w:fldCharType="begin">
                <w:ffData>
                  <w:name w:val=""/>
                  <w:enabled/>
                  <w:calcOnExit w:val="0"/>
                  <w:textInput>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 </w:t>
            </w:r>
            <w:r w:rsidRPr="007E190E">
              <w:rPr>
                <w:noProof/>
                <w:sz w:val="20"/>
              </w:rPr>
              <w:t> </w:t>
            </w:r>
            <w:r w:rsidRPr="007E190E">
              <w:rPr>
                <w:noProof/>
                <w:sz w:val="20"/>
              </w:rPr>
              <w:t> </w:t>
            </w:r>
            <w:r w:rsidRPr="007E190E">
              <w:rPr>
                <w:noProof/>
                <w:sz w:val="20"/>
              </w:rPr>
              <w:t> </w:t>
            </w:r>
            <w:r w:rsidRPr="007E190E">
              <w:rPr>
                <w:noProof/>
                <w:sz w:val="20"/>
              </w:rPr>
              <w:t> </w:t>
            </w:r>
            <w:r w:rsidRPr="007E190E">
              <w:rPr>
                <w:sz w:val="20"/>
              </w:rPr>
              <w:fldChar w:fldCharType="end"/>
            </w:r>
          </w:p>
        </w:tc>
        <w:tc>
          <w:tcPr>
            <w:tcW w:w="790" w:type="dxa"/>
            <w:vMerge/>
            <w:tcBorders>
              <w:left w:val="single" w:sz="12" w:space="0" w:color="auto"/>
              <w:bottom w:val="single" w:sz="12" w:space="0" w:color="auto"/>
              <w:right w:val="single" w:sz="12" w:space="0" w:color="auto"/>
            </w:tcBorders>
            <w:shd w:val="clear" w:color="auto" w:fill="FFFFFF"/>
            <w:vAlign w:val="center"/>
          </w:tcPr>
          <w:p w14:paraId="7DEEB101" w14:textId="77777777" w:rsidR="00B472DC" w:rsidRPr="007E190E" w:rsidRDefault="00B472DC" w:rsidP="00BC00FA">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shd w:val="clear" w:color="auto" w:fill="FFFFFF"/>
            <w:vAlign w:val="center"/>
          </w:tcPr>
          <w:p w14:paraId="49097597" w14:textId="77777777" w:rsidR="00B472DC" w:rsidRPr="007E190E" w:rsidRDefault="00B472DC" w:rsidP="00BC00FA">
            <w:pPr>
              <w:pStyle w:val="POAABenBest"/>
              <w:rPr>
                <w:sz w:val="20"/>
              </w:rPr>
            </w:pPr>
            <w:r w:rsidRPr="007E190E">
              <w:rPr>
                <w:sz w:val="20"/>
              </w:rPr>
              <w:fldChar w:fldCharType="begin">
                <w:ffData>
                  <w:name w:val=""/>
                  <w:enabled/>
                  <w:calcOnExit w:val="0"/>
                  <w:textInput>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 </w:t>
            </w:r>
            <w:r w:rsidRPr="007E190E">
              <w:rPr>
                <w:noProof/>
                <w:sz w:val="20"/>
              </w:rPr>
              <w:t> </w:t>
            </w:r>
            <w:r w:rsidRPr="007E190E">
              <w:rPr>
                <w:noProof/>
                <w:sz w:val="20"/>
              </w:rPr>
              <w:t> </w:t>
            </w:r>
            <w:r w:rsidRPr="007E190E">
              <w:rPr>
                <w:noProof/>
                <w:sz w:val="20"/>
              </w:rPr>
              <w:t> </w:t>
            </w:r>
            <w:r w:rsidRPr="007E190E">
              <w:rPr>
                <w:noProof/>
                <w:sz w:val="20"/>
              </w:rPr>
              <w:t> </w:t>
            </w:r>
            <w:r w:rsidRPr="007E190E">
              <w:rPr>
                <w:sz w:val="20"/>
              </w:rPr>
              <w:fldChar w:fldCharType="end"/>
            </w:r>
          </w:p>
        </w:tc>
        <w:tc>
          <w:tcPr>
            <w:tcW w:w="2636" w:type="dxa"/>
            <w:gridSpan w:val="2"/>
            <w:tcBorders>
              <w:top w:val="single" w:sz="12" w:space="0" w:color="auto"/>
              <w:left w:val="single" w:sz="12" w:space="0" w:color="auto"/>
              <w:bottom w:val="single" w:sz="12" w:space="0" w:color="auto"/>
            </w:tcBorders>
            <w:shd w:val="clear" w:color="auto" w:fill="FFFFFF"/>
            <w:vAlign w:val="center"/>
          </w:tcPr>
          <w:p w14:paraId="0AF0F002" w14:textId="77777777" w:rsidR="00B472DC" w:rsidRPr="007E190E" w:rsidRDefault="00B472DC" w:rsidP="00BC00FA">
            <w:pPr>
              <w:pStyle w:val="POTBBenBest"/>
              <w:rPr>
                <w:sz w:val="20"/>
              </w:rPr>
            </w:pPr>
            <w:r w:rsidRPr="007E190E">
              <w:rPr>
                <w:sz w:val="20"/>
              </w:rPr>
              <w:fldChar w:fldCharType="begin">
                <w:ffData>
                  <w:name w:val=""/>
                  <w:enabled/>
                  <w:calcOnExit w:val="0"/>
                  <w:textInput>
                    <w:maxLength w:val="14"/>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 </w:t>
            </w:r>
            <w:r w:rsidRPr="007E190E">
              <w:rPr>
                <w:noProof/>
                <w:sz w:val="20"/>
              </w:rPr>
              <w:t> </w:t>
            </w:r>
            <w:r w:rsidRPr="007E190E">
              <w:rPr>
                <w:noProof/>
                <w:sz w:val="20"/>
              </w:rPr>
              <w:t> </w:t>
            </w:r>
            <w:r w:rsidRPr="007E190E">
              <w:rPr>
                <w:noProof/>
                <w:sz w:val="20"/>
              </w:rPr>
              <w:t> </w:t>
            </w:r>
            <w:r w:rsidRPr="007E190E">
              <w:rPr>
                <w:noProof/>
                <w:sz w:val="20"/>
              </w:rPr>
              <w:t> </w:t>
            </w:r>
            <w:r w:rsidRPr="007E190E">
              <w:rPr>
                <w:sz w:val="20"/>
              </w:rPr>
              <w:fldChar w:fldCharType="end"/>
            </w:r>
          </w:p>
        </w:tc>
      </w:tr>
      <w:tr w:rsidR="00B472DC" w:rsidRPr="00826F71" w14:paraId="79932B74" w14:textId="77777777" w:rsidTr="00BC00FA">
        <w:trPr>
          <w:trHeight w:hRule="exact" w:val="1701"/>
        </w:trPr>
        <w:tc>
          <w:tcPr>
            <w:tcW w:w="10362" w:type="dxa"/>
            <w:gridSpan w:val="6"/>
            <w:tcBorders>
              <w:bottom w:val="single" w:sz="12" w:space="0" w:color="auto"/>
            </w:tcBorders>
          </w:tcPr>
          <w:p w14:paraId="67C20EB0" w14:textId="77777777" w:rsidR="00B472DC" w:rsidRPr="007E190E" w:rsidRDefault="00B472DC" w:rsidP="00BC00FA">
            <w:pPr>
              <w:pStyle w:val="IPPOQ3"/>
              <w:rPr>
                <w:szCs w:val="22"/>
              </w:rPr>
            </w:pPr>
            <w:r w:rsidRPr="00544292">
              <w:t xml:space="preserve">Description and scale of </w:t>
            </w:r>
            <w:r w:rsidRPr="00826F71">
              <w:t xml:space="preserve">key monetised </w:t>
            </w:r>
            <w:r>
              <w:t>benefits</w:t>
            </w:r>
            <w:r w:rsidRPr="00544292">
              <w:t xml:space="preserve"> by ‘main affected groups’ </w:t>
            </w:r>
          </w:p>
          <w:p w14:paraId="1ABA5673" w14:textId="77777777" w:rsidR="00B472DC" w:rsidRPr="00826F71" w:rsidRDefault="008B5022" w:rsidP="00BC00FA">
            <w:pPr>
              <w:pStyle w:val="IAPOA3"/>
            </w:pPr>
            <w:r>
              <w:t>No transitional benefits identified.</w:t>
            </w:r>
          </w:p>
        </w:tc>
      </w:tr>
      <w:tr w:rsidR="00B472DC" w:rsidRPr="00826F71" w14:paraId="3AD920BF" w14:textId="77777777" w:rsidTr="00BC00FA">
        <w:trPr>
          <w:trHeight w:hRule="exact" w:val="1701"/>
        </w:trPr>
        <w:tc>
          <w:tcPr>
            <w:tcW w:w="10362" w:type="dxa"/>
            <w:gridSpan w:val="6"/>
            <w:tcBorders>
              <w:top w:val="single" w:sz="12" w:space="0" w:color="auto"/>
            </w:tcBorders>
          </w:tcPr>
          <w:p w14:paraId="1DF6EB64" w14:textId="77777777" w:rsidR="00B472DC" w:rsidRPr="007E190E" w:rsidRDefault="00B472DC" w:rsidP="00BC00FA">
            <w:pPr>
              <w:pStyle w:val="IAPOQ4"/>
              <w:rPr>
                <w:szCs w:val="22"/>
              </w:rPr>
            </w:pPr>
            <w:r w:rsidRPr="00544292">
              <w:t>Other</w:t>
            </w:r>
            <w:r w:rsidRPr="00826F71">
              <w:t xml:space="preserve"> key non-monetised </w:t>
            </w:r>
            <w:r>
              <w:t>benefits</w:t>
            </w:r>
            <w:r w:rsidRPr="00544292">
              <w:t xml:space="preserve"> by ‘main affected groups’ </w:t>
            </w:r>
          </w:p>
          <w:p w14:paraId="24B124AF" w14:textId="77777777" w:rsidR="00B472DC" w:rsidRPr="00826F71" w:rsidRDefault="008B5022" w:rsidP="00BC00FA">
            <w:pPr>
              <w:pStyle w:val="IAPOA4"/>
            </w:pPr>
            <w:r>
              <w:t>On-going benefits: Consistent and standardised approach provides clarity and certainty across identified aspects.</w:t>
            </w:r>
          </w:p>
        </w:tc>
      </w:tr>
      <w:tr w:rsidR="00B472DC" w:rsidRPr="00826F71" w14:paraId="4ECE4266" w14:textId="77777777" w:rsidTr="00BC00FA">
        <w:trPr>
          <w:trHeight w:hRule="exact" w:val="346"/>
        </w:trPr>
        <w:tc>
          <w:tcPr>
            <w:tcW w:w="9502" w:type="dxa"/>
            <w:gridSpan w:val="5"/>
            <w:tcBorders>
              <w:top w:val="single" w:sz="12" w:space="0" w:color="auto"/>
              <w:bottom w:val="single" w:sz="12" w:space="0" w:color="auto"/>
              <w:right w:val="single" w:sz="12" w:space="0" w:color="auto"/>
            </w:tcBorders>
          </w:tcPr>
          <w:p w14:paraId="36CA0AB1" w14:textId="77777777" w:rsidR="00B472DC" w:rsidRDefault="00B472DC" w:rsidP="00BC00FA">
            <w:pPr>
              <w:pStyle w:val="IATableLabel"/>
              <w:tabs>
                <w:tab w:val="left" w:pos="7655"/>
              </w:tabs>
            </w:pPr>
            <w:r w:rsidRPr="00F1653E">
              <w:rPr>
                <w:rStyle w:val="IAPOQ5Char"/>
                <w:b/>
              </w:rPr>
              <w:t>Key assumptions/sensitivities/risks</w:t>
            </w:r>
            <w:r>
              <w:tab/>
              <w:t>Discount rate (%)</w:t>
            </w:r>
          </w:p>
          <w:p w14:paraId="0008F0D6" w14:textId="77777777" w:rsidR="00B472DC" w:rsidRPr="00455895" w:rsidRDefault="00B472DC" w:rsidP="00BC00FA">
            <w:pPr>
              <w:pStyle w:val="IATableLabel"/>
            </w:pPr>
          </w:p>
        </w:tc>
        <w:tc>
          <w:tcPr>
            <w:tcW w:w="860" w:type="dxa"/>
            <w:tcBorders>
              <w:top w:val="single" w:sz="12" w:space="0" w:color="auto"/>
              <w:left w:val="single" w:sz="12" w:space="0" w:color="auto"/>
              <w:bottom w:val="single" w:sz="12" w:space="0" w:color="auto"/>
            </w:tcBorders>
          </w:tcPr>
          <w:p w14:paraId="720BEE9F" w14:textId="77777777" w:rsidR="00B472DC" w:rsidRPr="007E6CF8" w:rsidRDefault="008B5022" w:rsidP="00BC00FA">
            <w:pPr>
              <w:pStyle w:val="IAPODisRate"/>
            </w:pPr>
            <w:r>
              <w:t>3.5</w:t>
            </w:r>
          </w:p>
        </w:tc>
      </w:tr>
      <w:tr w:rsidR="00B472DC" w:rsidRPr="007E190E" w14:paraId="04FA1C0F" w14:textId="77777777" w:rsidTr="00BC00FA">
        <w:trPr>
          <w:trHeight w:hRule="exact" w:val="963"/>
        </w:trPr>
        <w:tc>
          <w:tcPr>
            <w:tcW w:w="10362" w:type="dxa"/>
            <w:gridSpan w:val="6"/>
            <w:tcBorders>
              <w:top w:val="nil"/>
              <w:bottom w:val="single" w:sz="12" w:space="0" w:color="auto"/>
            </w:tcBorders>
          </w:tcPr>
          <w:p w14:paraId="59D61540" w14:textId="77777777" w:rsidR="00B472DC" w:rsidRPr="00544292" w:rsidRDefault="00B472DC" w:rsidP="00BC00FA">
            <w:pPr>
              <w:pStyle w:val="IAPOA5"/>
            </w:pPr>
          </w:p>
        </w:tc>
      </w:tr>
    </w:tbl>
    <w:p w14:paraId="0A131CD5" w14:textId="77777777" w:rsidR="00B472DC" w:rsidRDefault="00B472DC" w:rsidP="00B472DC">
      <w:pPr>
        <w:pStyle w:val="IASpacer"/>
      </w:pPr>
    </w:p>
    <w:p w14:paraId="1A45BF65" w14:textId="77777777" w:rsidR="00B472DC" w:rsidRDefault="00B472DC" w:rsidP="00B472DC">
      <w:pPr>
        <w:pStyle w:val="IAHeadLabel"/>
        <w:spacing w:before="50"/>
      </w:pPr>
    </w:p>
    <w:p w14:paraId="00CC3905" w14:textId="77777777" w:rsidR="00B472DC" w:rsidRDefault="00B472DC" w:rsidP="00B472DC">
      <w:pPr>
        <w:pStyle w:val="IAHeadLabel"/>
        <w:spacing w:before="50"/>
      </w:pPr>
      <w:r>
        <w:t xml:space="preserve">BUSINESS ASSESSMENT (Option </w:t>
      </w:r>
      <w:r w:rsidR="001D72FA">
        <w:t>3)</w:t>
      </w:r>
    </w:p>
    <w:tbl>
      <w:tblPr>
        <w:tblW w:w="5067" w:type="pct"/>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977"/>
        <w:gridCol w:w="1836"/>
        <w:gridCol w:w="1694"/>
        <w:gridCol w:w="4804"/>
      </w:tblGrid>
      <w:tr w:rsidR="00B472DC" w:rsidRPr="000E02BE" w14:paraId="02AC5C81" w14:textId="77777777" w:rsidTr="00BC00FA">
        <w:trPr>
          <w:trHeight w:hRule="exact" w:val="384"/>
        </w:trPr>
        <w:tc>
          <w:tcPr>
            <w:tcW w:w="5529" w:type="dxa"/>
            <w:gridSpan w:val="3"/>
            <w:tcBorders>
              <w:top w:val="single" w:sz="12" w:space="0" w:color="auto"/>
              <w:left w:val="single" w:sz="12" w:space="0" w:color="auto"/>
              <w:bottom w:val="nil"/>
              <w:right w:val="single" w:sz="12" w:space="0" w:color="auto"/>
            </w:tcBorders>
          </w:tcPr>
          <w:p w14:paraId="35B4388D" w14:textId="77777777" w:rsidR="00B472DC" w:rsidRPr="000E02BE" w:rsidRDefault="00B472DC" w:rsidP="00BC00FA">
            <w:pPr>
              <w:pStyle w:val="IATableLabel"/>
            </w:pPr>
            <w:r w:rsidRPr="000E02BE">
              <w:t xml:space="preserve">Direct impact on </w:t>
            </w:r>
            <w:r>
              <w:t>business (Equivalent Annual) £m</w:t>
            </w:r>
            <w:r w:rsidRPr="000E02BE">
              <w:t xml:space="preserve">: </w:t>
            </w:r>
          </w:p>
        </w:tc>
        <w:tc>
          <w:tcPr>
            <w:tcW w:w="4823" w:type="dxa"/>
            <w:vMerge w:val="restart"/>
            <w:tcBorders>
              <w:top w:val="single" w:sz="12" w:space="0" w:color="auto"/>
              <w:left w:val="single" w:sz="12" w:space="0" w:color="auto"/>
              <w:right w:val="single" w:sz="12" w:space="0" w:color="auto"/>
            </w:tcBorders>
          </w:tcPr>
          <w:p w14:paraId="5DEA5ADB" w14:textId="77777777" w:rsidR="00B472DC" w:rsidRPr="000E02BE" w:rsidRDefault="00B472DC" w:rsidP="00BC00FA">
            <w:pPr>
              <w:pStyle w:val="IATableLabel"/>
            </w:pPr>
            <w:r>
              <w:t>Score for Business Impact Target (qualifying provisions only) £m:</w:t>
            </w:r>
          </w:p>
        </w:tc>
      </w:tr>
      <w:tr w:rsidR="00B472DC" w:rsidRPr="00E75380" w14:paraId="267F2DFE" w14:textId="77777777" w:rsidTr="00BC00FA">
        <w:trPr>
          <w:trHeight w:hRule="exact" w:val="340"/>
        </w:trPr>
        <w:tc>
          <w:tcPr>
            <w:tcW w:w="1985" w:type="dxa"/>
            <w:vMerge w:val="restart"/>
            <w:tcBorders>
              <w:top w:val="single" w:sz="12" w:space="0" w:color="auto"/>
              <w:left w:val="single" w:sz="12" w:space="0" w:color="auto"/>
              <w:right w:val="single" w:sz="12" w:space="0" w:color="auto"/>
            </w:tcBorders>
            <w:shd w:val="clear" w:color="auto" w:fill="FFFFFF"/>
          </w:tcPr>
          <w:p w14:paraId="29656548" w14:textId="77777777" w:rsidR="00B472DC" w:rsidRPr="00F63895" w:rsidRDefault="00B472DC" w:rsidP="00BC00FA">
            <w:pPr>
              <w:pStyle w:val="IATableLabel"/>
            </w:pPr>
            <w:r w:rsidRPr="00F63895">
              <w:t xml:space="preserve">Costs: </w:t>
            </w:r>
            <w:r w:rsidRPr="00F63895">
              <w:rPr>
                <w:rStyle w:val="IAPODICostChar"/>
                <w:b/>
                <w:sz w:val="20"/>
              </w:rPr>
              <w:fldChar w:fldCharType="begin">
                <w:ffData>
                  <w:name w:val="Text67"/>
                  <w:enabled/>
                  <w:calcOnExit w:val="0"/>
                  <w:textInput>
                    <w:maxLength w:val="9"/>
                  </w:textInput>
                </w:ffData>
              </w:fldChar>
            </w:r>
            <w:r w:rsidRPr="00F63895">
              <w:rPr>
                <w:rStyle w:val="IAPODICostChar"/>
                <w:b/>
                <w:sz w:val="20"/>
              </w:rPr>
              <w:instrText xml:space="preserve"> FORMTEXT </w:instrText>
            </w:r>
            <w:r w:rsidRPr="00F63895">
              <w:rPr>
                <w:rStyle w:val="IAPODICostChar"/>
                <w:b/>
                <w:sz w:val="20"/>
              </w:rPr>
            </w:r>
            <w:r w:rsidRPr="00F63895">
              <w:rPr>
                <w:rStyle w:val="IAPODICostChar"/>
                <w:b/>
                <w:sz w:val="20"/>
              </w:rPr>
              <w:fldChar w:fldCharType="separate"/>
            </w:r>
            <w:r w:rsidRPr="00F63895">
              <w:rPr>
                <w:rStyle w:val="IAPODICostChar"/>
                <w:noProof/>
                <w:sz w:val="20"/>
              </w:rPr>
              <w:t> </w:t>
            </w:r>
            <w:r w:rsidRPr="00F63895">
              <w:rPr>
                <w:rStyle w:val="IAPODICostChar"/>
                <w:noProof/>
                <w:sz w:val="20"/>
              </w:rPr>
              <w:t> </w:t>
            </w:r>
            <w:r w:rsidRPr="00F63895">
              <w:rPr>
                <w:rStyle w:val="IAPODICostChar"/>
                <w:noProof/>
                <w:sz w:val="20"/>
              </w:rPr>
              <w:t> </w:t>
            </w:r>
            <w:r w:rsidRPr="00F63895">
              <w:rPr>
                <w:rStyle w:val="IAPODICostChar"/>
                <w:noProof/>
                <w:sz w:val="20"/>
              </w:rPr>
              <w:t> </w:t>
            </w:r>
            <w:r w:rsidRPr="00F63895">
              <w:rPr>
                <w:rStyle w:val="IAPODICostChar"/>
                <w:noProof/>
                <w:sz w:val="20"/>
              </w:rPr>
              <w:t> </w:t>
            </w:r>
            <w:r w:rsidRPr="00F63895">
              <w:rPr>
                <w:rStyle w:val="IAPODICostChar"/>
                <w:b/>
                <w:sz w:val="20"/>
              </w:rPr>
              <w:fldChar w:fldCharType="end"/>
            </w:r>
          </w:p>
        </w:tc>
        <w:tc>
          <w:tcPr>
            <w:tcW w:w="1843" w:type="dxa"/>
            <w:vMerge w:val="restart"/>
            <w:tcBorders>
              <w:top w:val="single" w:sz="12" w:space="0" w:color="auto"/>
              <w:left w:val="single" w:sz="12" w:space="0" w:color="auto"/>
              <w:right w:val="single" w:sz="12" w:space="0" w:color="auto"/>
            </w:tcBorders>
            <w:shd w:val="clear" w:color="auto" w:fill="FFFFFF"/>
          </w:tcPr>
          <w:p w14:paraId="31EB3946" w14:textId="77777777" w:rsidR="00B472DC" w:rsidRPr="00F63895" w:rsidRDefault="00B472DC" w:rsidP="00BC00FA">
            <w:pPr>
              <w:pStyle w:val="IATableLabel"/>
            </w:pPr>
            <w:r w:rsidRPr="00F63895">
              <w:t xml:space="preserve">Benefits: </w:t>
            </w:r>
            <w:r w:rsidRPr="00F63895">
              <w:rPr>
                <w:rStyle w:val="IAPODIBenChar"/>
                <w:sz w:val="20"/>
              </w:rPr>
              <w:fldChar w:fldCharType="begin">
                <w:ffData>
                  <w:name w:val="Text68"/>
                  <w:enabled/>
                  <w:calcOnExit w:val="0"/>
                  <w:textInput>
                    <w:maxLength w:val="9"/>
                  </w:textInput>
                </w:ffData>
              </w:fldChar>
            </w:r>
            <w:r w:rsidRPr="00F63895">
              <w:rPr>
                <w:rStyle w:val="IAPODIBenChar"/>
                <w:sz w:val="20"/>
              </w:rPr>
              <w:instrText xml:space="preserve"> FORMTEXT </w:instrText>
            </w:r>
            <w:r w:rsidRPr="00F63895">
              <w:rPr>
                <w:rStyle w:val="IAPODIBenChar"/>
                <w:sz w:val="20"/>
              </w:rPr>
            </w:r>
            <w:r w:rsidRPr="00F63895">
              <w:rPr>
                <w:rStyle w:val="IAPODIBenChar"/>
                <w:sz w:val="20"/>
              </w:rPr>
              <w:fldChar w:fldCharType="separate"/>
            </w:r>
            <w:r w:rsidRPr="00F63895">
              <w:rPr>
                <w:rStyle w:val="IAPODIBenChar"/>
                <w:noProof/>
                <w:sz w:val="20"/>
              </w:rPr>
              <w:t> </w:t>
            </w:r>
            <w:r w:rsidRPr="00F63895">
              <w:rPr>
                <w:rStyle w:val="IAPODIBenChar"/>
                <w:noProof/>
                <w:sz w:val="20"/>
              </w:rPr>
              <w:t> </w:t>
            </w:r>
            <w:r w:rsidRPr="00F63895">
              <w:rPr>
                <w:rStyle w:val="IAPODIBenChar"/>
                <w:noProof/>
                <w:sz w:val="20"/>
              </w:rPr>
              <w:t> </w:t>
            </w:r>
            <w:r w:rsidRPr="00F63895">
              <w:rPr>
                <w:rStyle w:val="IAPODIBenChar"/>
                <w:noProof/>
                <w:sz w:val="20"/>
              </w:rPr>
              <w:t> </w:t>
            </w:r>
            <w:r w:rsidRPr="00F63895">
              <w:rPr>
                <w:rStyle w:val="IAPODIBenChar"/>
                <w:noProof/>
                <w:sz w:val="20"/>
              </w:rPr>
              <w:t> </w:t>
            </w:r>
            <w:r w:rsidRPr="00F63895">
              <w:rPr>
                <w:rStyle w:val="IAPODIBenChar"/>
                <w:sz w:val="20"/>
              </w:rPr>
              <w:fldChar w:fldCharType="end"/>
            </w:r>
          </w:p>
        </w:tc>
        <w:tc>
          <w:tcPr>
            <w:tcW w:w="1701" w:type="dxa"/>
            <w:vMerge w:val="restart"/>
            <w:tcBorders>
              <w:top w:val="single" w:sz="12" w:space="0" w:color="auto"/>
              <w:left w:val="single" w:sz="12" w:space="0" w:color="auto"/>
              <w:right w:val="single" w:sz="12" w:space="0" w:color="auto"/>
            </w:tcBorders>
            <w:shd w:val="clear" w:color="auto" w:fill="FFFFFF"/>
          </w:tcPr>
          <w:p w14:paraId="2801132A" w14:textId="77777777" w:rsidR="00B472DC" w:rsidRPr="00F63895" w:rsidRDefault="00B472DC" w:rsidP="00BC00FA">
            <w:pPr>
              <w:pStyle w:val="IATableLabel"/>
            </w:pPr>
            <w:r w:rsidRPr="00F63895">
              <w:t xml:space="preserve">Net: </w:t>
            </w:r>
            <w:r w:rsidRPr="00F63895">
              <w:rPr>
                <w:rStyle w:val="IAPODINetChar"/>
                <w:sz w:val="20"/>
              </w:rPr>
              <w:fldChar w:fldCharType="begin">
                <w:ffData>
                  <w:name w:val="Text69"/>
                  <w:enabled/>
                  <w:calcOnExit w:val="0"/>
                  <w:textInput>
                    <w:maxLength w:val="9"/>
                  </w:textInput>
                </w:ffData>
              </w:fldChar>
            </w:r>
            <w:r w:rsidRPr="00F63895">
              <w:rPr>
                <w:rStyle w:val="IAPODINetChar"/>
                <w:sz w:val="20"/>
              </w:rPr>
              <w:instrText xml:space="preserve"> FORMTEXT </w:instrText>
            </w:r>
            <w:r w:rsidRPr="00F63895">
              <w:rPr>
                <w:rStyle w:val="IAPODINetChar"/>
                <w:sz w:val="20"/>
              </w:rPr>
            </w:r>
            <w:r w:rsidRPr="00F63895">
              <w:rPr>
                <w:rStyle w:val="IAPODINetChar"/>
                <w:sz w:val="20"/>
              </w:rPr>
              <w:fldChar w:fldCharType="separate"/>
            </w:r>
            <w:r w:rsidRPr="00F63895">
              <w:rPr>
                <w:rStyle w:val="IAPODINetChar"/>
                <w:noProof/>
                <w:sz w:val="20"/>
              </w:rPr>
              <w:t> </w:t>
            </w:r>
            <w:r w:rsidRPr="00F63895">
              <w:rPr>
                <w:rStyle w:val="IAPODINetChar"/>
                <w:noProof/>
                <w:sz w:val="20"/>
              </w:rPr>
              <w:t> </w:t>
            </w:r>
            <w:r w:rsidRPr="00F63895">
              <w:rPr>
                <w:rStyle w:val="IAPODINetChar"/>
                <w:noProof/>
                <w:sz w:val="20"/>
              </w:rPr>
              <w:t> </w:t>
            </w:r>
            <w:r w:rsidRPr="00F63895">
              <w:rPr>
                <w:rStyle w:val="IAPODINetChar"/>
                <w:noProof/>
                <w:sz w:val="20"/>
              </w:rPr>
              <w:t> </w:t>
            </w:r>
            <w:r w:rsidRPr="00F63895">
              <w:rPr>
                <w:rStyle w:val="IAPODINetChar"/>
                <w:noProof/>
                <w:sz w:val="20"/>
              </w:rPr>
              <w:t> </w:t>
            </w:r>
            <w:r w:rsidRPr="00F63895">
              <w:rPr>
                <w:rStyle w:val="IAPODINetChar"/>
                <w:sz w:val="20"/>
              </w:rPr>
              <w:fldChar w:fldCharType="end"/>
            </w:r>
          </w:p>
        </w:tc>
        <w:tc>
          <w:tcPr>
            <w:tcW w:w="4823" w:type="dxa"/>
            <w:vMerge/>
            <w:tcBorders>
              <w:left w:val="single" w:sz="12" w:space="0" w:color="auto"/>
              <w:bottom w:val="single" w:sz="12" w:space="0" w:color="auto"/>
              <w:right w:val="single" w:sz="12" w:space="0" w:color="auto"/>
            </w:tcBorders>
            <w:shd w:val="clear" w:color="auto" w:fill="FFFFFF"/>
          </w:tcPr>
          <w:p w14:paraId="4C48F8D7" w14:textId="77777777" w:rsidR="00B472DC" w:rsidRPr="00F63895" w:rsidRDefault="00B472DC" w:rsidP="00BC00FA">
            <w:pPr>
              <w:pStyle w:val="IAPODIMQ"/>
            </w:pPr>
          </w:p>
        </w:tc>
      </w:tr>
      <w:tr w:rsidR="00B472DC" w:rsidRPr="00E75380" w14:paraId="0C3808E3" w14:textId="77777777" w:rsidTr="00BC00FA">
        <w:trPr>
          <w:trHeight w:hRule="exact" w:val="340"/>
        </w:trPr>
        <w:tc>
          <w:tcPr>
            <w:tcW w:w="1985" w:type="dxa"/>
            <w:vMerge/>
            <w:tcBorders>
              <w:left w:val="single" w:sz="12" w:space="0" w:color="auto"/>
              <w:bottom w:val="single" w:sz="12" w:space="0" w:color="auto"/>
              <w:right w:val="single" w:sz="12" w:space="0" w:color="auto"/>
            </w:tcBorders>
            <w:shd w:val="clear" w:color="auto" w:fill="FFFFFF"/>
          </w:tcPr>
          <w:p w14:paraId="78143399" w14:textId="77777777" w:rsidR="00B472DC" w:rsidRPr="00F63895" w:rsidRDefault="00B472DC" w:rsidP="00BC00FA">
            <w:pPr>
              <w:pStyle w:val="IATableLabel"/>
            </w:pPr>
          </w:p>
        </w:tc>
        <w:tc>
          <w:tcPr>
            <w:tcW w:w="1843" w:type="dxa"/>
            <w:vMerge/>
            <w:tcBorders>
              <w:left w:val="single" w:sz="12" w:space="0" w:color="auto"/>
              <w:bottom w:val="single" w:sz="12" w:space="0" w:color="auto"/>
              <w:right w:val="single" w:sz="12" w:space="0" w:color="auto"/>
            </w:tcBorders>
            <w:shd w:val="clear" w:color="auto" w:fill="FFFFFF"/>
          </w:tcPr>
          <w:p w14:paraId="3A0C7BFA" w14:textId="77777777" w:rsidR="00B472DC" w:rsidRPr="00F63895" w:rsidRDefault="00B472DC" w:rsidP="00BC00FA">
            <w:pPr>
              <w:pStyle w:val="IATableLabel"/>
            </w:pPr>
          </w:p>
        </w:tc>
        <w:tc>
          <w:tcPr>
            <w:tcW w:w="1701" w:type="dxa"/>
            <w:vMerge/>
            <w:tcBorders>
              <w:left w:val="single" w:sz="12" w:space="0" w:color="auto"/>
              <w:bottom w:val="single" w:sz="12" w:space="0" w:color="auto"/>
              <w:right w:val="single" w:sz="12" w:space="0" w:color="auto"/>
            </w:tcBorders>
            <w:shd w:val="clear" w:color="auto" w:fill="FFFFFF"/>
          </w:tcPr>
          <w:p w14:paraId="0BFD085B" w14:textId="77777777" w:rsidR="00B472DC" w:rsidRPr="00F63895" w:rsidRDefault="00B472DC" w:rsidP="00BC00FA">
            <w:pPr>
              <w:pStyle w:val="IATableLabel"/>
            </w:pPr>
          </w:p>
        </w:tc>
        <w:tc>
          <w:tcPr>
            <w:tcW w:w="4823" w:type="dxa"/>
            <w:tcBorders>
              <w:top w:val="single" w:sz="12" w:space="0" w:color="auto"/>
              <w:left w:val="single" w:sz="12" w:space="0" w:color="auto"/>
              <w:bottom w:val="single" w:sz="12" w:space="0" w:color="auto"/>
              <w:right w:val="single" w:sz="12" w:space="0" w:color="auto"/>
            </w:tcBorders>
            <w:shd w:val="clear" w:color="auto" w:fill="FFFFFF"/>
          </w:tcPr>
          <w:p w14:paraId="05363912" w14:textId="77777777" w:rsidR="00B472DC" w:rsidRPr="00F63895" w:rsidRDefault="00B472DC" w:rsidP="00BC00FA">
            <w:pPr>
              <w:pStyle w:val="IAPODIMQ"/>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B9996C" w14:textId="77777777" w:rsidR="00B472DC" w:rsidRDefault="00B472DC" w:rsidP="00B472DC">
      <w:pPr>
        <w:sectPr w:rsidR="00B472DC" w:rsidSect="00F1328C">
          <w:footnotePr>
            <w:numRestart w:val="eachSect"/>
          </w:footnotePr>
          <w:pgSz w:w="11907" w:h="16840" w:code="9"/>
          <w:pgMar w:top="680" w:right="851" w:bottom="680" w:left="851" w:header="284" w:footer="284" w:gutter="0"/>
          <w:cols w:space="708"/>
          <w:docGrid w:linePitch="360"/>
        </w:sectPr>
      </w:pPr>
    </w:p>
    <w:p w14:paraId="573F9D79" w14:textId="77777777" w:rsidR="00D64409" w:rsidRDefault="00D64409" w:rsidP="00693378">
      <w:pPr>
        <w:pStyle w:val="Heading1"/>
        <w:jc w:val="center"/>
      </w:pPr>
      <w:r w:rsidRPr="00C347F0">
        <w:t>Evidence Base</w:t>
      </w:r>
    </w:p>
    <w:p w14:paraId="3E89119C" w14:textId="77777777" w:rsidR="000918F2" w:rsidRPr="00693378" w:rsidRDefault="00693378" w:rsidP="000918F2">
      <w:pPr>
        <w:rPr>
          <w:b/>
          <w:sz w:val="32"/>
          <w:szCs w:val="32"/>
        </w:rPr>
      </w:pPr>
      <w:r w:rsidRPr="00693378">
        <w:rPr>
          <w:b/>
          <w:sz w:val="32"/>
          <w:szCs w:val="32"/>
        </w:rPr>
        <w:t>Introduction</w:t>
      </w:r>
    </w:p>
    <w:p w14:paraId="2B7561AB" w14:textId="77777777" w:rsidR="00693378" w:rsidRDefault="00693378" w:rsidP="000918F2"/>
    <w:p w14:paraId="5130A859" w14:textId="77777777" w:rsidR="00693378" w:rsidRPr="00693378" w:rsidRDefault="00693378" w:rsidP="000918F2">
      <w:pPr>
        <w:rPr>
          <w:b/>
        </w:rPr>
      </w:pPr>
      <w:r w:rsidRPr="00693378">
        <w:rPr>
          <w:b/>
        </w:rPr>
        <w:t>Background</w:t>
      </w:r>
    </w:p>
    <w:p w14:paraId="52B74642" w14:textId="77777777" w:rsidR="000918F2" w:rsidRPr="00693378" w:rsidRDefault="000918F2" w:rsidP="00693378">
      <w:pPr>
        <w:pStyle w:val="NormalWeb"/>
        <w:numPr>
          <w:ilvl w:val="0"/>
          <w:numId w:val="28"/>
        </w:numPr>
        <w:spacing w:after="120" w:afterAutospacing="0"/>
        <w:ind w:left="357" w:hanging="357"/>
        <w:rPr>
          <w:rFonts w:ascii="Arial" w:hAnsi="Arial" w:cs="Arial"/>
        </w:rPr>
      </w:pPr>
      <w:r w:rsidRPr="00693378">
        <w:rPr>
          <w:rFonts w:ascii="Arial" w:hAnsi="Arial" w:cs="Arial"/>
        </w:rPr>
        <w:t xml:space="preserve">A tribunal is a body set up to settle disputes and to review public bodies’ decisions. But the rules and procedures for the devolved Welsh tribunals are complicated and inconsistent, and in some instances, unfit for </w:t>
      </w:r>
      <w:r w:rsidR="004E04DB">
        <w:rPr>
          <w:rFonts w:ascii="Arial" w:hAnsi="Arial" w:cs="Arial"/>
        </w:rPr>
        <w:t>purpose</w:t>
      </w:r>
      <w:r w:rsidRPr="00693378">
        <w:rPr>
          <w:rFonts w:ascii="Arial" w:hAnsi="Arial" w:cs="Arial"/>
        </w:rPr>
        <w:t>.</w:t>
      </w:r>
    </w:p>
    <w:p w14:paraId="5C0F2957" w14:textId="45380A79" w:rsidR="000918F2" w:rsidRPr="00693378" w:rsidRDefault="000918F2" w:rsidP="0016193F">
      <w:pPr>
        <w:pStyle w:val="NormalWeb"/>
        <w:numPr>
          <w:ilvl w:val="0"/>
          <w:numId w:val="28"/>
        </w:numPr>
        <w:spacing w:after="120" w:afterAutospacing="0"/>
        <w:ind w:left="357" w:hanging="357"/>
        <w:rPr>
          <w:rFonts w:ascii="Arial" w:hAnsi="Arial" w:cs="Arial"/>
        </w:rPr>
      </w:pPr>
      <w:r w:rsidRPr="00693378">
        <w:rPr>
          <w:rFonts w:ascii="Arial" w:hAnsi="Arial" w:cs="Arial"/>
        </w:rPr>
        <w:t>The rules and procedures governing Tribunals in Wales have developed piecemeal from a wide range of different legislation</w:t>
      </w:r>
      <w:r w:rsidR="004B7209" w:rsidRPr="00693378">
        <w:rPr>
          <w:rFonts w:ascii="Arial" w:hAnsi="Arial" w:cs="Arial"/>
        </w:rPr>
        <w:t xml:space="preserve">, resulting in gaps </w:t>
      </w:r>
      <w:r w:rsidR="004B7209">
        <w:rPr>
          <w:rFonts w:ascii="Arial" w:hAnsi="Arial" w:cs="Arial"/>
        </w:rPr>
        <w:t xml:space="preserve">and inconsistencies </w:t>
      </w:r>
      <w:r w:rsidR="004B7209" w:rsidRPr="00693378">
        <w:rPr>
          <w:rFonts w:ascii="Arial" w:hAnsi="Arial" w:cs="Arial"/>
        </w:rPr>
        <w:t>in the legislation</w:t>
      </w:r>
      <w:r w:rsidRPr="00693378">
        <w:rPr>
          <w:rFonts w:ascii="Arial" w:hAnsi="Arial" w:cs="Arial"/>
        </w:rPr>
        <w:t>.</w:t>
      </w:r>
      <w:r w:rsidR="00693378" w:rsidRPr="00693378">
        <w:rPr>
          <w:rFonts w:ascii="Arial" w:hAnsi="Arial" w:cs="Arial"/>
        </w:rPr>
        <w:t xml:space="preserve"> </w:t>
      </w:r>
      <w:r w:rsidRPr="00693378">
        <w:rPr>
          <w:rFonts w:ascii="Arial" w:hAnsi="Arial" w:cs="Arial"/>
        </w:rPr>
        <w:t>Much of the legislation was developed outside the devolution process.</w:t>
      </w:r>
      <w:r w:rsidR="00693378" w:rsidRPr="00693378">
        <w:rPr>
          <w:rFonts w:ascii="Arial" w:hAnsi="Arial" w:cs="Arial"/>
        </w:rPr>
        <w:t xml:space="preserve"> </w:t>
      </w:r>
      <w:r w:rsidRPr="00693378">
        <w:rPr>
          <w:rFonts w:ascii="Arial" w:hAnsi="Arial" w:cs="Arial"/>
        </w:rPr>
        <w:t xml:space="preserve">Changes made by the Wales Act 2017 </w:t>
      </w:r>
      <w:r w:rsidR="004E04DB">
        <w:rPr>
          <w:rFonts w:ascii="Arial" w:hAnsi="Arial" w:cs="Arial"/>
        </w:rPr>
        <w:t xml:space="preserve">(which introduced the role of President of Welsh Tribunals) </w:t>
      </w:r>
      <w:r w:rsidRPr="00693378">
        <w:rPr>
          <w:rFonts w:ascii="Arial" w:hAnsi="Arial" w:cs="Arial"/>
        </w:rPr>
        <w:t xml:space="preserve">have not been </w:t>
      </w:r>
      <w:r w:rsidR="004E04DB">
        <w:rPr>
          <w:rFonts w:ascii="Arial" w:hAnsi="Arial" w:cs="Arial"/>
        </w:rPr>
        <w:t>reflected in the legislation which underpins those tribunals.</w:t>
      </w:r>
    </w:p>
    <w:p w14:paraId="4CB1E6DD" w14:textId="77777777" w:rsidR="007523FD" w:rsidRPr="0016193F" w:rsidRDefault="007523FD" w:rsidP="0016193F">
      <w:pPr>
        <w:pStyle w:val="NormalWeb"/>
        <w:numPr>
          <w:ilvl w:val="0"/>
          <w:numId w:val="28"/>
        </w:numPr>
        <w:spacing w:after="120" w:afterAutospacing="0"/>
        <w:ind w:left="357" w:hanging="357"/>
        <w:rPr>
          <w:rFonts w:ascii="Arial" w:hAnsi="Arial" w:cs="Arial"/>
        </w:rPr>
      </w:pPr>
      <w:r w:rsidRPr="0016193F">
        <w:rPr>
          <w:rFonts w:ascii="Arial" w:hAnsi="Arial" w:cs="Arial"/>
        </w:rPr>
        <w:t xml:space="preserve">The terms of reference </w:t>
      </w:r>
      <w:r w:rsidR="00D21392">
        <w:rPr>
          <w:rFonts w:ascii="Arial" w:hAnsi="Arial" w:cs="Arial"/>
        </w:rPr>
        <w:t xml:space="preserve">for the project </w:t>
      </w:r>
      <w:r w:rsidRPr="0016193F">
        <w:rPr>
          <w:rFonts w:ascii="Arial" w:hAnsi="Arial" w:cs="Arial"/>
        </w:rPr>
        <w:t xml:space="preserve">state that the project will consider matters relating to a new Tribunals Bill for Wales, </w:t>
      </w:r>
      <w:bookmarkStart w:id="41" w:name="_Hlk37836133"/>
      <w:r w:rsidRPr="0016193F">
        <w:rPr>
          <w:rFonts w:ascii="Arial" w:hAnsi="Arial" w:cs="Arial"/>
        </w:rPr>
        <w:t>designed to regulate the operation of a single system for tribunals in Wales. The review will cover issues including:</w:t>
      </w:r>
    </w:p>
    <w:p w14:paraId="5FF29A94" w14:textId="77777777" w:rsidR="007523FD" w:rsidRPr="0016193F" w:rsidRDefault="007523FD" w:rsidP="007523FD">
      <w:pPr>
        <w:pStyle w:val="Text3"/>
        <w:tabs>
          <w:tab w:val="clear" w:pos="1247"/>
        </w:tabs>
        <w:ind w:firstLine="0"/>
        <w:rPr>
          <w:sz w:val="24"/>
          <w:szCs w:val="24"/>
        </w:rPr>
      </w:pPr>
      <w:r w:rsidRPr="0016193F">
        <w:rPr>
          <w:sz w:val="24"/>
          <w:szCs w:val="24"/>
        </w:rPr>
        <w:t>the scope of a tribunal system for Wales</w:t>
      </w:r>
      <w:r w:rsidR="00012DA6">
        <w:rPr>
          <w:sz w:val="24"/>
          <w:szCs w:val="24"/>
        </w:rPr>
        <w:t>;</w:t>
      </w:r>
    </w:p>
    <w:bookmarkEnd w:id="41"/>
    <w:p w14:paraId="792107FD" w14:textId="77777777" w:rsidR="007523FD" w:rsidRPr="0016193F" w:rsidRDefault="007523FD" w:rsidP="007523FD">
      <w:pPr>
        <w:pStyle w:val="Text3"/>
        <w:tabs>
          <w:tab w:val="clear" w:pos="1247"/>
        </w:tabs>
        <w:ind w:firstLine="0"/>
        <w:rPr>
          <w:sz w:val="24"/>
          <w:szCs w:val="24"/>
        </w:rPr>
      </w:pPr>
      <w:r w:rsidRPr="0016193F">
        <w:rPr>
          <w:sz w:val="24"/>
          <w:szCs w:val="24"/>
        </w:rPr>
        <w:t>the roles of the President of Welsh Tribunals and the Welsh Tribunals Unit</w:t>
      </w:r>
      <w:r w:rsidR="00012DA6">
        <w:rPr>
          <w:sz w:val="24"/>
          <w:szCs w:val="24"/>
        </w:rPr>
        <w:t>;</w:t>
      </w:r>
    </w:p>
    <w:p w14:paraId="033C6827" w14:textId="77777777" w:rsidR="007523FD" w:rsidRDefault="007523FD" w:rsidP="007523FD">
      <w:pPr>
        <w:pStyle w:val="Text3"/>
        <w:tabs>
          <w:tab w:val="clear" w:pos="1247"/>
        </w:tabs>
        <w:ind w:firstLine="0"/>
        <w:rPr>
          <w:sz w:val="24"/>
          <w:szCs w:val="24"/>
        </w:rPr>
      </w:pPr>
      <w:r w:rsidRPr="0016193F">
        <w:rPr>
          <w:sz w:val="24"/>
          <w:szCs w:val="24"/>
        </w:rPr>
        <w:t>appointment and discipline of Tribunal judges and other members</w:t>
      </w:r>
      <w:r w:rsidR="00012DA6">
        <w:rPr>
          <w:sz w:val="24"/>
          <w:szCs w:val="24"/>
        </w:rPr>
        <w:t>;</w:t>
      </w:r>
    </w:p>
    <w:p w14:paraId="3F7461BB" w14:textId="77777777" w:rsidR="00012DA6" w:rsidRPr="00012DA6" w:rsidRDefault="00012DA6" w:rsidP="000B308F">
      <w:pPr>
        <w:pStyle w:val="Text3"/>
        <w:ind w:left="1870"/>
        <w:rPr>
          <w:sz w:val="24"/>
          <w:szCs w:val="24"/>
        </w:rPr>
      </w:pPr>
      <w:r>
        <w:rPr>
          <w:sz w:val="24"/>
          <w:szCs w:val="24"/>
        </w:rPr>
        <w:t xml:space="preserve">appointment of Presidents and </w:t>
      </w:r>
      <w:r w:rsidRPr="00012DA6">
        <w:rPr>
          <w:sz w:val="24"/>
          <w:szCs w:val="24"/>
        </w:rPr>
        <w:t>Deputies</w:t>
      </w:r>
      <w:r>
        <w:rPr>
          <w:sz w:val="24"/>
          <w:szCs w:val="24"/>
        </w:rPr>
        <w:t>;</w:t>
      </w:r>
    </w:p>
    <w:p w14:paraId="6ED61A4D" w14:textId="77777777" w:rsidR="00012DA6" w:rsidRPr="00012DA6" w:rsidRDefault="00012DA6" w:rsidP="000B308F">
      <w:pPr>
        <w:pStyle w:val="Text3"/>
        <w:ind w:left="1870"/>
        <w:rPr>
          <w:sz w:val="24"/>
          <w:szCs w:val="24"/>
        </w:rPr>
      </w:pPr>
      <w:r>
        <w:rPr>
          <w:sz w:val="24"/>
          <w:szCs w:val="24"/>
        </w:rPr>
        <w:t xml:space="preserve">the </w:t>
      </w:r>
      <w:r w:rsidRPr="00012DA6">
        <w:rPr>
          <w:sz w:val="24"/>
          <w:szCs w:val="24"/>
        </w:rPr>
        <w:t>power to make and standardise procedural rules</w:t>
      </w:r>
      <w:r>
        <w:rPr>
          <w:sz w:val="24"/>
          <w:szCs w:val="24"/>
        </w:rPr>
        <w:t>;</w:t>
      </w:r>
    </w:p>
    <w:p w14:paraId="26BBE4E0" w14:textId="77777777" w:rsidR="00012DA6" w:rsidRPr="00012DA6" w:rsidRDefault="00012DA6" w:rsidP="000B308F">
      <w:pPr>
        <w:pStyle w:val="Text3"/>
        <w:ind w:left="1870"/>
        <w:rPr>
          <w:sz w:val="24"/>
          <w:szCs w:val="24"/>
        </w:rPr>
      </w:pPr>
      <w:r w:rsidRPr="00012DA6">
        <w:rPr>
          <w:sz w:val="24"/>
          <w:szCs w:val="24"/>
        </w:rPr>
        <w:t>appeals processes</w:t>
      </w:r>
      <w:r>
        <w:rPr>
          <w:sz w:val="24"/>
          <w:szCs w:val="24"/>
        </w:rPr>
        <w:t>;</w:t>
      </w:r>
    </w:p>
    <w:p w14:paraId="1148243E" w14:textId="77777777" w:rsidR="00012DA6" w:rsidRPr="00012DA6" w:rsidRDefault="00012DA6" w:rsidP="000B308F">
      <w:pPr>
        <w:pStyle w:val="Text3"/>
        <w:ind w:left="1870"/>
        <w:rPr>
          <w:sz w:val="24"/>
          <w:szCs w:val="24"/>
        </w:rPr>
      </w:pPr>
      <w:r w:rsidRPr="00012DA6">
        <w:rPr>
          <w:sz w:val="24"/>
          <w:szCs w:val="24"/>
        </w:rPr>
        <w:t>complaints process</w:t>
      </w:r>
      <w:r>
        <w:rPr>
          <w:sz w:val="24"/>
          <w:szCs w:val="24"/>
        </w:rPr>
        <w:t>es; and</w:t>
      </w:r>
    </w:p>
    <w:p w14:paraId="17A32136" w14:textId="77777777" w:rsidR="00012DA6" w:rsidRPr="0016193F" w:rsidRDefault="00012DA6" w:rsidP="00012DA6">
      <w:pPr>
        <w:pStyle w:val="Text3"/>
        <w:tabs>
          <w:tab w:val="clear" w:pos="1247"/>
        </w:tabs>
        <w:ind w:firstLine="0"/>
        <w:rPr>
          <w:sz w:val="24"/>
          <w:szCs w:val="24"/>
        </w:rPr>
      </w:pPr>
      <w:r w:rsidRPr="00012DA6">
        <w:rPr>
          <w:sz w:val="24"/>
          <w:szCs w:val="24"/>
        </w:rPr>
        <w:t>protecting judicial independenc</w:t>
      </w:r>
      <w:r>
        <w:rPr>
          <w:sz w:val="24"/>
          <w:szCs w:val="24"/>
        </w:rPr>
        <w:t>e.</w:t>
      </w:r>
    </w:p>
    <w:p w14:paraId="683DE16B" w14:textId="77777777" w:rsidR="00693378" w:rsidRDefault="0016193F" w:rsidP="0016193F">
      <w:pPr>
        <w:pStyle w:val="NormalWeb"/>
        <w:rPr>
          <w:rFonts w:ascii="Arial" w:hAnsi="Arial" w:cs="Arial"/>
          <w:b/>
          <w:sz w:val="32"/>
          <w:szCs w:val="32"/>
        </w:rPr>
      </w:pPr>
      <w:r w:rsidRPr="0016193F">
        <w:rPr>
          <w:rFonts w:ascii="Arial" w:hAnsi="Arial" w:cs="Arial"/>
          <w:b/>
          <w:sz w:val="32"/>
          <w:szCs w:val="32"/>
        </w:rPr>
        <w:t>Problem</w:t>
      </w:r>
      <w:r w:rsidR="00CC19FB">
        <w:rPr>
          <w:rFonts w:ascii="Arial" w:hAnsi="Arial" w:cs="Arial"/>
          <w:b/>
          <w:sz w:val="32"/>
          <w:szCs w:val="32"/>
        </w:rPr>
        <w:t xml:space="preserve"> under consideration</w:t>
      </w:r>
    </w:p>
    <w:p w14:paraId="28FDA6AE" w14:textId="77777777" w:rsidR="00000652" w:rsidRPr="00000652" w:rsidRDefault="00000652" w:rsidP="0016193F">
      <w:pPr>
        <w:pStyle w:val="NormalWeb"/>
        <w:rPr>
          <w:rFonts w:ascii="Arial" w:hAnsi="Arial" w:cs="Arial"/>
          <w:b/>
        </w:rPr>
      </w:pPr>
      <w:r w:rsidRPr="00000652">
        <w:rPr>
          <w:rFonts w:ascii="Arial" w:hAnsi="Arial" w:cs="Arial"/>
          <w:b/>
        </w:rPr>
        <w:t>Piecemeal development of tribunals</w:t>
      </w:r>
    </w:p>
    <w:p w14:paraId="25F02EC3" w14:textId="3B07B823" w:rsidR="0016193F" w:rsidRPr="00000652" w:rsidRDefault="0016193F" w:rsidP="00000652">
      <w:pPr>
        <w:pStyle w:val="NormalWeb"/>
        <w:numPr>
          <w:ilvl w:val="0"/>
          <w:numId w:val="28"/>
        </w:numPr>
        <w:spacing w:after="120" w:afterAutospacing="0"/>
        <w:ind w:left="357" w:hanging="357"/>
        <w:rPr>
          <w:rFonts w:ascii="Arial" w:hAnsi="Arial" w:cs="Arial"/>
        </w:rPr>
      </w:pPr>
      <w:r w:rsidRPr="00000652">
        <w:rPr>
          <w:rFonts w:ascii="Arial" w:hAnsi="Arial" w:cs="Arial"/>
        </w:rPr>
        <w:t>The rules and procedures governing devolved tribunals have developed piecemeal from a wide range of different pieces of legislation</w:t>
      </w:r>
      <w:r w:rsidR="00C50564">
        <w:rPr>
          <w:rFonts w:ascii="Arial" w:hAnsi="Arial" w:cs="Arial"/>
        </w:rPr>
        <w:t>. Unlike the non-devolved tribunals which were reformed by the Tribunals Courts and Enforcement Act 2007,</w:t>
      </w:r>
      <w:r w:rsidR="00A542C8">
        <w:rPr>
          <w:rFonts w:ascii="Arial" w:hAnsi="Arial" w:cs="Arial"/>
        </w:rPr>
        <w:t xml:space="preserve"> </w:t>
      </w:r>
      <w:r w:rsidR="00B837F0">
        <w:rPr>
          <w:rFonts w:ascii="Arial" w:hAnsi="Arial" w:cs="Arial"/>
        </w:rPr>
        <w:t>most of</w:t>
      </w:r>
      <w:r w:rsidR="00C50564">
        <w:rPr>
          <w:rFonts w:ascii="Arial" w:hAnsi="Arial" w:cs="Arial"/>
        </w:rPr>
        <w:t xml:space="preserve"> the devolved tribunals have not been significantly structurally reformed since their creation.</w:t>
      </w:r>
      <w:r w:rsidRPr="00000652">
        <w:rPr>
          <w:rFonts w:ascii="Arial" w:hAnsi="Arial" w:cs="Arial"/>
        </w:rPr>
        <w:t xml:space="preserve"> Previous reviews of the tribunal system (in</w:t>
      </w:r>
      <w:r w:rsidR="002A5A1F">
        <w:rPr>
          <w:rFonts w:ascii="Arial" w:hAnsi="Arial" w:cs="Arial"/>
        </w:rPr>
        <w:t>cluding in</w:t>
      </w:r>
      <w:r w:rsidRPr="00000652">
        <w:rPr>
          <w:rFonts w:ascii="Arial" w:hAnsi="Arial" w:cs="Arial"/>
        </w:rPr>
        <w:t xml:space="preserve"> 2010 by the Welsh Committee of the Administrative Justice and Tribunals Council and in 2014 by the Welsh Government) had </w:t>
      </w:r>
      <w:r w:rsidR="002A5A1F">
        <w:rPr>
          <w:rFonts w:ascii="Arial" w:hAnsi="Arial" w:cs="Arial"/>
        </w:rPr>
        <w:t>some</w:t>
      </w:r>
      <w:r w:rsidR="002A5A1F" w:rsidRPr="00000652">
        <w:rPr>
          <w:rFonts w:ascii="Arial" w:hAnsi="Arial" w:cs="Arial"/>
        </w:rPr>
        <w:t xml:space="preserve"> </w:t>
      </w:r>
      <w:r w:rsidRPr="00000652">
        <w:rPr>
          <w:rFonts w:ascii="Arial" w:hAnsi="Arial" w:cs="Arial"/>
        </w:rPr>
        <w:t xml:space="preserve">impact. </w:t>
      </w:r>
      <w:r w:rsidR="002A5A1F">
        <w:rPr>
          <w:rFonts w:ascii="Arial" w:hAnsi="Arial" w:cs="Arial"/>
        </w:rPr>
        <w:t>They</w:t>
      </w:r>
      <w:r w:rsidRPr="00000652">
        <w:rPr>
          <w:rFonts w:ascii="Arial" w:hAnsi="Arial" w:cs="Arial"/>
        </w:rPr>
        <w:t xml:space="preserve"> led to the creation of the Welsh Tribunals Unit (“WTU”), which provides administrative support to the Welsh tribunals </w:t>
      </w:r>
      <w:r w:rsidR="00C50564">
        <w:rPr>
          <w:rFonts w:ascii="Arial" w:hAnsi="Arial" w:cs="Arial"/>
        </w:rPr>
        <w:t>defined by section 59(1) of the Wales Act 2017</w:t>
      </w:r>
      <w:r w:rsidRPr="00000652">
        <w:rPr>
          <w:rFonts w:ascii="Arial" w:hAnsi="Arial" w:cs="Arial"/>
        </w:rPr>
        <w:t xml:space="preserve">, and the role of President of Welsh Tribunals. </w:t>
      </w:r>
    </w:p>
    <w:p w14:paraId="0A3EC89C" w14:textId="77777777" w:rsidR="0016193F" w:rsidRDefault="0016193F" w:rsidP="00000652">
      <w:pPr>
        <w:pStyle w:val="NormalWeb"/>
        <w:numPr>
          <w:ilvl w:val="0"/>
          <w:numId w:val="28"/>
        </w:numPr>
        <w:spacing w:after="120" w:afterAutospacing="0"/>
        <w:ind w:left="357" w:hanging="357"/>
        <w:rPr>
          <w:rFonts w:ascii="Arial" w:hAnsi="Arial" w:cs="Arial"/>
        </w:rPr>
      </w:pPr>
      <w:r w:rsidRPr="00000652">
        <w:rPr>
          <w:rFonts w:ascii="Arial" w:hAnsi="Arial" w:cs="Arial"/>
        </w:rPr>
        <w:t>The current holder of that office, Sir Wyn Williams, has noted that the ambit of his role is ambiguous in places. It is not clear, for example, that the President of Welsh Tribunals is entitled to sit as a judge</w:t>
      </w:r>
      <w:r w:rsidR="00486722">
        <w:rPr>
          <w:rFonts w:ascii="Arial" w:hAnsi="Arial" w:cs="Arial"/>
        </w:rPr>
        <w:t xml:space="preserve"> in the tribunals</w:t>
      </w:r>
      <w:r w:rsidRPr="00000652">
        <w:rPr>
          <w:rFonts w:ascii="Arial" w:hAnsi="Arial" w:cs="Arial"/>
        </w:rPr>
        <w:t>. It is also unclear what role the President has in relation to complaints about the tribunals within his remit.</w:t>
      </w:r>
    </w:p>
    <w:p w14:paraId="25A2AD04" w14:textId="3EE217D5" w:rsidR="00780C8A" w:rsidRDefault="00780C8A" w:rsidP="00000652">
      <w:pPr>
        <w:pStyle w:val="NormalWeb"/>
        <w:numPr>
          <w:ilvl w:val="0"/>
          <w:numId w:val="28"/>
        </w:numPr>
        <w:spacing w:after="120" w:afterAutospacing="0"/>
        <w:ind w:left="357" w:hanging="357"/>
        <w:rPr>
          <w:rFonts w:ascii="Arial" w:hAnsi="Arial" w:cs="Arial"/>
        </w:rPr>
      </w:pPr>
      <w:r>
        <w:rPr>
          <w:rFonts w:ascii="Arial" w:hAnsi="Arial" w:cs="Arial"/>
        </w:rPr>
        <w:t xml:space="preserve">Some devolved tribunals </w:t>
      </w:r>
      <w:r w:rsidR="0083486F">
        <w:rPr>
          <w:rFonts w:ascii="Arial" w:hAnsi="Arial" w:cs="Arial"/>
        </w:rPr>
        <w:t xml:space="preserve">which are not administered by the WTU </w:t>
      </w:r>
      <w:r>
        <w:rPr>
          <w:rFonts w:ascii="Arial" w:hAnsi="Arial" w:cs="Arial"/>
        </w:rPr>
        <w:t xml:space="preserve">are not listed in the Wales Act 2017 and so are not subject to the supervision of the President of Welsh Tribunals. The </w:t>
      </w:r>
      <w:r w:rsidR="00C25BE0">
        <w:rPr>
          <w:rFonts w:ascii="Arial" w:hAnsi="Arial" w:cs="Arial"/>
        </w:rPr>
        <w:t>Valuation Tribunal for Wales</w:t>
      </w:r>
      <w:r>
        <w:rPr>
          <w:rFonts w:ascii="Arial" w:hAnsi="Arial" w:cs="Arial"/>
        </w:rPr>
        <w:t xml:space="preserve"> is sponsored by the Welsh Government but governed by its own Governing Council, as well as a Chief Executive Office and a President. School exclusion and admission appeal panels are administered locally, usually by lo</w:t>
      </w:r>
      <w:r w:rsidR="002A5A1F">
        <w:rPr>
          <w:rFonts w:ascii="Arial" w:hAnsi="Arial" w:cs="Arial"/>
        </w:rPr>
        <w:t xml:space="preserve">cal authorities. </w:t>
      </w:r>
    </w:p>
    <w:p w14:paraId="6CD42999" w14:textId="77777777" w:rsidR="00000652" w:rsidRPr="00000652" w:rsidRDefault="00000652" w:rsidP="00000652">
      <w:pPr>
        <w:pStyle w:val="NormalWeb"/>
        <w:spacing w:after="120" w:afterAutospacing="0"/>
        <w:rPr>
          <w:rFonts w:ascii="Arial" w:hAnsi="Arial" w:cs="Arial"/>
          <w:b/>
        </w:rPr>
      </w:pPr>
      <w:r w:rsidRPr="00000652">
        <w:rPr>
          <w:rFonts w:ascii="Arial" w:hAnsi="Arial" w:cs="Arial"/>
          <w:b/>
        </w:rPr>
        <w:t>Lack of structural independence</w:t>
      </w:r>
    </w:p>
    <w:p w14:paraId="224CC6CC" w14:textId="77777777" w:rsidR="0016193F" w:rsidRPr="00000652" w:rsidRDefault="0016193F" w:rsidP="00000652">
      <w:pPr>
        <w:pStyle w:val="NormalWeb"/>
        <w:numPr>
          <w:ilvl w:val="0"/>
          <w:numId w:val="28"/>
        </w:numPr>
        <w:spacing w:after="120" w:afterAutospacing="0"/>
        <w:ind w:left="357" w:hanging="357"/>
        <w:rPr>
          <w:rFonts w:ascii="Arial" w:hAnsi="Arial" w:cs="Arial"/>
        </w:rPr>
      </w:pPr>
      <w:r w:rsidRPr="00000652">
        <w:rPr>
          <w:rFonts w:ascii="Arial" w:hAnsi="Arial" w:cs="Arial"/>
        </w:rPr>
        <w:t>Concerns have been raised about the status of the WTU, which forms part of and is funded by the Welsh Government.</w:t>
      </w:r>
      <w:r w:rsidRPr="00000652">
        <w:rPr>
          <w:rStyle w:val="FootnoteReference"/>
          <w:rFonts w:ascii="Arial" w:eastAsia="SimSun" w:hAnsi="Arial" w:cs="Arial"/>
          <w:sz w:val="24"/>
        </w:rPr>
        <w:footnoteReference w:id="2"/>
      </w:r>
      <w:r w:rsidRPr="00000652">
        <w:rPr>
          <w:rFonts w:ascii="Arial" w:hAnsi="Arial" w:cs="Arial"/>
        </w:rPr>
        <w:t xml:space="preserve"> The President of Welsh Tribunals has argued that it would benefit from greater structural independence.</w:t>
      </w:r>
      <w:r w:rsidRPr="00000652">
        <w:rPr>
          <w:rStyle w:val="FootnoteReference"/>
          <w:rFonts w:ascii="Arial" w:eastAsia="SimSun" w:hAnsi="Arial" w:cs="Arial"/>
          <w:sz w:val="24"/>
        </w:rPr>
        <w:footnoteReference w:id="3"/>
      </w:r>
      <w:r w:rsidRPr="00000652">
        <w:rPr>
          <w:rFonts w:ascii="Arial" w:hAnsi="Arial" w:cs="Arial"/>
        </w:rPr>
        <w:t xml:space="preserve"> </w:t>
      </w:r>
      <w:r w:rsidR="00CD666C">
        <w:rPr>
          <w:rFonts w:ascii="Arial" w:hAnsi="Arial" w:cs="Arial"/>
        </w:rPr>
        <w:t>A similar recommendation has been made by the Commission on Justice in Wales, which reported in 2019.</w:t>
      </w:r>
      <w:r w:rsidR="00CD666C">
        <w:rPr>
          <w:rStyle w:val="FootnoteReference"/>
          <w:rFonts w:ascii="Arial" w:hAnsi="Arial"/>
        </w:rPr>
        <w:footnoteReference w:id="4"/>
      </w:r>
      <w:r w:rsidR="00CD666C">
        <w:rPr>
          <w:rFonts w:ascii="Arial" w:hAnsi="Arial" w:cs="Arial"/>
        </w:rPr>
        <w:t xml:space="preserve"> </w:t>
      </w:r>
      <w:r w:rsidR="002A5A1F">
        <w:rPr>
          <w:rFonts w:ascii="Arial" w:hAnsi="Arial" w:cs="Arial"/>
        </w:rPr>
        <w:t>The WTU’s</w:t>
      </w:r>
      <w:r w:rsidRPr="00000652">
        <w:rPr>
          <w:rFonts w:ascii="Arial" w:hAnsi="Arial" w:cs="Arial"/>
        </w:rPr>
        <w:t xml:space="preserve"> lack of independent status has caused problems in the past, in particular in relation to ascertaining and meeting its data protection obligations.</w:t>
      </w:r>
      <w:r w:rsidR="0004328D">
        <w:rPr>
          <w:rFonts w:ascii="Arial" w:hAnsi="Arial" w:cs="Arial"/>
        </w:rPr>
        <w:t xml:space="preserve"> Despite the need for the WTU and the President of Welsh Tribunals to work closely together to ensure the proper functioning of the tribunals, there is no formal relationship between the two. </w:t>
      </w:r>
    </w:p>
    <w:p w14:paraId="7A288F34" w14:textId="77777777" w:rsidR="00000652" w:rsidRPr="00000652" w:rsidRDefault="00000652" w:rsidP="00000652">
      <w:pPr>
        <w:pStyle w:val="Text2"/>
        <w:tabs>
          <w:tab w:val="clear" w:pos="624"/>
        </w:tabs>
        <w:ind w:left="0" w:firstLine="0"/>
        <w:rPr>
          <w:b/>
          <w:sz w:val="24"/>
          <w:szCs w:val="24"/>
        </w:rPr>
      </w:pPr>
      <w:r w:rsidRPr="00000652">
        <w:rPr>
          <w:b/>
          <w:sz w:val="24"/>
          <w:szCs w:val="24"/>
        </w:rPr>
        <w:t>Inconsistent approach</w:t>
      </w:r>
    </w:p>
    <w:p w14:paraId="010AB88D" w14:textId="77777777" w:rsidR="0016193F" w:rsidRPr="00000652" w:rsidRDefault="0016193F" w:rsidP="002A5A1F">
      <w:pPr>
        <w:pStyle w:val="NormalWeb"/>
        <w:numPr>
          <w:ilvl w:val="0"/>
          <w:numId w:val="28"/>
        </w:numPr>
        <w:spacing w:after="120" w:afterAutospacing="0"/>
        <w:rPr>
          <w:rFonts w:ascii="Arial" w:hAnsi="Arial" w:cs="Arial"/>
        </w:rPr>
      </w:pPr>
      <w:r w:rsidRPr="00000652">
        <w:rPr>
          <w:rFonts w:ascii="Arial" w:hAnsi="Arial" w:cs="Arial"/>
        </w:rPr>
        <w:t xml:space="preserve">There is a general problem with consistency across the tribunals administered by the WTU and under the supervision of the President of Welsh Tribunals. Appeal structures vary; appeals from some tribunals are to the High Court, while others are to the Upper Tribunal. </w:t>
      </w:r>
      <w:r w:rsidR="002A5A1F" w:rsidRPr="002A5A1F">
        <w:rPr>
          <w:rFonts w:ascii="Arial" w:hAnsi="Arial" w:cs="Arial"/>
        </w:rPr>
        <w:t xml:space="preserve">There is no </w:t>
      </w:r>
      <w:r w:rsidR="002A5A1F">
        <w:rPr>
          <w:rFonts w:ascii="Arial" w:hAnsi="Arial" w:cs="Arial"/>
        </w:rPr>
        <w:t xml:space="preserve">dedicated </w:t>
      </w:r>
      <w:r w:rsidR="002A5A1F" w:rsidRPr="002A5A1F">
        <w:rPr>
          <w:rFonts w:ascii="Arial" w:hAnsi="Arial" w:cs="Arial"/>
        </w:rPr>
        <w:t xml:space="preserve">route of appeal from </w:t>
      </w:r>
      <w:r w:rsidR="002A5A1F">
        <w:rPr>
          <w:rFonts w:ascii="Arial" w:hAnsi="Arial" w:cs="Arial"/>
        </w:rPr>
        <w:t>decisions of school admission and exclusion appeal panels</w:t>
      </w:r>
      <w:r w:rsidR="002A5A1F" w:rsidRPr="002A5A1F">
        <w:rPr>
          <w:rFonts w:ascii="Arial" w:hAnsi="Arial" w:cs="Arial"/>
        </w:rPr>
        <w:t>, with applicants expected instead to complain to the Public Services Ombudsman for Wales or judicially review the decision.</w:t>
      </w:r>
      <w:r w:rsidR="002A5A1F">
        <w:rPr>
          <w:rFonts w:ascii="Arial" w:hAnsi="Arial" w:cs="Arial"/>
        </w:rPr>
        <w:t xml:space="preserve"> </w:t>
      </w:r>
      <w:r w:rsidRPr="00000652">
        <w:rPr>
          <w:rFonts w:ascii="Arial" w:hAnsi="Arial" w:cs="Arial"/>
        </w:rPr>
        <w:t xml:space="preserve">There are also significant variations in procedural rules between the tribunals, and in the powers to make those procedural rules. </w:t>
      </w:r>
    </w:p>
    <w:p w14:paraId="1356BA0A" w14:textId="77777777" w:rsidR="0016193F" w:rsidRDefault="0016193F" w:rsidP="00000652">
      <w:pPr>
        <w:pStyle w:val="NormalWeb"/>
        <w:numPr>
          <w:ilvl w:val="0"/>
          <w:numId w:val="28"/>
        </w:numPr>
        <w:spacing w:after="120" w:afterAutospacing="0"/>
        <w:ind w:left="357" w:hanging="357"/>
        <w:rPr>
          <w:rFonts w:ascii="Arial" w:hAnsi="Arial" w:cs="Arial"/>
        </w:rPr>
      </w:pPr>
      <w:r w:rsidRPr="00000652">
        <w:rPr>
          <w:rFonts w:ascii="Arial" w:hAnsi="Arial" w:cs="Arial"/>
        </w:rPr>
        <w:t xml:space="preserve">Appointments procedures are also inconsistent, with some tribunal members being appointed by the Welsh Ministers and others by the Lord Chancellor or Lord Chief Justice. </w:t>
      </w:r>
      <w:r w:rsidR="00780C8A">
        <w:rPr>
          <w:rFonts w:ascii="Arial" w:hAnsi="Arial" w:cs="Arial"/>
        </w:rPr>
        <w:t>T</w:t>
      </w:r>
      <w:r w:rsidRPr="00000652">
        <w:rPr>
          <w:rFonts w:ascii="Arial" w:hAnsi="Arial" w:cs="Arial"/>
        </w:rPr>
        <w:t>he Judicial Conduct (Tribunals) Rules 2014 (which apply to UK tribunal members) do not apply</w:t>
      </w:r>
      <w:r w:rsidR="00780C8A">
        <w:rPr>
          <w:rFonts w:ascii="Arial" w:hAnsi="Arial" w:cs="Arial"/>
        </w:rPr>
        <w:t xml:space="preserve"> to all members of devolved tribunals</w:t>
      </w:r>
      <w:r w:rsidRPr="00000652">
        <w:rPr>
          <w:rFonts w:ascii="Arial" w:hAnsi="Arial" w:cs="Arial"/>
        </w:rPr>
        <w:t>, and the arrangements for hearing of complaints are unclear.</w:t>
      </w:r>
      <w:r w:rsidR="00C95593">
        <w:rPr>
          <w:rFonts w:ascii="Arial" w:hAnsi="Arial" w:cs="Arial"/>
        </w:rPr>
        <w:t xml:space="preserve"> For example, the arrangements for hearing of complaints in relation to the </w:t>
      </w:r>
      <w:r w:rsidR="00A500C6">
        <w:rPr>
          <w:rFonts w:ascii="Arial" w:hAnsi="Arial" w:cs="Arial"/>
        </w:rPr>
        <w:t>Mental Health Review Tribunal for Wales [</w:t>
      </w:r>
      <w:r w:rsidR="00C95593">
        <w:rPr>
          <w:rFonts w:ascii="Arial" w:hAnsi="Arial" w:cs="Arial"/>
        </w:rPr>
        <w:t>MHRTW</w:t>
      </w:r>
      <w:r w:rsidR="00A500C6">
        <w:rPr>
          <w:rFonts w:ascii="Arial" w:hAnsi="Arial" w:cs="Arial"/>
        </w:rPr>
        <w:t>]</w:t>
      </w:r>
      <w:r w:rsidR="00C95593">
        <w:rPr>
          <w:rFonts w:ascii="Arial" w:hAnsi="Arial" w:cs="Arial"/>
        </w:rPr>
        <w:t xml:space="preserve"> refer to complaints being determined by a “liaison judge”, who has not been appointed.</w:t>
      </w:r>
      <w:r w:rsidRPr="00000652">
        <w:rPr>
          <w:rFonts w:ascii="Arial" w:hAnsi="Arial" w:cs="Arial"/>
        </w:rPr>
        <w:t xml:space="preserve"> </w:t>
      </w:r>
    </w:p>
    <w:p w14:paraId="012BC9AF" w14:textId="77777777" w:rsidR="00780C8A" w:rsidRPr="00000652" w:rsidRDefault="00780C8A" w:rsidP="00000652">
      <w:pPr>
        <w:pStyle w:val="NormalWeb"/>
        <w:numPr>
          <w:ilvl w:val="0"/>
          <w:numId w:val="28"/>
        </w:numPr>
        <w:spacing w:after="120" w:afterAutospacing="0"/>
        <w:ind w:left="357" w:hanging="357"/>
        <w:rPr>
          <w:rFonts w:ascii="Arial" w:hAnsi="Arial" w:cs="Arial"/>
        </w:rPr>
      </w:pPr>
      <w:r>
        <w:rPr>
          <w:rFonts w:ascii="Arial" w:hAnsi="Arial" w:cs="Arial"/>
        </w:rPr>
        <w:t xml:space="preserve">These inconsistencies are more marked for the </w:t>
      </w:r>
      <w:r w:rsidR="00C25BE0">
        <w:rPr>
          <w:rFonts w:ascii="Arial" w:hAnsi="Arial" w:cs="Arial"/>
        </w:rPr>
        <w:t>Valuation Tribunal for Wales</w:t>
      </w:r>
      <w:r>
        <w:rPr>
          <w:rFonts w:ascii="Arial" w:hAnsi="Arial" w:cs="Arial"/>
        </w:rPr>
        <w:t xml:space="preserve"> and school exclusion and admission appeal panels. The President of the </w:t>
      </w:r>
      <w:r w:rsidR="00C25BE0">
        <w:rPr>
          <w:rFonts w:ascii="Arial" w:hAnsi="Arial" w:cs="Arial"/>
        </w:rPr>
        <w:t>Valuation Tribunal for Wales</w:t>
      </w:r>
      <w:r>
        <w:rPr>
          <w:rFonts w:ascii="Arial" w:hAnsi="Arial" w:cs="Arial"/>
        </w:rPr>
        <w:t>, for example, is elected by its members</w:t>
      </w:r>
      <w:r w:rsidR="00A9411B">
        <w:rPr>
          <w:rFonts w:ascii="Arial" w:hAnsi="Arial" w:cs="Arial"/>
        </w:rPr>
        <w:t xml:space="preserve"> rather than externally appointed.</w:t>
      </w:r>
      <w:r>
        <w:rPr>
          <w:rFonts w:ascii="Arial" w:hAnsi="Arial" w:cs="Arial"/>
        </w:rPr>
        <w:t xml:space="preserve"> </w:t>
      </w:r>
    </w:p>
    <w:p w14:paraId="07E4F876" w14:textId="77777777" w:rsidR="0016193F" w:rsidRDefault="0016193F" w:rsidP="0016193F">
      <w:pPr>
        <w:pStyle w:val="NormalWeb"/>
        <w:rPr>
          <w:rFonts w:ascii="Arial" w:hAnsi="Arial" w:cs="Arial"/>
          <w:b/>
          <w:sz w:val="32"/>
          <w:szCs w:val="32"/>
        </w:rPr>
      </w:pPr>
      <w:r>
        <w:rPr>
          <w:rFonts w:ascii="Arial" w:hAnsi="Arial" w:cs="Arial"/>
          <w:b/>
          <w:sz w:val="32"/>
          <w:szCs w:val="32"/>
        </w:rPr>
        <w:t>Policy Objectives</w:t>
      </w:r>
    </w:p>
    <w:p w14:paraId="761C7356" w14:textId="77EC48B5" w:rsidR="00C75EC6" w:rsidRPr="00A5318C" w:rsidRDefault="0004328D" w:rsidP="000B308F">
      <w:pPr>
        <w:pStyle w:val="NormalWeb"/>
        <w:numPr>
          <w:ilvl w:val="0"/>
          <w:numId w:val="28"/>
        </w:numPr>
        <w:spacing w:after="120" w:afterAutospacing="0"/>
        <w:ind w:left="357" w:hanging="357"/>
        <w:rPr>
          <w:rFonts w:ascii="Arial" w:hAnsi="Arial" w:cs="Arial"/>
        </w:rPr>
      </w:pPr>
      <w:r w:rsidRPr="00A51C4E">
        <w:rPr>
          <w:rFonts w:ascii="Arial" w:hAnsi="Arial" w:cs="Arial"/>
        </w:rPr>
        <w:t xml:space="preserve">We </w:t>
      </w:r>
      <w:r w:rsidR="00AC2262">
        <w:rPr>
          <w:rFonts w:ascii="Arial" w:hAnsi="Arial" w:cs="Arial"/>
        </w:rPr>
        <w:t>recommend</w:t>
      </w:r>
      <w:r w:rsidRPr="00A51C4E">
        <w:rPr>
          <w:rFonts w:ascii="Arial" w:hAnsi="Arial" w:cs="Arial"/>
        </w:rPr>
        <w:t xml:space="preserve"> creating a unified first-tier tribunal for Wales</w:t>
      </w:r>
      <w:r w:rsidR="00BA2F3D">
        <w:rPr>
          <w:rFonts w:ascii="Arial" w:hAnsi="Arial" w:cs="Arial"/>
        </w:rPr>
        <w:t>, together with a unified appeal tribunal</w:t>
      </w:r>
      <w:r w:rsidRPr="00A51C4E">
        <w:rPr>
          <w:rFonts w:ascii="Arial" w:hAnsi="Arial" w:cs="Arial"/>
        </w:rPr>
        <w:t>. Th</w:t>
      </w:r>
      <w:r w:rsidR="00BA2F3D">
        <w:rPr>
          <w:rFonts w:ascii="Arial" w:hAnsi="Arial" w:cs="Arial"/>
        </w:rPr>
        <w:t>e first-tier tribunal</w:t>
      </w:r>
      <w:r w:rsidRPr="003E322F">
        <w:rPr>
          <w:rFonts w:ascii="Arial" w:hAnsi="Arial" w:cs="Arial"/>
        </w:rPr>
        <w:t xml:space="preserve"> could then be subdivided into chambers by subject area, to preserv</w:t>
      </w:r>
      <w:r w:rsidRPr="00A5318C">
        <w:rPr>
          <w:rFonts w:ascii="Arial" w:hAnsi="Arial" w:cs="Arial"/>
        </w:rPr>
        <w:t xml:space="preserve">e judicial and administrative expertise within existing tribunals. This would be simpler to understand for tribunal users. Chambers could be created, added to or consolidated by secondary legislation, creating a more flexible system capable of responding to the changing needs of the </w:t>
      </w:r>
      <w:r w:rsidR="00E308DF">
        <w:rPr>
          <w:rFonts w:ascii="Arial" w:hAnsi="Arial" w:cs="Arial"/>
        </w:rPr>
        <w:t>Wales</w:t>
      </w:r>
      <w:r w:rsidRPr="00A5318C">
        <w:rPr>
          <w:rFonts w:ascii="Arial" w:hAnsi="Arial" w:cs="Arial"/>
        </w:rPr>
        <w:t xml:space="preserve">.   </w:t>
      </w:r>
      <w:r w:rsidR="00C75EC6" w:rsidRPr="00A5318C">
        <w:rPr>
          <w:rFonts w:ascii="Arial" w:hAnsi="Arial" w:cs="Arial"/>
        </w:rPr>
        <w:t xml:space="preserve"> </w:t>
      </w:r>
    </w:p>
    <w:p w14:paraId="3C819B3C" w14:textId="77777777" w:rsidR="0004328D" w:rsidRDefault="00C75EC6" w:rsidP="000B308F">
      <w:pPr>
        <w:pStyle w:val="NormalWeb"/>
        <w:numPr>
          <w:ilvl w:val="0"/>
          <w:numId w:val="28"/>
        </w:numPr>
        <w:spacing w:after="120" w:afterAutospacing="0"/>
        <w:ind w:left="357" w:hanging="357"/>
        <w:rPr>
          <w:rFonts w:ascii="Arial" w:hAnsi="Arial" w:cs="Arial"/>
        </w:rPr>
      </w:pPr>
      <w:r>
        <w:rPr>
          <w:rFonts w:ascii="Arial" w:hAnsi="Arial" w:cs="Arial"/>
        </w:rPr>
        <w:t>The legislation which underpins that system would include consistent rules for the appointment and discipline of tribunal judges, members and judicial leads. It would also include a specific duty for Welsh Ministers to respect judicial independence when exercising any functions under the legislation.</w:t>
      </w:r>
      <w:r w:rsidR="00A5318C" w:rsidRPr="00A5318C">
        <w:rPr>
          <w:rFonts w:ascii="Arial" w:hAnsi="Arial" w:cs="Arial"/>
        </w:rPr>
        <w:t xml:space="preserve"> </w:t>
      </w:r>
      <w:r w:rsidR="00A5318C">
        <w:rPr>
          <w:rFonts w:ascii="Arial" w:hAnsi="Arial" w:cs="Arial"/>
        </w:rPr>
        <w:t>The procedural rules of the first-tier tribunal would vary according to the chamber, but would be kept under review and regularly updated by a procedural rules committee.</w:t>
      </w:r>
    </w:p>
    <w:p w14:paraId="532D2357" w14:textId="3EAE4290" w:rsidR="00A5318C" w:rsidRPr="000B308F" w:rsidRDefault="00A5318C" w:rsidP="000B308F">
      <w:pPr>
        <w:pStyle w:val="NormalWeb"/>
        <w:numPr>
          <w:ilvl w:val="0"/>
          <w:numId w:val="28"/>
        </w:numPr>
        <w:spacing w:after="120" w:afterAutospacing="0"/>
        <w:ind w:left="357" w:hanging="357"/>
        <w:rPr>
          <w:rFonts w:ascii="Arial" w:hAnsi="Arial" w:cs="Arial"/>
        </w:rPr>
      </w:pPr>
      <w:r>
        <w:rPr>
          <w:rFonts w:ascii="Arial" w:hAnsi="Arial" w:cs="Arial"/>
        </w:rPr>
        <w:t xml:space="preserve">This new system could then be expanded to include the </w:t>
      </w:r>
      <w:r w:rsidR="00C25BE0">
        <w:rPr>
          <w:rFonts w:ascii="Arial" w:hAnsi="Arial" w:cs="Arial"/>
        </w:rPr>
        <w:t>Valuation Tribunal for Wales</w:t>
      </w:r>
      <w:r w:rsidR="002D7AF0">
        <w:rPr>
          <w:rFonts w:ascii="Arial" w:hAnsi="Arial" w:cs="Arial"/>
        </w:rPr>
        <w:t xml:space="preserve"> and take over </w:t>
      </w:r>
      <w:r w:rsidR="00307512">
        <w:rPr>
          <w:rFonts w:ascii="Arial" w:hAnsi="Arial" w:cs="Arial"/>
        </w:rPr>
        <w:t xml:space="preserve">the work of </w:t>
      </w:r>
      <w:r w:rsidR="002D7AF0">
        <w:rPr>
          <w:rFonts w:ascii="Arial" w:hAnsi="Arial" w:cs="Arial"/>
        </w:rPr>
        <w:t>school exclusion appeal panels</w:t>
      </w:r>
      <w:r>
        <w:rPr>
          <w:rFonts w:ascii="Arial" w:hAnsi="Arial" w:cs="Arial"/>
        </w:rPr>
        <w:t>, increasing consistency across devolved tribunals in Wales.</w:t>
      </w:r>
      <w:r w:rsidR="00C95593">
        <w:rPr>
          <w:rFonts w:ascii="Arial" w:hAnsi="Arial" w:cs="Arial"/>
        </w:rPr>
        <w:t xml:space="preserve"> We </w:t>
      </w:r>
      <w:r w:rsidR="00AC2262">
        <w:rPr>
          <w:rFonts w:ascii="Arial" w:hAnsi="Arial" w:cs="Arial"/>
        </w:rPr>
        <w:t>recommend that the</w:t>
      </w:r>
      <w:r w:rsidR="00C95593">
        <w:rPr>
          <w:rFonts w:ascii="Arial" w:hAnsi="Arial" w:cs="Arial"/>
        </w:rPr>
        <w:t xml:space="preserve"> First-tier Tribunal for Wales </w:t>
      </w:r>
      <w:r w:rsidR="00AC2262">
        <w:rPr>
          <w:rFonts w:ascii="Arial" w:hAnsi="Arial" w:cs="Arial"/>
        </w:rPr>
        <w:t>should also</w:t>
      </w:r>
      <w:r w:rsidR="00C95593">
        <w:rPr>
          <w:rFonts w:ascii="Arial" w:hAnsi="Arial" w:cs="Arial"/>
        </w:rPr>
        <w:t xml:space="preserve"> hear appeals from school admission appeal panels.</w:t>
      </w:r>
      <w:r>
        <w:rPr>
          <w:rFonts w:ascii="Arial" w:hAnsi="Arial" w:cs="Arial"/>
        </w:rPr>
        <w:t xml:space="preserve"> </w:t>
      </w:r>
    </w:p>
    <w:p w14:paraId="05B19295" w14:textId="0F87BE5B" w:rsidR="0016193F" w:rsidRPr="000B308F" w:rsidRDefault="00A5318C" w:rsidP="000B308F">
      <w:pPr>
        <w:pStyle w:val="NormalWeb"/>
        <w:numPr>
          <w:ilvl w:val="0"/>
          <w:numId w:val="28"/>
        </w:numPr>
        <w:spacing w:after="120" w:afterAutospacing="0"/>
        <w:ind w:left="357" w:hanging="357"/>
        <w:rPr>
          <w:rFonts w:ascii="Arial" w:hAnsi="Arial" w:cs="Arial"/>
        </w:rPr>
      </w:pPr>
      <w:r>
        <w:rPr>
          <w:rFonts w:ascii="Arial" w:hAnsi="Arial" w:cs="Arial"/>
        </w:rPr>
        <w:t xml:space="preserve">We </w:t>
      </w:r>
      <w:r w:rsidR="00AC2262">
        <w:rPr>
          <w:rFonts w:ascii="Arial" w:hAnsi="Arial" w:cs="Arial"/>
        </w:rPr>
        <w:t>recommend</w:t>
      </w:r>
      <w:r>
        <w:rPr>
          <w:rFonts w:ascii="Arial" w:hAnsi="Arial" w:cs="Arial"/>
        </w:rPr>
        <w:t xml:space="preserve"> that the </w:t>
      </w:r>
      <w:r w:rsidR="00BA2F3D">
        <w:rPr>
          <w:rFonts w:ascii="Arial" w:hAnsi="Arial" w:cs="Arial"/>
        </w:rPr>
        <w:t xml:space="preserve">administration of the tribunals </w:t>
      </w:r>
      <w:r>
        <w:rPr>
          <w:rFonts w:ascii="Arial" w:hAnsi="Arial" w:cs="Arial"/>
        </w:rPr>
        <w:t xml:space="preserve">should be </w:t>
      </w:r>
      <w:r w:rsidR="00BA2F3D">
        <w:rPr>
          <w:rFonts w:ascii="Arial" w:hAnsi="Arial" w:cs="Arial"/>
        </w:rPr>
        <w:t>the responsibility of</w:t>
      </w:r>
      <w:r>
        <w:rPr>
          <w:rFonts w:ascii="Arial" w:hAnsi="Arial" w:cs="Arial"/>
        </w:rPr>
        <w:t xml:space="preserve"> </w:t>
      </w:r>
      <w:r w:rsidR="00AC2262">
        <w:rPr>
          <w:rFonts w:ascii="Arial" w:hAnsi="Arial" w:cs="Arial"/>
        </w:rPr>
        <w:t>a</w:t>
      </w:r>
      <w:r>
        <w:rPr>
          <w:rFonts w:ascii="Arial" w:hAnsi="Arial" w:cs="Arial"/>
        </w:rPr>
        <w:t xml:space="preserve"> non-ministerial department</w:t>
      </w:r>
      <w:r w:rsidR="00BA2F3D">
        <w:rPr>
          <w:rFonts w:ascii="Arial" w:hAnsi="Arial" w:cs="Arial"/>
        </w:rPr>
        <w:t xml:space="preserve">, which would replace the WTU and </w:t>
      </w:r>
      <w:r w:rsidR="00431B38">
        <w:rPr>
          <w:rFonts w:ascii="Arial" w:hAnsi="Arial" w:cs="Arial"/>
        </w:rPr>
        <w:t xml:space="preserve">current </w:t>
      </w:r>
      <w:r w:rsidR="00BA2F3D">
        <w:rPr>
          <w:rFonts w:ascii="Arial" w:hAnsi="Arial" w:cs="Arial"/>
        </w:rPr>
        <w:t>administrative arrangements for the Valuation Tribunal for Wales</w:t>
      </w:r>
      <w:r>
        <w:rPr>
          <w:rFonts w:ascii="Arial" w:hAnsi="Arial" w:cs="Arial"/>
        </w:rPr>
        <w:t xml:space="preserve">. </w:t>
      </w:r>
      <w:r w:rsidR="00BA2F3D">
        <w:rPr>
          <w:rFonts w:ascii="Arial" w:hAnsi="Arial" w:cs="Arial"/>
        </w:rPr>
        <w:t xml:space="preserve">A non-ministerial department would have greater </w:t>
      </w:r>
      <w:r>
        <w:rPr>
          <w:rFonts w:ascii="Arial" w:hAnsi="Arial" w:cs="Arial"/>
        </w:rPr>
        <w:t xml:space="preserve">structural independence from </w:t>
      </w:r>
      <w:r w:rsidR="00BA2F3D">
        <w:rPr>
          <w:rFonts w:ascii="Arial" w:hAnsi="Arial" w:cs="Arial"/>
        </w:rPr>
        <w:t xml:space="preserve">the </w:t>
      </w:r>
      <w:r>
        <w:rPr>
          <w:rFonts w:ascii="Arial" w:hAnsi="Arial" w:cs="Arial"/>
        </w:rPr>
        <w:t>Welsh Government</w:t>
      </w:r>
      <w:r w:rsidR="00BA2F3D">
        <w:rPr>
          <w:rFonts w:ascii="Arial" w:hAnsi="Arial" w:cs="Arial"/>
        </w:rPr>
        <w:t xml:space="preserve"> than the existing WTU,</w:t>
      </w:r>
      <w:r>
        <w:rPr>
          <w:rFonts w:ascii="Arial" w:hAnsi="Arial" w:cs="Arial"/>
        </w:rPr>
        <w:t xml:space="preserve"> and </w:t>
      </w:r>
      <w:r w:rsidR="00BA2F3D">
        <w:rPr>
          <w:rFonts w:ascii="Arial" w:hAnsi="Arial" w:cs="Arial"/>
        </w:rPr>
        <w:t xml:space="preserve">would </w:t>
      </w:r>
      <w:r>
        <w:rPr>
          <w:rFonts w:ascii="Arial" w:hAnsi="Arial" w:cs="Arial"/>
        </w:rPr>
        <w:t>allow for a greater judicial role in the administration of the tribunals.</w:t>
      </w:r>
    </w:p>
    <w:p w14:paraId="085106AB" w14:textId="77777777" w:rsidR="0016193F" w:rsidRDefault="0016193F" w:rsidP="0016193F">
      <w:pPr>
        <w:pStyle w:val="NormalWeb"/>
        <w:rPr>
          <w:rFonts w:ascii="Arial" w:hAnsi="Arial" w:cs="Arial"/>
          <w:b/>
          <w:sz w:val="32"/>
          <w:szCs w:val="32"/>
        </w:rPr>
      </w:pPr>
      <w:r>
        <w:rPr>
          <w:rFonts w:ascii="Arial" w:hAnsi="Arial" w:cs="Arial"/>
          <w:b/>
          <w:sz w:val="32"/>
          <w:szCs w:val="32"/>
        </w:rPr>
        <w:t>Rationale for intervention</w:t>
      </w:r>
    </w:p>
    <w:p w14:paraId="27798BDD" w14:textId="77777777" w:rsidR="0016193F" w:rsidRPr="0016193F" w:rsidRDefault="0016193F" w:rsidP="0016193F">
      <w:pPr>
        <w:pStyle w:val="NormalWeb"/>
        <w:numPr>
          <w:ilvl w:val="0"/>
          <w:numId w:val="28"/>
        </w:numPr>
        <w:spacing w:after="120" w:afterAutospacing="0"/>
        <w:ind w:left="357" w:hanging="357"/>
        <w:rPr>
          <w:rFonts w:ascii="Arial" w:hAnsi="Arial" w:cs="Arial"/>
        </w:rPr>
      </w:pPr>
      <w:r w:rsidRPr="0016193F">
        <w:rPr>
          <w:rFonts w:ascii="Arial" w:hAnsi="Arial" w:cs="Arial"/>
        </w:rPr>
        <w:t>The conventional economic approach to Government intervention in order to resolve a problem is based on efficiency or equity arguments. The Government may consider intervening if there are strong enough failures in the way markets operate or in existing interventions. In both cases the proposed intervention should avoid creating a further set of disproportionate costs and distortions. The Government may also intervene for reasons of equity.</w:t>
      </w:r>
    </w:p>
    <w:p w14:paraId="7CF76A88" w14:textId="77777777" w:rsidR="0016193F" w:rsidRPr="000B308F" w:rsidRDefault="0016193F" w:rsidP="0016193F">
      <w:pPr>
        <w:pStyle w:val="NormalWeb"/>
        <w:numPr>
          <w:ilvl w:val="0"/>
          <w:numId w:val="28"/>
        </w:numPr>
        <w:spacing w:after="120" w:afterAutospacing="0"/>
        <w:ind w:left="357" w:hanging="357"/>
        <w:rPr>
          <w:rFonts w:ascii="Arial" w:hAnsi="Arial" w:cs="Arial"/>
          <w:b/>
        </w:rPr>
      </w:pPr>
      <w:r w:rsidRPr="0016193F">
        <w:rPr>
          <w:rFonts w:ascii="Arial" w:hAnsi="Arial" w:cs="Arial"/>
        </w:rPr>
        <w:t xml:space="preserve">In this project, </w:t>
      </w:r>
      <w:r w:rsidR="004255F8">
        <w:rPr>
          <w:rFonts w:ascii="Arial" w:hAnsi="Arial" w:cs="Arial"/>
        </w:rPr>
        <w:t>a</w:t>
      </w:r>
      <w:r w:rsidRPr="0016193F">
        <w:rPr>
          <w:rFonts w:ascii="Arial" w:hAnsi="Arial" w:cs="Arial"/>
        </w:rPr>
        <w:t xml:space="preserve"> rationale for any intervention</w:t>
      </w:r>
      <w:r w:rsidR="002C48DD">
        <w:rPr>
          <w:rFonts w:ascii="Arial" w:hAnsi="Arial" w:cs="Arial"/>
        </w:rPr>
        <w:t xml:space="preserve"> arises from the scope for efficiency savings as </w:t>
      </w:r>
      <w:r w:rsidR="00442FD5">
        <w:rPr>
          <w:rFonts w:ascii="Arial" w:hAnsi="Arial" w:cs="Arial"/>
        </w:rPr>
        <w:t>devolved tribunals in Wales</w:t>
      </w:r>
      <w:r w:rsidR="002C48DD">
        <w:rPr>
          <w:rFonts w:ascii="Arial" w:hAnsi="Arial" w:cs="Arial"/>
        </w:rPr>
        <w:t xml:space="preserve"> are placed under a single unified system. Currently the </w:t>
      </w:r>
      <w:r w:rsidR="006E441C">
        <w:rPr>
          <w:rFonts w:ascii="Arial" w:hAnsi="Arial" w:cs="Arial"/>
        </w:rPr>
        <w:t xml:space="preserve">lack of consistency </w:t>
      </w:r>
      <w:r w:rsidR="00A500C6">
        <w:rPr>
          <w:rFonts w:ascii="Arial" w:hAnsi="Arial" w:cs="Arial"/>
        </w:rPr>
        <w:t xml:space="preserve">across tribunals </w:t>
      </w:r>
      <w:r w:rsidR="002C48DD">
        <w:rPr>
          <w:rFonts w:ascii="Arial" w:hAnsi="Arial" w:cs="Arial"/>
        </w:rPr>
        <w:t>gives rise to uncertainty as similar bodies adopt different processes. There is the additional administrative cost imposed through running separate units where cost savings could be delivered through pooling resources</w:t>
      </w:r>
      <w:r w:rsidR="003F0F52">
        <w:rPr>
          <w:rFonts w:ascii="Arial" w:hAnsi="Arial" w:cs="Arial"/>
        </w:rPr>
        <w:t>.</w:t>
      </w:r>
    </w:p>
    <w:p w14:paraId="3ABEEE06" w14:textId="77777777" w:rsidR="002C48DD" w:rsidRPr="00393E0C" w:rsidRDefault="002C48DD" w:rsidP="0016193F">
      <w:pPr>
        <w:pStyle w:val="NormalWeb"/>
        <w:numPr>
          <w:ilvl w:val="0"/>
          <w:numId w:val="28"/>
        </w:numPr>
        <w:spacing w:after="120" w:afterAutospacing="0"/>
        <w:ind w:left="357" w:hanging="357"/>
        <w:rPr>
          <w:rFonts w:ascii="Arial" w:hAnsi="Arial" w:cs="Arial"/>
          <w:b/>
        </w:rPr>
      </w:pPr>
      <w:r>
        <w:rPr>
          <w:rFonts w:ascii="Arial" w:hAnsi="Arial" w:cs="Arial"/>
        </w:rPr>
        <w:t>Tribunals are intended to provide a</w:t>
      </w:r>
      <w:r w:rsidR="003F0F52">
        <w:rPr>
          <w:rFonts w:ascii="Arial" w:hAnsi="Arial" w:cs="Arial"/>
        </w:rPr>
        <w:t xml:space="preserve"> more accessible,</w:t>
      </w:r>
      <w:r>
        <w:rPr>
          <w:rFonts w:ascii="Arial" w:hAnsi="Arial" w:cs="Arial"/>
        </w:rPr>
        <w:t xml:space="preserve"> less daunting experience than </w:t>
      </w:r>
      <w:r w:rsidR="003F0F52">
        <w:rPr>
          <w:rFonts w:ascii="Arial" w:hAnsi="Arial" w:cs="Arial"/>
        </w:rPr>
        <w:t>can be provided by</w:t>
      </w:r>
      <w:r>
        <w:rPr>
          <w:rFonts w:ascii="Arial" w:hAnsi="Arial" w:cs="Arial"/>
        </w:rPr>
        <w:t xml:space="preserve"> a court.</w:t>
      </w:r>
      <w:r w:rsidR="003F0F52">
        <w:rPr>
          <w:rFonts w:ascii="Arial" w:hAnsi="Arial" w:cs="Arial"/>
        </w:rPr>
        <w:t xml:space="preserve"> To the extent that different</w:t>
      </w:r>
      <w:r>
        <w:rPr>
          <w:rFonts w:ascii="Arial" w:hAnsi="Arial" w:cs="Arial"/>
        </w:rPr>
        <w:t xml:space="preserve"> rules apply this may </w:t>
      </w:r>
      <w:r w:rsidR="003F0F52">
        <w:rPr>
          <w:rFonts w:ascii="Arial" w:hAnsi="Arial" w:cs="Arial"/>
        </w:rPr>
        <w:t>have the unintended consequence</w:t>
      </w:r>
      <w:r>
        <w:rPr>
          <w:rFonts w:ascii="Arial" w:hAnsi="Arial" w:cs="Arial"/>
        </w:rPr>
        <w:t xml:space="preserve"> of frustrating </w:t>
      </w:r>
      <w:r w:rsidR="003F0F52">
        <w:rPr>
          <w:rFonts w:ascii="Arial" w:hAnsi="Arial" w:cs="Arial"/>
        </w:rPr>
        <w:t>tribunal</w:t>
      </w:r>
      <w:r>
        <w:rPr>
          <w:rFonts w:ascii="Arial" w:hAnsi="Arial" w:cs="Arial"/>
        </w:rPr>
        <w:t xml:space="preserve"> users</w:t>
      </w:r>
      <w:r w:rsidR="004F5C39">
        <w:rPr>
          <w:rFonts w:ascii="Arial" w:hAnsi="Arial" w:cs="Arial"/>
        </w:rPr>
        <w:t>. A single unified system provides for an improved user experience through clarity and uniformity in process regardless of the tribunal.</w:t>
      </w:r>
    </w:p>
    <w:p w14:paraId="49BE3784" w14:textId="77777777" w:rsidR="00E57B6B" w:rsidRPr="00E57B6B" w:rsidRDefault="00410945" w:rsidP="0016193F">
      <w:pPr>
        <w:pStyle w:val="NormalWeb"/>
        <w:numPr>
          <w:ilvl w:val="0"/>
          <w:numId w:val="28"/>
        </w:numPr>
        <w:spacing w:after="120" w:afterAutospacing="0"/>
        <w:ind w:left="357" w:hanging="357"/>
        <w:rPr>
          <w:rFonts w:ascii="Arial" w:hAnsi="Arial" w:cs="Arial"/>
          <w:b/>
        </w:rPr>
      </w:pPr>
      <w:r>
        <w:rPr>
          <w:rFonts w:ascii="Arial" w:hAnsi="Arial" w:cs="Arial"/>
        </w:rPr>
        <w:t xml:space="preserve">Another rationale for intervention flows from the greater scrutiny of decision-making. </w:t>
      </w:r>
      <w:r w:rsidR="003F0F52">
        <w:rPr>
          <w:rFonts w:ascii="Arial" w:hAnsi="Arial" w:cs="Arial"/>
        </w:rPr>
        <w:t xml:space="preserve">School exclusion panels are of significance as they </w:t>
      </w:r>
      <w:r w:rsidR="00E57B6B">
        <w:rPr>
          <w:rFonts w:ascii="Arial" w:hAnsi="Arial" w:cs="Arial"/>
        </w:rPr>
        <w:t xml:space="preserve">deal with access to education. Education is a merit good where free access to secondary level is provided by the government because of wider societal value. </w:t>
      </w:r>
    </w:p>
    <w:p w14:paraId="2164ACE7" w14:textId="1DF01DC2" w:rsidR="00393E0C" w:rsidRPr="0016193F" w:rsidRDefault="00E57B6B" w:rsidP="0016193F">
      <w:pPr>
        <w:pStyle w:val="NormalWeb"/>
        <w:numPr>
          <w:ilvl w:val="0"/>
          <w:numId w:val="28"/>
        </w:numPr>
        <w:spacing w:after="120" w:afterAutospacing="0"/>
        <w:ind w:left="357" w:hanging="357"/>
        <w:rPr>
          <w:rFonts w:ascii="Arial" w:hAnsi="Arial" w:cs="Arial"/>
          <w:b/>
        </w:rPr>
      </w:pPr>
      <w:r>
        <w:rPr>
          <w:rFonts w:ascii="Arial" w:hAnsi="Arial" w:cs="Arial"/>
        </w:rPr>
        <w:t>The decision to withdraw access to e</w:t>
      </w:r>
      <w:r w:rsidR="004255F8">
        <w:rPr>
          <w:rFonts w:ascii="Arial" w:hAnsi="Arial" w:cs="Arial"/>
        </w:rPr>
        <w:t>d</w:t>
      </w:r>
      <w:r>
        <w:rPr>
          <w:rFonts w:ascii="Arial" w:hAnsi="Arial" w:cs="Arial"/>
        </w:rPr>
        <w:t>ucation at a current facility creates the potential for young people to slip through the cracks</w:t>
      </w:r>
      <w:r w:rsidR="00410945">
        <w:rPr>
          <w:rStyle w:val="FootnoteReference"/>
          <w:rFonts w:ascii="Arial" w:hAnsi="Arial"/>
        </w:rPr>
        <w:footnoteReference w:id="5"/>
      </w:r>
      <w:r>
        <w:rPr>
          <w:rFonts w:ascii="Arial" w:hAnsi="Arial" w:cs="Arial"/>
        </w:rPr>
        <w:t xml:space="preserve">. </w:t>
      </w:r>
      <w:r w:rsidR="00DB1F05">
        <w:rPr>
          <w:rFonts w:ascii="Arial" w:hAnsi="Arial" w:cs="Arial"/>
        </w:rPr>
        <w:t xml:space="preserve">Making </w:t>
      </w:r>
      <w:r>
        <w:rPr>
          <w:rFonts w:ascii="Arial" w:hAnsi="Arial" w:cs="Arial"/>
        </w:rPr>
        <w:t xml:space="preserve">such a </w:t>
      </w:r>
      <w:r w:rsidR="00DB1F05">
        <w:rPr>
          <w:rFonts w:ascii="Arial" w:hAnsi="Arial" w:cs="Arial"/>
        </w:rPr>
        <w:t xml:space="preserve">decision subject to appeal </w:t>
      </w:r>
      <w:r w:rsidR="00507495">
        <w:rPr>
          <w:rFonts w:ascii="Arial" w:hAnsi="Arial" w:cs="Arial"/>
        </w:rPr>
        <w:t xml:space="preserve">to a tribunal </w:t>
      </w:r>
      <w:r>
        <w:rPr>
          <w:rFonts w:ascii="Arial" w:hAnsi="Arial" w:cs="Arial"/>
        </w:rPr>
        <w:t>within a unified system increases scop</w:t>
      </w:r>
      <w:r w:rsidR="00410945">
        <w:rPr>
          <w:rFonts w:ascii="Arial" w:hAnsi="Arial" w:cs="Arial"/>
        </w:rPr>
        <w:t>e</w:t>
      </w:r>
      <w:r>
        <w:rPr>
          <w:rFonts w:ascii="Arial" w:hAnsi="Arial" w:cs="Arial"/>
        </w:rPr>
        <w:t xml:space="preserve"> for greater scrutiny of decision-making</w:t>
      </w:r>
      <w:r w:rsidR="00410945">
        <w:rPr>
          <w:rFonts w:ascii="Arial" w:hAnsi="Arial" w:cs="Arial"/>
        </w:rPr>
        <w:t>.</w:t>
      </w:r>
      <w:r>
        <w:rPr>
          <w:rFonts w:ascii="Arial" w:hAnsi="Arial" w:cs="Arial"/>
        </w:rPr>
        <w:t xml:space="preserve"> </w:t>
      </w:r>
    </w:p>
    <w:p w14:paraId="652D75C0" w14:textId="77777777" w:rsidR="0016193F" w:rsidRDefault="0016193F" w:rsidP="0016193F">
      <w:pPr>
        <w:pStyle w:val="NormalWeb"/>
        <w:rPr>
          <w:rFonts w:ascii="Arial" w:hAnsi="Arial" w:cs="Arial"/>
          <w:b/>
          <w:sz w:val="32"/>
          <w:szCs w:val="32"/>
        </w:rPr>
      </w:pPr>
      <w:r>
        <w:rPr>
          <w:rFonts w:ascii="Arial" w:hAnsi="Arial" w:cs="Arial"/>
          <w:b/>
          <w:sz w:val="32"/>
          <w:szCs w:val="32"/>
        </w:rPr>
        <w:t>Scale and scope</w:t>
      </w:r>
    </w:p>
    <w:p w14:paraId="1C0B3F2A" w14:textId="77777777" w:rsidR="005349BB" w:rsidRPr="00323A42" w:rsidRDefault="005349BB" w:rsidP="000B308F">
      <w:pPr>
        <w:pStyle w:val="NormalWeb"/>
        <w:numPr>
          <w:ilvl w:val="0"/>
          <w:numId w:val="28"/>
        </w:numPr>
        <w:spacing w:after="120" w:afterAutospacing="0"/>
        <w:ind w:left="357" w:hanging="357"/>
      </w:pPr>
      <w:r w:rsidRPr="000B308F">
        <w:rPr>
          <w:rFonts w:ascii="Arial" w:hAnsi="Arial" w:cs="Arial"/>
        </w:rPr>
        <w:t>Tribunals operating in Wales can be divided into three broad categories as follows:</w:t>
      </w:r>
    </w:p>
    <w:p w14:paraId="7682DDC2" w14:textId="77777777" w:rsidR="005349BB" w:rsidRPr="000B308F" w:rsidRDefault="00442FD5" w:rsidP="005349BB">
      <w:pPr>
        <w:pStyle w:val="Text3"/>
        <w:numPr>
          <w:ilvl w:val="0"/>
          <w:numId w:val="37"/>
        </w:numPr>
        <w:rPr>
          <w:sz w:val="24"/>
          <w:szCs w:val="24"/>
        </w:rPr>
      </w:pPr>
      <w:r>
        <w:rPr>
          <w:sz w:val="24"/>
          <w:szCs w:val="24"/>
        </w:rPr>
        <w:t>“</w:t>
      </w:r>
      <w:r w:rsidR="005349BB" w:rsidRPr="000B308F">
        <w:rPr>
          <w:sz w:val="24"/>
          <w:szCs w:val="24"/>
        </w:rPr>
        <w:t>Welsh Tribunals</w:t>
      </w:r>
      <w:r>
        <w:rPr>
          <w:sz w:val="24"/>
          <w:szCs w:val="24"/>
        </w:rPr>
        <w:t>” as listed by s</w:t>
      </w:r>
      <w:r w:rsidR="005349BB" w:rsidRPr="000B308F">
        <w:rPr>
          <w:sz w:val="24"/>
          <w:szCs w:val="24"/>
        </w:rPr>
        <w:t>ection 59(1) of the Wales Act 2017;</w:t>
      </w:r>
    </w:p>
    <w:p w14:paraId="158261D3" w14:textId="77777777" w:rsidR="005349BB" w:rsidRPr="000B308F" w:rsidRDefault="00442FD5" w:rsidP="005349BB">
      <w:pPr>
        <w:pStyle w:val="Text3"/>
        <w:numPr>
          <w:ilvl w:val="0"/>
          <w:numId w:val="37"/>
        </w:numPr>
        <w:rPr>
          <w:sz w:val="24"/>
          <w:szCs w:val="24"/>
        </w:rPr>
      </w:pPr>
      <w:r>
        <w:rPr>
          <w:sz w:val="24"/>
          <w:szCs w:val="24"/>
        </w:rPr>
        <w:t>other d</w:t>
      </w:r>
      <w:r w:rsidR="005349BB" w:rsidRPr="000B308F">
        <w:rPr>
          <w:sz w:val="24"/>
          <w:szCs w:val="24"/>
        </w:rPr>
        <w:t xml:space="preserve">evolved </w:t>
      </w:r>
      <w:r>
        <w:rPr>
          <w:sz w:val="24"/>
          <w:szCs w:val="24"/>
        </w:rPr>
        <w:t>t</w:t>
      </w:r>
      <w:r w:rsidR="005349BB" w:rsidRPr="000B308F">
        <w:rPr>
          <w:sz w:val="24"/>
          <w:szCs w:val="24"/>
        </w:rPr>
        <w:t>ribunals</w:t>
      </w:r>
      <w:r w:rsidR="00972C29">
        <w:rPr>
          <w:sz w:val="24"/>
          <w:szCs w:val="24"/>
        </w:rPr>
        <w:t xml:space="preserve">, all of whose functions relate to Wales, and </w:t>
      </w:r>
      <w:r w:rsidR="005349BB" w:rsidRPr="000B308F">
        <w:rPr>
          <w:sz w:val="24"/>
          <w:szCs w:val="24"/>
        </w:rPr>
        <w:t>do not touch upon reserved matters; and</w:t>
      </w:r>
    </w:p>
    <w:p w14:paraId="45EFA95A" w14:textId="77777777" w:rsidR="005349BB" w:rsidRPr="000B308F" w:rsidRDefault="00442FD5" w:rsidP="005349BB">
      <w:pPr>
        <w:pStyle w:val="Text3"/>
        <w:numPr>
          <w:ilvl w:val="0"/>
          <w:numId w:val="37"/>
        </w:numPr>
        <w:rPr>
          <w:sz w:val="24"/>
          <w:szCs w:val="24"/>
        </w:rPr>
      </w:pPr>
      <w:r>
        <w:rPr>
          <w:sz w:val="24"/>
          <w:szCs w:val="24"/>
        </w:rPr>
        <w:t>t</w:t>
      </w:r>
      <w:r w:rsidR="005349BB" w:rsidRPr="000B308F">
        <w:rPr>
          <w:sz w:val="24"/>
          <w:szCs w:val="24"/>
        </w:rPr>
        <w:t xml:space="preserve">ribunals dealing with </w:t>
      </w:r>
      <w:r>
        <w:rPr>
          <w:sz w:val="24"/>
          <w:szCs w:val="24"/>
        </w:rPr>
        <w:t>“r</w:t>
      </w:r>
      <w:r w:rsidR="005349BB" w:rsidRPr="000B308F">
        <w:rPr>
          <w:sz w:val="24"/>
          <w:szCs w:val="24"/>
        </w:rPr>
        <w:t>eserved matters</w:t>
      </w:r>
      <w:r>
        <w:rPr>
          <w:sz w:val="24"/>
          <w:szCs w:val="24"/>
        </w:rPr>
        <w:t>”,</w:t>
      </w:r>
      <w:r w:rsidR="005349BB" w:rsidRPr="000B308F">
        <w:rPr>
          <w:sz w:val="24"/>
          <w:szCs w:val="24"/>
        </w:rPr>
        <w:t xml:space="preserve"> which lie outside the scope of this project</w:t>
      </w:r>
    </w:p>
    <w:p w14:paraId="1640C966" w14:textId="77777777" w:rsidR="005349BB" w:rsidRPr="00323A42" w:rsidRDefault="005349BB" w:rsidP="000B308F">
      <w:pPr>
        <w:pStyle w:val="NormalWeb"/>
        <w:numPr>
          <w:ilvl w:val="0"/>
          <w:numId w:val="28"/>
        </w:numPr>
        <w:spacing w:after="120" w:afterAutospacing="0"/>
        <w:ind w:left="357" w:hanging="357"/>
        <w:rPr>
          <w:u w:val="single"/>
        </w:rPr>
      </w:pPr>
      <w:r w:rsidRPr="000B308F">
        <w:rPr>
          <w:rFonts w:ascii="Arial" w:hAnsi="Arial" w:cs="Arial"/>
          <w:u w:val="single"/>
        </w:rPr>
        <w:t xml:space="preserve">Welsh Tribunals </w:t>
      </w:r>
    </w:p>
    <w:p w14:paraId="4E7B1084" w14:textId="77777777" w:rsidR="005349BB" w:rsidRPr="000B308F" w:rsidRDefault="005349BB" w:rsidP="000B308F">
      <w:pPr>
        <w:pStyle w:val="Text3"/>
        <w:tabs>
          <w:tab w:val="clear" w:pos="1247"/>
        </w:tabs>
        <w:ind w:left="357" w:firstLine="0"/>
        <w:rPr>
          <w:sz w:val="24"/>
          <w:szCs w:val="24"/>
        </w:rPr>
      </w:pPr>
      <w:r w:rsidRPr="000B308F">
        <w:rPr>
          <w:sz w:val="24"/>
          <w:szCs w:val="24"/>
        </w:rPr>
        <w:t>There are 7 Welsh tribunals which make up the tribunal system of Wales as identified by section 59(1) of the Wales Act 2017 as follows:</w:t>
      </w:r>
    </w:p>
    <w:p w14:paraId="62357636" w14:textId="2A714C90" w:rsidR="005349BB" w:rsidRPr="000B308F" w:rsidRDefault="00972C29" w:rsidP="005349BB">
      <w:pPr>
        <w:pStyle w:val="Text3"/>
        <w:numPr>
          <w:ilvl w:val="2"/>
          <w:numId w:val="29"/>
        </w:numPr>
        <w:rPr>
          <w:sz w:val="24"/>
          <w:szCs w:val="24"/>
        </w:rPr>
      </w:pPr>
      <w:r>
        <w:rPr>
          <w:sz w:val="24"/>
          <w:szCs w:val="24"/>
        </w:rPr>
        <w:t>T</w:t>
      </w:r>
      <w:r w:rsidR="005349BB" w:rsidRPr="000B308F">
        <w:rPr>
          <w:sz w:val="24"/>
          <w:szCs w:val="24"/>
        </w:rPr>
        <w:t>he Agricultural Land Tribunal for Wales (“ALTW”) is a</w:t>
      </w:r>
      <w:r>
        <w:rPr>
          <w:sz w:val="24"/>
          <w:szCs w:val="24"/>
        </w:rPr>
        <w:t>n independent</w:t>
      </w:r>
      <w:r w:rsidR="005349BB" w:rsidRPr="000B308F">
        <w:rPr>
          <w:sz w:val="24"/>
          <w:szCs w:val="24"/>
        </w:rPr>
        <w:t xml:space="preserve"> </w:t>
      </w:r>
      <w:r>
        <w:rPr>
          <w:sz w:val="24"/>
          <w:szCs w:val="24"/>
        </w:rPr>
        <w:t>tribunal</w:t>
      </w:r>
      <w:r w:rsidR="005349BB" w:rsidRPr="000B308F">
        <w:rPr>
          <w:sz w:val="24"/>
          <w:szCs w:val="24"/>
        </w:rPr>
        <w:t xml:space="preserve"> established under the Agriculture Act 1947 with jurisdiction for the geographical area of Wales. Amongst other </w:t>
      </w:r>
      <w:r>
        <w:rPr>
          <w:sz w:val="24"/>
          <w:szCs w:val="24"/>
        </w:rPr>
        <w:t>jurisdictions</w:t>
      </w:r>
      <w:r w:rsidR="005349BB" w:rsidRPr="000B308F">
        <w:rPr>
          <w:sz w:val="24"/>
          <w:szCs w:val="24"/>
        </w:rPr>
        <w:t xml:space="preserve"> it </w:t>
      </w:r>
      <w:r w:rsidR="00431B38">
        <w:rPr>
          <w:sz w:val="24"/>
          <w:szCs w:val="24"/>
        </w:rPr>
        <w:t>determines</w:t>
      </w:r>
      <w:r w:rsidR="005349BB" w:rsidRPr="000B308F">
        <w:rPr>
          <w:sz w:val="24"/>
          <w:szCs w:val="24"/>
        </w:rPr>
        <w:t xml:space="preserve"> disputes between agricultural landlords and tenants arising from tenancy agreements held under the Agricultural Holdings Act 1986. </w:t>
      </w:r>
    </w:p>
    <w:p w14:paraId="3804E2CA" w14:textId="579302F5" w:rsidR="005349BB" w:rsidRPr="000B308F" w:rsidRDefault="00431B38" w:rsidP="005349BB">
      <w:pPr>
        <w:pStyle w:val="Text3"/>
        <w:numPr>
          <w:ilvl w:val="2"/>
          <w:numId w:val="29"/>
        </w:numPr>
        <w:rPr>
          <w:sz w:val="24"/>
          <w:szCs w:val="24"/>
        </w:rPr>
      </w:pPr>
      <w:r>
        <w:rPr>
          <w:sz w:val="24"/>
          <w:szCs w:val="24"/>
        </w:rPr>
        <w:t>T</w:t>
      </w:r>
      <w:r w:rsidR="005349BB" w:rsidRPr="000B308F">
        <w:rPr>
          <w:sz w:val="24"/>
          <w:szCs w:val="24"/>
        </w:rPr>
        <w:t>he Mental Health Revi</w:t>
      </w:r>
      <w:r w:rsidR="003F0F52">
        <w:rPr>
          <w:sz w:val="24"/>
          <w:szCs w:val="24"/>
        </w:rPr>
        <w:t>ew Tribunal for Wales (“MHRTW”)</w:t>
      </w:r>
      <w:r w:rsidR="005349BB" w:rsidRPr="000B308F">
        <w:rPr>
          <w:sz w:val="24"/>
          <w:szCs w:val="24"/>
        </w:rPr>
        <w:t xml:space="preserve"> is an independent tribunal</w:t>
      </w:r>
      <w:r w:rsidR="00972C29">
        <w:rPr>
          <w:sz w:val="24"/>
          <w:szCs w:val="24"/>
        </w:rPr>
        <w:t>. Its current statutory basis is</w:t>
      </w:r>
      <w:r w:rsidR="00972C29">
        <w:rPr>
          <w:rFonts w:eastAsia="Times New Roman"/>
          <w:sz w:val="24"/>
          <w:szCs w:val="24"/>
          <w:lang w:eastAsia="en-GB"/>
        </w:rPr>
        <w:t xml:space="preserve"> s</w:t>
      </w:r>
      <w:r w:rsidR="005349BB" w:rsidRPr="000B308F">
        <w:rPr>
          <w:rFonts w:eastAsia="Times New Roman"/>
          <w:sz w:val="24"/>
          <w:szCs w:val="24"/>
          <w:lang w:eastAsia="en-GB"/>
        </w:rPr>
        <w:t>ection 65</w:t>
      </w:r>
      <w:r w:rsidR="004658D7">
        <w:rPr>
          <w:rFonts w:eastAsia="Times New Roman"/>
          <w:sz w:val="24"/>
          <w:szCs w:val="24"/>
          <w:lang w:eastAsia="en-GB"/>
        </w:rPr>
        <w:t xml:space="preserve"> of the Mental Health Act 1983</w:t>
      </w:r>
      <w:r w:rsidR="005349BB" w:rsidRPr="000B308F">
        <w:rPr>
          <w:rFonts w:eastAsia="Times New Roman"/>
          <w:sz w:val="24"/>
          <w:szCs w:val="24"/>
          <w:lang w:eastAsia="en-GB"/>
        </w:rPr>
        <w:t xml:space="preserve">. It </w:t>
      </w:r>
      <w:r w:rsidR="005349BB" w:rsidRPr="000B308F">
        <w:rPr>
          <w:rFonts w:eastAsia="Times New Roman"/>
          <w:sz w:val="24"/>
          <w:szCs w:val="24"/>
          <w:lang w:eastAsia="en-GB" w:bidi="ar-SA"/>
        </w:rPr>
        <w:t>has jurisdiction to deal with applications and references by and in respect of patients who are subject to the Mental Health Act</w:t>
      </w:r>
      <w:r w:rsidR="005349BB">
        <w:rPr>
          <w:rFonts w:eastAsia="Times New Roman"/>
          <w:sz w:val="24"/>
          <w:szCs w:val="24"/>
          <w:lang w:eastAsia="en-GB" w:bidi="ar-SA"/>
        </w:rPr>
        <w:t xml:space="preserve"> </w:t>
      </w:r>
      <w:r w:rsidR="00972C29">
        <w:rPr>
          <w:rFonts w:eastAsia="Times New Roman"/>
          <w:sz w:val="24"/>
          <w:szCs w:val="24"/>
          <w:lang w:eastAsia="en-GB" w:bidi="ar-SA"/>
        </w:rPr>
        <w:t>1983</w:t>
      </w:r>
      <w:r w:rsidR="005349BB" w:rsidRPr="000B308F">
        <w:rPr>
          <w:rFonts w:eastAsia="Times New Roman"/>
          <w:sz w:val="24"/>
          <w:szCs w:val="24"/>
          <w:lang w:eastAsia="en-GB" w:bidi="ar-SA"/>
        </w:rPr>
        <w:t xml:space="preserve"> and who are either detained or are a community patient in a hospital in Wales or are a patient who resides in Wales</w:t>
      </w:r>
      <w:r w:rsidR="00972C29">
        <w:rPr>
          <w:rFonts w:eastAsia="Times New Roman"/>
          <w:sz w:val="24"/>
          <w:szCs w:val="24"/>
          <w:lang w:eastAsia="en-GB" w:bidi="ar-SA"/>
        </w:rPr>
        <w:t>.</w:t>
      </w:r>
    </w:p>
    <w:p w14:paraId="2E7D2BD0" w14:textId="1FB2697B" w:rsidR="005349BB" w:rsidRPr="000B308F" w:rsidRDefault="005349BB" w:rsidP="005349BB">
      <w:pPr>
        <w:pStyle w:val="Text3"/>
        <w:numPr>
          <w:ilvl w:val="2"/>
          <w:numId w:val="29"/>
        </w:numPr>
        <w:rPr>
          <w:sz w:val="24"/>
          <w:szCs w:val="24"/>
        </w:rPr>
      </w:pPr>
      <w:r w:rsidRPr="000B308F">
        <w:rPr>
          <w:sz w:val="24"/>
          <w:szCs w:val="24"/>
        </w:rPr>
        <w:t>The Residential Property Tribunal Wales (</w:t>
      </w:r>
      <w:r w:rsidR="00972C29">
        <w:rPr>
          <w:sz w:val="24"/>
          <w:szCs w:val="24"/>
        </w:rPr>
        <w:t>“</w:t>
      </w:r>
      <w:r w:rsidRPr="000B308F">
        <w:rPr>
          <w:sz w:val="24"/>
          <w:szCs w:val="24"/>
        </w:rPr>
        <w:t>RPTW</w:t>
      </w:r>
      <w:r w:rsidR="00972C29">
        <w:rPr>
          <w:sz w:val="24"/>
          <w:szCs w:val="24"/>
        </w:rPr>
        <w:t>”</w:t>
      </w:r>
      <w:r w:rsidRPr="000B308F">
        <w:rPr>
          <w:sz w:val="24"/>
          <w:szCs w:val="24"/>
        </w:rPr>
        <w:t xml:space="preserve">) incorporates three types of tribunals, each with its own functions and remit: rent assessment committees, the leasehold </w:t>
      </w:r>
      <w:r w:rsidR="004658D7">
        <w:rPr>
          <w:sz w:val="24"/>
          <w:szCs w:val="24"/>
        </w:rPr>
        <w:t>valuation tribunal</w:t>
      </w:r>
      <w:r w:rsidRPr="000B308F">
        <w:rPr>
          <w:sz w:val="24"/>
          <w:szCs w:val="24"/>
        </w:rPr>
        <w:t xml:space="preserve"> and the residential property tribunal.</w:t>
      </w:r>
      <w:r w:rsidR="00B224C6">
        <w:rPr>
          <w:sz w:val="24"/>
          <w:szCs w:val="24"/>
        </w:rPr>
        <w:t xml:space="preserve"> Its statutory bases include the Rent Act 1977, the Commonhold and Leasehold Reform Act 2002, and the Housing Act 2004.</w:t>
      </w:r>
      <w:r w:rsidRPr="000B308F">
        <w:rPr>
          <w:sz w:val="24"/>
          <w:szCs w:val="24"/>
        </w:rPr>
        <w:t xml:space="preserve"> </w:t>
      </w:r>
    </w:p>
    <w:p w14:paraId="13068888" w14:textId="1A854A89" w:rsidR="005349BB" w:rsidRPr="000B308F" w:rsidRDefault="00972C29" w:rsidP="005349BB">
      <w:pPr>
        <w:pStyle w:val="Text3"/>
        <w:numPr>
          <w:ilvl w:val="2"/>
          <w:numId w:val="29"/>
        </w:numPr>
        <w:rPr>
          <w:sz w:val="24"/>
          <w:szCs w:val="24"/>
        </w:rPr>
      </w:pPr>
      <w:r>
        <w:rPr>
          <w:sz w:val="24"/>
          <w:szCs w:val="24"/>
        </w:rPr>
        <w:t>T</w:t>
      </w:r>
      <w:r w:rsidR="005349BB" w:rsidRPr="000B308F">
        <w:rPr>
          <w:sz w:val="24"/>
          <w:szCs w:val="24"/>
        </w:rPr>
        <w:t xml:space="preserve">he </w:t>
      </w:r>
      <w:r w:rsidR="000B7779">
        <w:rPr>
          <w:sz w:val="24"/>
          <w:szCs w:val="24"/>
        </w:rPr>
        <w:t>Education</w:t>
      </w:r>
      <w:r w:rsidR="005349BB" w:rsidRPr="000B308F">
        <w:rPr>
          <w:sz w:val="24"/>
          <w:szCs w:val="24"/>
        </w:rPr>
        <w:t xml:space="preserve"> Tribunal for Wales</w:t>
      </w:r>
      <w:r w:rsidR="000B7779">
        <w:rPr>
          <w:sz w:val="24"/>
          <w:szCs w:val="24"/>
        </w:rPr>
        <w:t xml:space="preserve"> (“ETW”)</w:t>
      </w:r>
      <w:r w:rsidR="005349BB" w:rsidRPr="000B308F">
        <w:rPr>
          <w:sz w:val="24"/>
          <w:szCs w:val="24"/>
        </w:rPr>
        <w:t xml:space="preserve"> (</w:t>
      </w:r>
      <w:r w:rsidR="000B7779">
        <w:rPr>
          <w:sz w:val="24"/>
          <w:szCs w:val="24"/>
        </w:rPr>
        <w:t xml:space="preserve">until September 2021 known as the Special Educational Needs Tribunal for Wales, or “SENTW”) </w:t>
      </w:r>
      <w:r w:rsidR="005349BB" w:rsidRPr="000B308F">
        <w:rPr>
          <w:sz w:val="24"/>
          <w:szCs w:val="24"/>
        </w:rPr>
        <w:t xml:space="preserve">is responsible for hearing and deciding appeals against decisions made by </w:t>
      </w:r>
      <w:r>
        <w:rPr>
          <w:sz w:val="24"/>
          <w:szCs w:val="24"/>
        </w:rPr>
        <w:t>l</w:t>
      </w:r>
      <w:r w:rsidR="005349BB" w:rsidRPr="000B308F">
        <w:rPr>
          <w:sz w:val="24"/>
          <w:szCs w:val="24"/>
        </w:rPr>
        <w:t xml:space="preserve">ocal </w:t>
      </w:r>
      <w:r>
        <w:rPr>
          <w:sz w:val="24"/>
          <w:szCs w:val="24"/>
        </w:rPr>
        <w:t>a</w:t>
      </w:r>
      <w:r w:rsidR="005349BB" w:rsidRPr="000B308F">
        <w:rPr>
          <w:sz w:val="24"/>
          <w:szCs w:val="24"/>
        </w:rPr>
        <w:t xml:space="preserve">uthorities about a child’s </w:t>
      </w:r>
      <w:r w:rsidR="00503A3E">
        <w:rPr>
          <w:sz w:val="24"/>
          <w:szCs w:val="24"/>
        </w:rPr>
        <w:t>additional learning needs</w:t>
      </w:r>
      <w:r w:rsidR="005349BB" w:rsidRPr="000B308F">
        <w:rPr>
          <w:sz w:val="24"/>
          <w:szCs w:val="24"/>
        </w:rPr>
        <w:t xml:space="preserve">.  </w:t>
      </w:r>
      <w:r w:rsidR="00B224C6">
        <w:rPr>
          <w:sz w:val="24"/>
          <w:szCs w:val="24"/>
        </w:rPr>
        <w:t>Its statutory basis can be found in section 195 of the Education Act 2002</w:t>
      </w:r>
      <w:r w:rsidR="002B6512">
        <w:rPr>
          <w:sz w:val="24"/>
          <w:szCs w:val="24"/>
        </w:rPr>
        <w:t>; it was renamed by section 91 of the Additional Learning Needs and Education Tribunal Act 2018</w:t>
      </w:r>
      <w:r w:rsidR="00B224C6">
        <w:rPr>
          <w:sz w:val="24"/>
          <w:szCs w:val="24"/>
        </w:rPr>
        <w:t xml:space="preserve">. </w:t>
      </w:r>
      <w:r w:rsidR="00431B38">
        <w:rPr>
          <w:sz w:val="24"/>
          <w:szCs w:val="24"/>
        </w:rPr>
        <w:t xml:space="preserve">The </w:t>
      </w:r>
      <w:r w:rsidR="000B7779">
        <w:rPr>
          <w:sz w:val="24"/>
          <w:szCs w:val="24"/>
        </w:rPr>
        <w:t>ETW</w:t>
      </w:r>
      <w:r w:rsidR="005349BB" w:rsidRPr="000B308F">
        <w:rPr>
          <w:sz w:val="24"/>
          <w:szCs w:val="24"/>
        </w:rPr>
        <w:t xml:space="preserve"> is also responsible for dealing with claims of disability related discrimination in schools in Wales.</w:t>
      </w:r>
    </w:p>
    <w:p w14:paraId="7CB08532" w14:textId="6F72A1CC" w:rsidR="005349BB" w:rsidRPr="000B308F" w:rsidRDefault="00431B38" w:rsidP="005349BB">
      <w:pPr>
        <w:pStyle w:val="Text3"/>
        <w:numPr>
          <w:ilvl w:val="2"/>
          <w:numId w:val="29"/>
        </w:numPr>
        <w:rPr>
          <w:sz w:val="24"/>
          <w:szCs w:val="24"/>
        </w:rPr>
      </w:pPr>
      <w:r>
        <w:rPr>
          <w:sz w:val="24"/>
          <w:szCs w:val="24"/>
        </w:rPr>
        <w:t xml:space="preserve">The </w:t>
      </w:r>
      <w:r w:rsidR="00054EEB">
        <w:rPr>
          <w:sz w:val="24"/>
          <w:szCs w:val="24"/>
        </w:rPr>
        <w:t>Registered</w:t>
      </w:r>
      <w:r w:rsidR="00972C29">
        <w:rPr>
          <w:sz w:val="24"/>
          <w:szCs w:val="24"/>
        </w:rPr>
        <w:t xml:space="preserve"> School Inspectors Appeal Tribunal and Registered Nursery Inspectors Appeal Tribunal (described in the Wales Act 2017 as “</w:t>
      </w:r>
      <w:r w:rsidR="005349BB" w:rsidRPr="000B308F">
        <w:rPr>
          <w:sz w:val="24"/>
          <w:szCs w:val="24"/>
        </w:rPr>
        <w:t>a tribunal constituted in accordance with Schedule 3 to the Education Act 2005 (registration of inspectors in Wales; tribunals hearing appeals under section 27)</w:t>
      </w:r>
      <w:r w:rsidR="00972C29">
        <w:rPr>
          <w:sz w:val="24"/>
          <w:szCs w:val="24"/>
        </w:rPr>
        <w:t xml:space="preserve">”. </w:t>
      </w:r>
      <w:r w:rsidR="005A1E58">
        <w:rPr>
          <w:sz w:val="24"/>
          <w:szCs w:val="24"/>
        </w:rPr>
        <w:t>T</w:t>
      </w:r>
      <w:r w:rsidR="00972C29">
        <w:rPr>
          <w:sz w:val="24"/>
          <w:szCs w:val="24"/>
        </w:rPr>
        <w:t>hese tribunals have not been constituted in recent years</w:t>
      </w:r>
      <w:r w:rsidR="005A1E58">
        <w:rPr>
          <w:sz w:val="24"/>
          <w:szCs w:val="24"/>
        </w:rPr>
        <w:t xml:space="preserve">; </w:t>
      </w:r>
      <w:r w:rsidR="00E57808">
        <w:rPr>
          <w:sz w:val="24"/>
          <w:szCs w:val="24"/>
        </w:rPr>
        <w:t xml:space="preserve">the members of </w:t>
      </w:r>
      <w:r w:rsidR="0054257A">
        <w:rPr>
          <w:sz w:val="24"/>
          <w:szCs w:val="24"/>
        </w:rPr>
        <w:t xml:space="preserve">the </w:t>
      </w:r>
      <w:r w:rsidR="000B7779">
        <w:rPr>
          <w:sz w:val="24"/>
          <w:szCs w:val="24"/>
        </w:rPr>
        <w:t>ETW</w:t>
      </w:r>
      <w:r w:rsidR="00E57808">
        <w:rPr>
          <w:sz w:val="24"/>
          <w:szCs w:val="24"/>
        </w:rPr>
        <w:t xml:space="preserve"> are </w:t>
      </w:r>
      <w:r w:rsidR="00B224C6">
        <w:rPr>
          <w:sz w:val="24"/>
          <w:szCs w:val="24"/>
        </w:rPr>
        <w:t>eligible</w:t>
      </w:r>
      <w:r w:rsidR="00E57808">
        <w:rPr>
          <w:sz w:val="24"/>
          <w:szCs w:val="24"/>
        </w:rPr>
        <w:t xml:space="preserve"> to hear appeals</w:t>
      </w:r>
      <w:r w:rsidR="00B224C6">
        <w:rPr>
          <w:sz w:val="24"/>
          <w:szCs w:val="24"/>
        </w:rPr>
        <w:t>.</w:t>
      </w:r>
      <w:r w:rsidR="00E57808">
        <w:rPr>
          <w:sz w:val="24"/>
          <w:szCs w:val="24"/>
        </w:rPr>
        <w:t xml:space="preserve"> </w:t>
      </w:r>
    </w:p>
    <w:p w14:paraId="1AF2CD6C" w14:textId="77777777" w:rsidR="005349BB" w:rsidRPr="000B308F" w:rsidRDefault="00972C29" w:rsidP="005349BB">
      <w:pPr>
        <w:pStyle w:val="Text3"/>
        <w:numPr>
          <w:ilvl w:val="2"/>
          <w:numId w:val="29"/>
        </w:numPr>
        <w:rPr>
          <w:sz w:val="24"/>
          <w:szCs w:val="24"/>
        </w:rPr>
      </w:pPr>
      <w:r>
        <w:rPr>
          <w:sz w:val="24"/>
          <w:szCs w:val="24"/>
        </w:rPr>
        <w:t>A</w:t>
      </w:r>
      <w:r w:rsidR="005349BB" w:rsidRPr="000B308F">
        <w:rPr>
          <w:sz w:val="24"/>
          <w:szCs w:val="24"/>
        </w:rPr>
        <w:t xml:space="preserve"> tribunal drawn from the Adjudication Panel for Wales (“APW”</w:t>
      </w:r>
      <w:r>
        <w:rPr>
          <w:sz w:val="24"/>
          <w:szCs w:val="24"/>
        </w:rPr>
        <w:t>). The APW</w:t>
      </w:r>
      <w:r w:rsidR="005349BB" w:rsidRPr="000B308F">
        <w:rPr>
          <w:sz w:val="24"/>
          <w:szCs w:val="24"/>
        </w:rPr>
        <w:t xml:space="preserve"> is an independent tribunal established under Part III of the Local Government Act 2000. It was set up to determine alleged breaches </w:t>
      </w:r>
      <w:r w:rsidR="005618D3">
        <w:rPr>
          <w:sz w:val="24"/>
          <w:szCs w:val="24"/>
        </w:rPr>
        <w:t xml:space="preserve">of </w:t>
      </w:r>
      <w:r w:rsidR="005349BB" w:rsidRPr="000B308F">
        <w:rPr>
          <w:sz w:val="24"/>
          <w:szCs w:val="24"/>
        </w:rPr>
        <w:t>an authority’s statutory Code of Conduct by elected and co-opted members of Welsh county, county borough and community councils, fire and national park authorities</w:t>
      </w:r>
      <w:r>
        <w:rPr>
          <w:sz w:val="24"/>
          <w:szCs w:val="24"/>
        </w:rPr>
        <w:t>.</w:t>
      </w:r>
    </w:p>
    <w:p w14:paraId="6FBF5E41" w14:textId="77777777" w:rsidR="005349BB" w:rsidRPr="000B308F" w:rsidRDefault="00972C29" w:rsidP="005349BB">
      <w:pPr>
        <w:pStyle w:val="Text3"/>
        <w:numPr>
          <w:ilvl w:val="2"/>
          <w:numId w:val="29"/>
        </w:numPr>
        <w:rPr>
          <w:sz w:val="24"/>
          <w:szCs w:val="24"/>
        </w:rPr>
      </w:pPr>
      <w:r>
        <w:rPr>
          <w:sz w:val="24"/>
          <w:szCs w:val="24"/>
        </w:rPr>
        <w:t>T</w:t>
      </w:r>
      <w:r w:rsidR="005349BB" w:rsidRPr="000B308F">
        <w:rPr>
          <w:sz w:val="24"/>
          <w:szCs w:val="24"/>
        </w:rPr>
        <w:t xml:space="preserve">he Welsh Language Tribunal (“WLT”) was established under section 120 of the Welsh Language (Wales) Measure 2011 (‘the Measure’). The </w:t>
      </w:r>
      <w:r w:rsidR="004F2D38">
        <w:rPr>
          <w:sz w:val="24"/>
          <w:szCs w:val="24"/>
        </w:rPr>
        <w:t>Tribunal hears</w:t>
      </w:r>
      <w:r w:rsidR="005349BB" w:rsidRPr="000B308F">
        <w:rPr>
          <w:sz w:val="24"/>
          <w:szCs w:val="24"/>
        </w:rPr>
        <w:t xml:space="preserve"> appeals </w:t>
      </w:r>
      <w:r w:rsidR="004F2D38">
        <w:rPr>
          <w:sz w:val="24"/>
          <w:szCs w:val="24"/>
        </w:rPr>
        <w:t>relating to</w:t>
      </w:r>
      <w:r w:rsidR="004F2D38" w:rsidRPr="000B308F">
        <w:rPr>
          <w:sz w:val="24"/>
          <w:szCs w:val="24"/>
        </w:rPr>
        <w:t xml:space="preserve"> </w:t>
      </w:r>
      <w:r w:rsidR="005349BB" w:rsidRPr="000B308F">
        <w:rPr>
          <w:sz w:val="24"/>
          <w:szCs w:val="24"/>
        </w:rPr>
        <w:t xml:space="preserve">the Welsh Language Commissioner (‘the Commissioner’)’s decisions </w:t>
      </w:r>
      <w:r w:rsidR="004F2D38">
        <w:rPr>
          <w:sz w:val="24"/>
          <w:szCs w:val="24"/>
        </w:rPr>
        <w:t>concerning enforcement of the</w:t>
      </w:r>
      <w:r w:rsidR="005349BB" w:rsidRPr="000B308F">
        <w:rPr>
          <w:sz w:val="24"/>
          <w:szCs w:val="24"/>
        </w:rPr>
        <w:t xml:space="preserve"> Welsh Language Standards.</w:t>
      </w:r>
    </w:p>
    <w:p w14:paraId="1B8FE265" w14:textId="15C132FD" w:rsidR="005349BB" w:rsidRPr="00323A42" w:rsidRDefault="005349BB" w:rsidP="000B308F">
      <w:pPr>
        <w:pStyle w:val="NormalWeb"/>
        <w:numPr>
          <w:ilvl w:val="0"/>
          <w:numId w:val="28"/>
        </w:numPr>
        <w:spacing w:after="120" w:afterAutospacing="0"/>
        <w:ind w:left="357" w:hanging="357"/>
      </w:pPr>
      <w:r w:rsidRPr="000B308F">
        <w:rPr>
          <w:rFonts w:ascii="Arial" w:hAnsi="Arial" w:cs="Arial"/>
        </w:rPr>
        <w:t xml:space="preserve">Table </w:t>
      </w:r>
      <w:r w:rsidR="005D0FBB">
        <w:rPr>
          <w:rFonts w:ascii="Arial" w:hAnsi="Arial" w:cs="Arial"/>
        </w:rPr>
        <w:t>1</w:t>
      </w:r>
      <w:r w:rsidRPr="000B308F">
        <w:rPr>
          <w:rFonts w:ascii="Arial" w:hAnsi="Arial" w:cs="Arial"/>
        </w:rPr>
        <w:t xml:space="preserve"> below shows the annual number of </w:t>
      </w:r>
      <w:r w:rsidR="00BE24FC">
        <w:rPr>
          <w:rFonts w:ascii="Arial" w:hAnsi="Arial" w:cs="Arial"/>
        </w:rPr>
        <w:t>applications made to</w:t>
      </w:r>
      <w:r w:rsidR="00091DE0">
        <w:rPr>
          <w:rFonts w:ascii="Arial" w:hAnsi="Arial" w:cs="Arial"/>
        </w:rPr>
        <w:t xml:space="preserve"> </w:t>
      </w:r>
      <w:r w:rsidRPr="000B308F">
        <w:rPr>
          <w:rFonts w:ascii="Arial" w:hAnsi="Arial" w:cs="Arial"/>
        </w:rPr>
        <w:t xml:space="preserve">these tribunals over a </w:t>
      </w:r>
      <w:r w:rsidR="00F9634D" w:rsidRPr="000B308F">
        <w:rPr>
          <w:rFonts w:ascii="Arial" w:hAnsi="Arial" w:cs="Arial"/>
        </w:rPr>
        <w:t>three-year</w:t>
      </w:r>
      <w:r w:rsidRPr="000B308F">
        <w:rPr>
          <w:rFonts w:ascii="Arial" w:hAnsi="Arial" w:cs="Arial"/>
        </w:rPr>
        <w:t xml:space="preserve"> period. </w:t>
      </w:r>
    </w:p>
    <w:p w14:paraId="79ECFD0D" w14:textId="2A9BC85D" w:rsidR="005349BB" w:rsidRPr="000B308F" w:rsidRDefault="005349BB" w:rsidP="005349BB">
      <w:pPr>
        <w:pStyle w:val="Text2"/>
        <w:tabs>
          <w:tab w:val="clear" w:pos="624"/>
        </w:tabs>
        <w:ind w:firstLine="0"/>
        <w:rPr>
          <w:sz w:val="24"/>
          <w:szCs w:val="24"/>
        </w:rPr>
      </w:pPr>
      <w:r w:rsidRPr="000B308F">
        <w:rPr>
          <w:sz w:val="24"/>
          <w:szCs w:val="24"/>
        </w:rPr>
        <w:tab/>
        <w:t xml:space="preserve">Table </w:t>
      </w:r>
      <w:r w:rsidR="005D0FBB">
        <w:rPr>
          <w:sz w:val="24"/>
          <w:szCs w:val="24"/>
        </w:rPr>
        <w:t>1</w:t>
      </w:r>
      <w:r w:rsidRPr="000B308F">
        <w:rPr>
          <w:sz w:val="24"/>
          <w:szCs w:val="24"/>
        </w:rPr>
        <w:t xml:space="preserve">: Number of </w:t>
      </w:r>
      <w:r w:rsidR="00BE24FC">
        <w:rPr>
          <w:sz w:val="24"/>
          <w:szCs w:val="24"/>
        </w:rPr>
        <w:t>applications made to</w:t>
      </w:r>
      <w:r w:rsidRPr="000B308F">
        <w:rPr>
          <w:sz w:val="24"/>
          <w:szCs w:val="24"/>
        </w:rPr>
        <w:t xml:space="preserve"> tribunals, 20</w:t>
      </w:r>
      <w:r w:rsidR="00634C62">
        <w:rPr>
          <w:sz w:val="24"/>
          <w:szCs w:val="24"/>
        </w:rPr>
        <w:t>18</w:t>
      </w:r>
      <w:r w:rsidRPr="000B308F">
        <w:rPr>
          <w:sz w:val="24"/>
          <w:szCs w:val="24"/>
        </w:rPr>
        <w:t>/1</w:t>
      </w:r>
      <w:r w:rsidR="00634C62">
        <w:rPr>
          <w:sz w:val="24"/>
          <w:szCs w:val="24"/>
        </w:rPr>
        <w:t>9</w:t>
      </w:r>
      <w:r w:rsidRPr="000B308F">
        <w:rPr>
          <w:sz w:val="24"/>
          <w:szCs w:val="24"/>
        </w:rPr>
        <w:t xml:space="preserve"> to 20</w:t>
      </w:r>
      <w:r w:rsidR="00634C62">
        <w:rPr>
          <w:sz w:val="24"/>
          <w:szCs w:val="24"/>
        </w:rPr>
        <w:t>20</w:t>
      </w:r>
      <w:r w:rsidRPr="000B308F">
        <w:rPr>
          <w:sz w:val="24"/>
          <w:szCs w:val="24"/>
        </w:rPr>
        <w:t>/2</w:t>
      </w:r>
      <w:r w:rsidR="00634C62">
        <w:rPr>
          <w:sz w:val="24"/>
          <w:szCs w:val="24"/>
        </w:rPr>
        <w:t>1</w:t>
      </w:r>
      <w:r w:rsidRPr="000B308F">
        <w:rPr>
          <w:rStyle w:val="FootnoteReference"/>
          <w:rFonts w:cs="Arial"/>
          <w:sz w:val="24"/>
          <w:szCs w:val="24"/>
        </w:rPr>
        <w:footnoteReference w:id="6"/>
      </w:r>
    </w:p>
    <w:tbl>
      <w:tblPr>
        <w:tblStyle w:val="TableGrid"/>
        <w:tblW w:w="0" w:type="auto"/>
        <w:tblInd w:w="624" w:type="dxa"/>
        <w:tblLook w:val="04A0" w:firstRow="1" w:lastRow="0" w:firstColumn="1" w:lastColumn="0" w:noHBand="0" w:noVBand="1"/>
      </w:tblPr>
      <w:tblGrid>
        <w:gridCol w:w="2421"/>
        <w:gridCol w:w="1295"/>
        <w:gridCol w:w="1177"/>
        <w:gridCol w:w="1177"/>
        <w:gridCol w:w="1177"/>
      </w:tblGrid>
      <w:tr w:rsidR="00634C62" w:rsidRPr="006977F9" w14:paraId="27A21927" w14:textId="77777777" w:rsidTr="0097144F">
        <w:trPr>
          <w:trHeight w:val="668"/>
        </w:trPr>
        <w:tc>
          <w:tcPr>
            <w:tcW w:w="2421" w:type="dxa"/>
            <w:shd w:val="clear" w:color="auto" w:fill="D9D9D9" w:themeFill="background1" w:themeFillShade="D9"/>
          </w:tcPr>
          <w:p w14:paraId="1C9102FB" w14:textId="77777777" w:rsidR="00634C62" w:rsidRPr="000B308F" w:rsidRDefault="00634C62" w:rsidP="00BC00FA">
            <w:pPr>
              <w:pStyle w:val="Text2quote"/>
              <w:ind w:left="0"/>
              <w:rPr>
                <w:b/>
                <w:sz w:val="24"/>
                <w:szCs w:val="24"/>
              </w:rPr>
            </w:pPr>
          </w:p>
          <w:p w14:paraId="022C2710" w14:textId="77777777" w:rsidR="00634C62" w:rsidRPr="000B308F" w:rsidRDefault="00634C62" w:rsidP="00BC00FA">
            <w:pPr>
              <w:pStyle w:val="Text2quote"/>
              <w:ind w:left="0"/>
              <w:rPr>
                <w:b/>
                <w:sz w:val="24"/>
                <w:szCs w:val="24"/>
              </w:rPr>
            </w:pPr>
            <w:r w:rsidRPr="000B308F">
              <w:rPr>
                <w:b/>
                <w:sz w:val="24"/>
                <w:szCs w:val="24"/>
              </w:rPr>
              <w:t>Tribunal</w:t>
            </w:r>
          </w:p>
        </w:tc>
        <w:tc>
          <w:tcPr>
            <w:tcW w:w="1295" w:type="dxa"/>
            <w:shd w:val="clear" w:color="auto" w:fill="D9D9D9" w:themeFill="background1" w:themeFillShade="D9"/>
          </w:tcPr>
          <w:p w14:paraId="60A34CD3" w14:textId="77777777" w:rsidR="00634C62" w:rsidRPr="000B308F" w:rsidRDefault="00634C62" w:rsidP="00BC00FA">
            <w:pPr>
              <w:pStyle w:val="Text2quote"/>
              <w:ind w:left="0"/>
              <w:rPr>
                <w:b/>
                <w:sz w:val="24"/>
                <w:szCs w:val="24"/>
              </w:rPr>
            </w:pPr>
          </w:p>
          <w:p w14:paraId="73C732AF" w14:textId="77777777" w:rsidR="00634C62" w:rsidRPr="000B308F" w:rsidRDefault="00634C62" w:rsidP="00BC00FA">
            <w:pPr>
              <w:pStyle w:val="Text2quote"/>
              <w:ind w:left="0"/>
              <w:rPr>
                <w:b/>
                <w:sz w:val="24"/>
                <w:szCs w:val="24"/>
              </w:rPr>
            </w:pPr>
            <w:r w:rsidRPr="000B308F">
              <w:rPr>
                <w:b/>
                <w:sz w:val="24"/>
                <w:szCs w:val="24"/>
              </w:rPr>
              <w:t>2018/19</w:t>
            </w:r>
          </w:p>
        </w:tc>
        <w:tc>
          <w:tcPr>
            <w:tcW w:w="1177" w:type="dxa"/>
            <w:shd w:val="clear" w:color="auto" w:fill="D9D9D9" w:themeFill="background1" w:themeFillShade="D9"/>
          </w:tcPr>
          <w:p w14:paraId="3BF06354" w14:textId="77777777" w:rsidR="00634C62" w:rsidRPr="000B308F" w:rsidRDefault="00634C62" w:rsidP="00BC00FA">
            <w:pPr>
              <w:pStyle w:val="Text2quote"/>
              <w:ind w:left="0"/>
              <w:rPr>
                <w:b/>
                <w:sz w:val="24"/>
                <w:szCs w:val="24"/>
              </w:rPr>
            </w:pPr>
          </w:p>
          <w:p w14:paraId="101F5BD2" w14:textId="77777777" w:rsidR="00634C62" w:rsidRPr="000B308F" w:rsidRDefault="00634C62" w:rsidP="00BC00FA">
            <w:pPr>
              <w:pStyle w:val="Text2quote"/>
              <w:ind w:left="0"/>
              <w:rPr>
                <w:b/>
                <w:sz w:val="24"/>
                <w:szCs w:val="24"/>
              </w:rPr>
            </w:pPr>
            <w:r w:rsidRPr="000B308F">
              <w:rPr>
                <w:b/>
                <w:sz w:val="24"/>
                <w:szCs w:val="24"/>
              </w:rPr>
              <w:t>2019/20</w:t>
            </w:r>
          </w:p>
        </w:tc>
        <w:tc>
          <w:tcPr>
            <w:tcW w:w="1177" w:type="dxa"/>
            <w:tcBorders>
              <w:bottom w:val="single" w:sz="4" w:space="0" w:color="auto"/>
            </w:tcBorders>
            <w:shd w:val="clear" w:color="auto" w:fill="D9D9D9" w:themeFill="background1" w:themeFillShade="D9"/>
          </w:tcPr>
          <w:p w14:paraId="02FF231D" w14:textId="77777777" w:rsidR="00634C62" w:rsidRDefault="00634C62" w:rsidP="00BC00FA">
            <w:pPr>
              <w:pStyle w:val="Text2quote"/>
              <w:ind w:left="0"/>
              <w:rPr>
                <w:b/>
                <w:sz w:val="24"/>
                <w:szCs w:val="24"/>
              </w:rPr>
            </w:pPr>
          </w:p>
          <w:p w14:paraId="0CF6AE70" w14:textId="5204090C" w:rsidR="00634C62" w:rsidRPr="000B308F" w:rsidRDefault="00634C62" w:rsidP="00BC00FA">
            <w:pPr>
              <w:pStyle w:val="Text2quote"/>
              <w:ind w:left="0"/>
              <w:rPr>
                <w:b/>
                <w:sz w:val="24"/>
                <w:szCs w:val="24"/>
              </w:rPr>
            </w:pPr>
            <w:r>
              <w:rPr>
                <w:b/>
                <w:sz w:val="24"/>
                <w:szCs w:val="24"/>
              </w:rPr>
              <w:t>2020/21</w:t>
            </w:r>
          </w:p>
        </w:tc>
        <w:tc>
          <w:tcPr>
            <w:tcW w:w="1177" w:type="dxa"/>
            <w:tcBorders>
              <w:bottom w:val="single" w:sz="4" w:space="0" w:color="auto"/>
            </w:tcBorders>
            <w:shd w:val="clear" w:color="auto" w:fill="D9D9D9" w:themeFill="background1" w:themeFillShade="D9"/>
          </w:tcPr>
          <w:p w14:paraId="1E1233A6" w14:textId="71A2C89A" w:rsidR="00634C62" w:rsidRPr="000B308F" w:rsidRDefault="00634C62" w:rsidP="00BC00FA">
            <w:pPr>
              <w:pStyle w:val="Text2quote"/>
              <w:ind w:left="0"/>
              <w:rPr>
                <w:b/>
                <w:sz w:val="24"/>
                <w:szCs w:val="24"/>
              </w:rPr>
            </w:pPr>
          </w:p>
          <w:p w14:paraId="3B542F29" w14:textId="77777777" w:rsidR="00634C62" w:rsidRPr="000B308F" w:rsidRDefault="00634C62" w:rsidP="00BC00FA">
            <w:pPr>
              <w:pStyle w:val="Text2quote"/>
              <w:ind w:left="0"/>
              <w:rPr>
                <w:b/>
                <w:sz w:val="24"/>
                <w:szCs w:val="24"/>
              </w:rPr>
            </w:pPr>
            <w:r w:rsidRPr="000B308F">
              <w:rPr>
                <w:b/>
                <w:sz w:val="24"/>
                <w:szCs w:val="24"/>
              </w:rPr>
              <w:t>Average</w:t>
            </w:r>
          </w:p>
        </w:tc>
      </w:tr>
      <w:tr w:rsidR="00634C62" w:rsidRPr="006977F9" w14:paraId="1D6AAF8E" w14:textId="77777777" w:rsidTr="0097144F">
        <w:trPr>
          <w:trHeight w:val="714"/>
        </w:trPr>
        <w:tc>
          <w:tcPr>
            <w:tcW w:w="2421" w:type="dxa"/>
          </w:tcPr>
          <w:p w14:paraId="10ABBE2B" w14:textId="77777777" w:rsidR="00634C62" w:rsidRPr="000B308F" w:rsidRDefault="00634C62" w:rsidP="00BC00FA">
            <w:pPr>
              <w:pStyle w:val="Text2quote"/>
              <w:ind w:left="0"/>
              <w:rPr>
                <w:sz w:val="24"/>
                <w:szCs w:val="24"/>
              </w:rPr>
            </w:pPr>
            <w:r w:rsidRPr="000B308F">
              <w:rPr>
                <w:sz w:val="24"/>
                <w:szCs w:val="24"/>
              </w:rPr>
              <w:t>Agricultural Land Tribunal for Wales [ALTW]</w:t>
            </w:r>
          </w:p>
        </w:tc>
        <w:tc>
          <w:tcPr>
            <w:tcW w:w="1295" w:type="dxa"/>
          </w:tcPr>
          <w:p w14:paraId="767AB6B6" w14:textId="77777777" w:rsidR="00634C62" w:rsidRPr="000B308F" w:rsidRDefault="00634C62" w:rsidP="00BC00FA">
            <w:pPr>
              <w:pStyle w:val="Text2quote"/>
              <w:ind w:left="0"/>
              <w:rPr>
                <w:sz w:val="24"/>
                <w:szCs w:val="24"/>
              </w:rPr>
            </w:pPr>
          </w:p>
          <w:p w14:paraId="5CC04FF0" w14:textId="77777777" w:rsidR="00634C62" w:rsidRPr="000B308F" w:rsidRDefault="00634C62" w:rsidP="00BC00FA">
            <w:pPr>
              <w:pStyle w:val="Text2quote"/>
              <w:ind w:left="0"/>
              <w:rPr>
                <w:sz w:val="24"/>
                <w:szCs w:val="24"/>
              </w:rPr>
            </w:pPr>
            <w:r w:rsidRPr="000B308F">
              <w:rPr>
                <w:sz w:val="24"/>
                <w:szCs w:val="24"/>
              </w:rPr>
              <w:t>29</w:t>
            </w:r>
          </w:p>
        </w:tc>
        <w:tc>
          <w:tcPr>
            <w:tcW w:w="1177" w:type="dxa"/>
          </w:tcPr>
          <w:p w14:paraId="58C792B6" w14:textId="77777777" w:rsidR="00634C62" w:rsidRPr="000B308F" w:rsidRDefault="00634C62" w:rsidP="00BC00FA">
            <w:pPr>
              <w:pStyle w:val="Text2quote"/>
              <w:ind w:left="0"/>
              <w:rPr>
                <w:sz w:val="24"/>
                <w:szCs w:val="24"/>
              </w:rPr>
            </w:pPr>
          </w:p>
          <w:p w14:paraId="7B5438DD" w14:textId="77777777" w:rsidR="00634C62" w:rsidRPr="000B308F" w:rsidRDefault="00634C62" w:rsidP="00BC00FA">
            <w:pPr>
              <w:pStyle w:val="Text2quote"/>
              <w:ind w:left="0"/>
              <w:rPr>
                <w:sz w:val="24"/>
                <w:szCs w:val="24"/>
              </w:rPr>
            </w:pPr>
            <w:r w:rsidRPr="000B308F">
              <w:rPr>
                <w:sz w:val="24"/>
                <w:szCs w:val="24"/>
              </w:rPr>
              <w:t>22</w:t>
            </w:r>
          </w:p>
        </w:tc>
        <w:tc>
          <w:tcPr>
            <w:tcW w:w="1177" w:type="dxa"/>
            <w:tcBorders>
              <w:top w:val="single" w:sz="4" w:space="0" w:color="auto"/>
              <w:bottom w:val="single" w:sz="4" w:space="0" w:color="auto"/>
              <w:right w:val="single" w:sz="4" w:space="0" w:color="auto"/>
            </w:tcBorders>
          </w:tcPr>
          <w:p w14:paraId="3D91BFCB" w14:textId="77777777" w:rsidR="00634C62" w:rsidRDefault="00634C62" w:rsidP="00BC00FA">
            <w:pPr>
              <w:pStyle w:val="Text2quote"/>
              <w:ind w:left="0"/>
              <w:rPr>
                <w:sz w:val="24"/>
                <w:szCs w:val="24"/>
              </w:rPr>
            </w:pPr>
          </w:p>
          <w:p w14:paraId="6642FF02" w14:textId="56B9A91D" w:rsidR="00634C62" w:rsidRPr="000B308F" w:rsidRDefault="00634C62" w:rsidP="00BC00FA">
            <w:pPr>
              <w:pStyle w:val="Text2quote"/>
              <w:ind w:left="0"/>
              <w:rPr>
                <w:sz w:val="24"/>
                <w:szCs w:val="24"/>
              </w:rPr>
            </w:pPr>
            <w:r>
              <w:rPr>
                <w:sz w:val="24"/>
                <w:szCs w:val="24"/>
              </w:rPr>
              <w:t>13</w:t>
            </w:r>
          </w:p>
        </w:tc>
        <w:tc>
          <w:tcPr>
            <w:tcW w:w="1177" w:type="dxa"/>
            <w:tcBorders>
              <w:top w:val="single" w:sz="4" w:space="0" w:color="auto"/>
              <w:left w:val="single" w:sz="4" w:space="0" w:color="auto"/>
              <w:bottom w:val="single" w:sz="4" w:space="0" w:color="auto"/>
              <w:right w:val="single" w:sz="4" w:space="0" w:color="auto"/>
            </w:tcBorders>
            <w:vAlign w:val="bottom"/>
          </w:tcPr>
          <w:p w14:paraId="691673F0" w14:textId="356255FA" w:rsidR="00634C62" w:rsidRPr="000B308F" w:rsidRDefault="00634C62" w:rsidP="00BC00FA">
            <w:pPr>
              <w:pStyle w:val="Text2quote"/>
              <w:ind w:left="0"/>
              <w:rPr>
                <w:sz w:val="24"/>
                <w:szCs w:val="24"/>
              </w:rPr>
            </w:pPr>
            <w:r w:rsidRPr="000B308F">
              <w:rPr>
                <w:sz w:val="24"/>
                <w:szCs w:val="24"/>
              </w:rPr>
              <w:t>2</w:t>
            </w:r>
            <w:r>
              <w:rPr>
                <w:sz w:val="24"/>
                <w:szCs w:val="24"/>
              </w:rPr>
              <w:t>1</w:t>
            </w:r>
          </w:p>
        </w:tc>
      </w:tr>
      <w:tr w:rsidR="00634C62" w:rsidRPr="006977F9" w14:paraId="6BF6F6F2" w14:textId="77777777" w:rsidTr="0097144F">
        <w:trPr>
          <w:trHeight w:val="981"/>
        </w:trPr>
        <w:tc>
          <w:tcPr>
            <w:tcW w:w="2421" w:type="dxa"/>
          </w:tcPr>
          <w:p w14:paraId="20DDAD9C" w14:textId="66A61ED1" w:rsidR="00634C62" w:rsidRPr="000B308F" w:rsidRDefault="00634C62" w:rsidP="00BC00FA">
            <w:pPr>
              <w:pStyle w:val="Text2quote"/>
              <w:ind w:left="0"/>
              <w:rPr>
                <w:sz w:val="24"/>
                <w:szCs w:val="24"/>
              </w:rPr>
            </w:pPr>
            <w:r w:rsidRPr="000B308F">
              <w:rPr>
                <w:sz w:val="24"/>
                <w:szCs w:val="24"/>
              </w:rPr>
              <w:t>Mental Health Review Tribunal for Wales [MHRTW]</w:t>
            </w:r>
            <w:r w:rsidR="00BE24FC">
              <w:rPr>
                <w:rStyle w:val="FootnoteReference"/>
                <w:szCs w:val="24"/>
              </w:rPr>
              <w:footnoteReference w:id="7"/>
            </w:r>
          </w:p>
        </w:tc>
        <w:tc>
          <w:tcPr>
            <w:tcW w:w="1295" w:type="dxa"/>
          </w:tcPr>
          <w:p w14:paraId="552D676D" w14:textId="77777777" w:rsidR="00634C62" w:rsidRPr="000B308F" w:rsidRDefault="00634C62" w:rsidP="00BC00FA">
            <w:pPr>
              <w:pStyle w:val="Text2quote"/>
              <w:ind w:left="0"/>
              <w:rPr>
                <w:sz w:val="24"/>
                <w:szCs w:val="24"/>
              </w:rPr>
            </w:pPr>
          </w:p>
          <w:p w14:paraId="49E5A7D9" w14:textId="77777777" w:rsidR="00634C62" w:rsidRPr="000B308F" w:rsidRDefault="00634C62" w:rsidP="00BC00FA">
            <w:pPr>
              <w:pStyle w:val="Text2quote"/>
              <w:ind w:left="0"/>
              <w:rPr>
                <w:sz w:val="24"/>
                <w:szCs w:val="24"/>
              </w:rPr>
            </w:pPr>
            <w:r w:rsidRPr="000B308F">
              <w:rPr>
                <w:sz w:val="24"/>
                <w:szCs w:val="24"/>
              </w:rPr>
              <w:t>2046</w:t>
            </w:r>
          </w:p>
        </w:tc>
        <w:tc>
          <w:tcPr>
            <w:tcW w:w="1177" w:type="dxa"/>
          </w:tcPr>
          <w:p w14:paraId="0A651537" w14:textId="77777777" w:rsidR="00634C62" w:rsidRPr="000B308F" w:rsidRDefault="00634C62" w:rsidP="00BC00FA">
            <w:pPr>
              <w:pStyle w:val="Text2quote"/>
              <w:ind w:left="0"/>
              <w:rPr>
                <w:sz w:val="24"/>
                <w:szCs w:val="24"/>
              </w:rPr>
            </w:pPr>
          </w:p>
          <w:p w14:paraId="62EB893D" w14:textId="2FBED8E8" w:rsidR="00634C62" w:rsidRPr="000B308F" w:rsidRDefault="00634C62" w:rsidP="00BC00FA">
            <w:pPr>
              <w:pStyle w:val="Text2quote"/>
              <w:ind w:left="0"/>
              <w:rPr>
                <w:sz w:val="24"/>
                <w:szCs w:val="24"/>
              </w:rPr>
            </w:pPr>
            <w:r w:rsidRPr="000B308F">
              <w:rPr>
                <w:sz w:val="24"/>
                <w:szCs w:val="24"/>
              </w:rPr>
              <w:t>1943</w:t>
            </w:r>
          </w:p>
        </w:tc>
        <w:tc>
          <w:tcPr>
            <w:tcW w:w="1177" w:type="dxa"/>
            <w:tcBorders>
              <w:top w:val="single" w:sz="4" w:space="0" w:color="auto"/>
              <w:bottom w:val="single" w:sz="4" w:space="0" w:color="auto"/>
              <w:right w:val="single" w:sz="4" w:space="0" w:color="auto"/>
            </w:tcBorders>
          </w:tcPr>
          <w:p w14:paraId="408FF5AF" w14:textId="77777777" w:rsidR="00634C62" w:rsidRDefault="00634C62" w:rsidP="00BC00FA">
            <w:pPr>
              <w:pStyle w:val="Text2quote"/>
              <w:ind w:left="0"/>
              <w:rPr>
                <w:color w:val="000000"/>
                <w:sz w:val="24"/>
                <w:szCs w:val="24"/>
              </w:rPr>
            </w:pPr>
          </w:p>
          <w:p w14:paraId="74324080" w14:textId="58DBDE2B" w:rsidR="00634C62" w:rsidRPr="000B308F" w:rsidRDefault="00634C62" w:rsidP="00BC00FA">
            <w:pPr>
              <w:pStyle w:val="Text2quote"/>
              <w:ind w:left="0"/>
              <w:rPr>
                <w:color w:val="000000"/>
                <w:sz w:val="24"/>
                <w:szCs w:val="24"/>
              </w:rPr>
            </w:pPr>
            <w:r>
              <w:rPr>
                <w:color w:val="000000"/>
                <w:sz w:val="24"/>
                <w:szCs w:val="24"/>
              </w:rPr>
              <w:t>1790</w:t>
            </w:r>
          </w:p>
        </w:tc>
        <w:tc>
          <w:tcPr>
            <w:tcW w:w="1177" w:type="dxa"/>
            <w:tcBorders>
              <w:top w:val="single" w:sz="4" w:space="0" w:color="auto"/>
              <w:left w:val="single" w:sz="4" w:space="0" w:color="auto"/>
              <w:bottom w:val="single" w:sz="4" w:space="0" w:color="auto"/>
              <w:right w:val="single" w:sz="4" w:space="0" w:color="auto"/>
            </w:tcBorders>
            <w:vAlign w:val="bottom"/>
          </w:tcPr>
          <w:p w14:paraId="7E610B2F" w14:textId="4794032A" w:rsidR="00634C62" w:rsidRPr="000B308F" w:rsidRDefault="00264153" w:rsidP="00BC00FA">
            <w:pPr>
              <w:pStyle w:val="Text2quote"/>
              <w:ind w:left="0"/>
              <w:rPr>
                <w:sz w:val="24"/>
                <w:szCs w:val="24"/>
              </w:rPr>
            </w:pPr>
            <w:r>
              <w:rPr>
                <w:color w:val="000000"/>
                <w:sz w:val="24"/>
                <w:szCs w:val="24"/>
              </w:rPr>
              <w:t>1926</w:t>
            </w:r>
          </w:p>
        </w:tc>
      </w:tr>
      <w:tr w:rsidR="00634C62" w:rsidRPr="006977F9" w14:paraId="1D426B27" w14:textId="77777777" w:rsidTr="0097144F">
        <w:trPr>
          <w:trHeight w:val="543"/>
        </w:trPr>
        <w:tc>
          <w:tcPr>
            <w:tcW w:w="2421" w:type="dxa"/>
          </w:tcPr>
          <w:p w14:paraId="7C6C8471" w14:textId="77777777" w:rsidR="00634C62" w:rsidRPr="000B308F" w:rsidRDefault="00634C62" w:rsidP="00BC00FA">
            <w:pPr>
              <w:pStyle w:val="Text2quote"/>
              <w:spacing w:after="360"/>
              <w:ind w:left="0"/>
              <w:rPr>
                <w:sz w:val="24"/>
                <w:szCs w:val="24"/>
              </w:rPr>
            </w:pPr>
            <w:r w:rsidRPr="000B308F">
              <w:rPr>
                <w:sz w:val="24"/>
                <w:szCs w:val="24"/>
              </w:rPr>
              <w:t>Residential Property Tribunal</w:t>
            </w:r>
            <w:r w:rsidRPr="000B308F">
              <w:rPr>
                <w:rStyle w:val="FootnoteReference"/>
                <w:rFonts w:cs="Arial"/>
                <w:sz w:val="24"/>
                <w:szCs w:val="24"/>
              </w:rPr>
              <w:footnoteReference w:id="8"/>
            </w:r>
            <w:r w:rsidRPr="000B308F">
              <w:rPr>
                <w:sz w:val="24"/>
                <w:szCs w:val="24"/>
              </w:rPr>
              <w:t xml:space="preserve"> [RPTW]</w:t>
            </w:r>
          </w:p>
        </w:tc>
        <w:tc>
          <w:tcPr>
            <w:tcW w:w="1295" w:type="dxa"/>
          </w:tcPr>
          <w:p w14:paraId="3DC44F29" w14:textId="77777777" w:rsidR="00634C62" w:rsidRPr="000B308F" w:rsidRDefault="00634C62" w:rsidP="00BC00FA">
            <w:pPr>
              <w:pStyle w:val="Text2quote"/>
              <w:ind w:left="0"/>
              <w:rPr>
                <w:sz w:val="24"/>
                <w:szCs w:val="24"/>
              </w:rPr>
            </w:pPr>
          </w:p>
          <w:p w14:paraId="2F1DBB7A" w14:textId="77777777" w:rsidR="00634C62" w:rsidRPr="000B308F" w:rsidRDefault="00634C62" w:rsidP="00BC00FA">
            <w:pPr>
              <w:pStyle w:val="Text2quote"/>
              <w:ind w:left="0"/>
              <w:rPr>
                <w:sz w:val="24"/>
                <w:szCs w:val="24"/>
              </w:rPr>
            </w:pPr>
            <w:r w:rsidRPr="000B308F">
              <w:rPr>
                <w:sz w:val="24"/>
                <w:szCs w:val="24"/>
              </w:rPr>
              <w:t>179</w:t>
            </w:r>
          </w:p>
        </w:tc>
        <w:tc>
          <w:tcPr>
            <w:tcW w:w="1177" w:type="dxa"/>
          </w:tcPr>
          <w:p w14:paraId="22ADFA29" w14:textId="77777777" w:rsidR="00634C62" w:rsidRPr="000B308F" w:rsidRDefault="00634C62" w:rsidP="00BC00FA">
            <w:pPr>
              <w:pStyle w:val="Text2quote"/>
              <w:ind w:left="0"/>
              <w:rPr>
                <w:sz w:val="24"/>
                <w:szCs w:val="24"/>
              </w:rPr>
            </w:pPr>
          </w:p>
          <w:p w14:paraId="0762AB46" w14:textId="77777777" w:rsidR="00634C62" w:rsidRPr="000B308F" w:rsidRDefault="00634C62" w:rsidP="00BC00FA">
            <w:pPr>
              <w:pStyle w:val="Text2quote"/>
              <w:ind w:left="0"/>
              <w:rPr>
                <w:sz w:val="24"/>
                <w:szCs w:val="24"/>
              </w:rPr>
            </w:pPr>
            <w:r w:rsidRPr="000B308F">
              <w:rPr>
                <w:sz w:val="24"/>
                <w:szCs w:val="24"/>
              </w:rPr>
              <w:t>112</w:t>
            </w:r>
          </w:p>
        </w:tc>
        <w:tc>
          <w:tcPr>
            <w:tcW w:w="1177" w:type="dxa"/>
            <w:tcBorders>
              <w:top w:val="single" w:sz="4" w:space="0" w:color="auto"/>
              <w:bottom w:val="single" w:sz="4" w:space="0" w:color="auto"/>
              <w:right w:val="single" w:sz="4" w:space="0" w:color="auto"/>
            </w:tcBorders>
          </w:tcPr>
          <w:p w14:paraId="077F50E8" w14:textId="77777777" w:rsidR="00634C62" w:rsidRDefault="00634C62" w:rsidP="00BC00FA">
            <w:pPr>
              <w:pStyle w:val="Text2quote"/>
              <w:ind w:left="0"/>
              <w:rPr>
                <w:color w:val="000000"/>
                <w:sz w:val="24"/>
                <w:szCs w:val="24"/>
              </w:rPr>
            </w:pPr>
          </w:p>
          <w:p w14:paraId="125D54CA" w14:textId="2A700A71" w:rsidR="00634C62" w:rsidRPr="000B308F" w:rsidRDefault="00634C62" w:rsidP="00BC00FA">
            <w:pPr>
              <w:pStyle w:val="Text2quote"/>
              <w:ind w:left="0"/>
              <w:rPr>
                <w:color w:val="000000"/>
                <w:sz w:val="24"/>
                <w:szCs w:val="24"/>
              </w:rPr>
            </w:pPr>
            <w:r>
              <w:rPr>
                <w:color w:val="000000"/>
                <w:sz w:val="24"/>
                <w:szCs w:val="24"/>
              </w:rPr>
              <w:t>106</w:t>
            </w:r>
          </w:p>
        </w:tc>
        <w:tc>
          <w:tcPr>
            <w:tcW w:w="1177" w:type="dxa"/>
            <w:tcBorders>
              <w:top w:val="single" w:sz="4" w:space="0" w:color="auto"/>
              <w:left w:val="single" w:sz="4" w:space="0" w:color="auto"/>
              <w:bottom w:val="single" w:sz="4" w:space="0" w:color="auto"/>
              <w:right w:val="single" w:sz="4" w:space="0" w:color="auto"/>
            </w:tcBorders>
            <w:vAlign w:val="bottom"/>
          </w:tcPr>
          <w:p w14:paraId="6F514EA1" w14:textId="144A35A8" w:rsidR="00634C62" w:rsidRPr="000B308F" w:rsidRDefault="00634C62" w:rsidP="00BC00FA">
            <w:pPr>
              <w:pStyle w:val="Text2quote"/>
              <w:ind w:left="0"/>
              <w:rPr>
                <w:sz w:val="24"/>
                <w:szCs w:val="24"/>
              </w:rPr>
            </w:pPr>
            <w:r w:rsidRPr="000B308F">
              <w:rPr>
                <w:color w:val="000000"/>
                <w:sz w:val="24"/>
                <w:szCs w:val="24"/>
              </w:rPr>
              <w:t>13</w:t>
            </w:r>
            <w:r w:rsidR="00264153">
              <w:rPr>
                <w:color w:val="000000"/>
                <w:sz w:val="24"/>
                <w:szCs w:val="24"/>
              </w:rPr>
              <w:t>2</w:t>
            </w:r>
          </w:p>
        </w:tc>
      </w:tr>
      <w:tr w:rsidR="00634C62" w:rsidRPr="006977F9" w14:paraId="70E6A7DA" w14:textId="77777777" w:rsidTr="0097144F">
        <w:trPr>
          <w:trHeight w:val="638"/>
        </w:trPr>
        <w:tc>
          <w:tcPr>
            <w:tcW w:w="2421" w:type="dxa"/>
          </w:tcPr>
          <w:p w14:paraId="181589F7" w14:textId="5A7B9EE8" w:rsidR="00634C62" w:rsidRPr="000B308F" w:rsidRDefault="000B7779" w:rsidP="00BC00FA">
            <w:pPr>
              <w:pStyle w:val="Text2quote"/>
              <w:ind w:left="0"/>
              <w:rPr>
                <w:sz w:val="24"/>
                <w:szCs w:val="24"/>
              </w:rPr>
            </w:pPr>
            <w:r>
              <w:rPr>
                <w:sz w:val="24"/>
                <w:szCs w:val="24"/>
              </w:rPr>
              <w:t>Education Tribunal for Wales</w:t>
            </w:r>
            <w:r w:rsidR="00634C62" w:rsidRPr="000B308F">
              <w:rPr>
                <w:rStyle w:val="FootnoteReference"/>
                <w:rFonts w:cs="Arial"/>
                <w:sz w:val="24"/>
                <w:szCs w:val="24"/>
              </w:rPr>
              <w:footnoteReference w:id="9"/>
            </w:r>
            <w:r w:rsidR="00634C62" w:rsidRPr="000B308F">
              <w:rPr>
                <w:sz w:val="24"/>
                <w:szCs w:val="24"/>
              </w:rPr>
              <w:t xml:space="preserve"> [</w:t>
            </w:r>
            <w:r>
              <w:rPr>
                <w:sz w:val="24"/>
                <w:szCs w:val="24"/>
              </w:rPr>
              <w:t>ETW</w:t>
            </w:r>
            <w:r w:rsidR="00634C62" w:rsidRPr="000B308F">
              <w:rPr>
                <w:sz w:val="24"/>
                <w:szCs w:val="24"/>
              </w:rPr>
              <w:t>]</w:t>
            </w:r>
          </w:p>
        </w:tc>
        <w:tc>
          <w:tcPr>
            <w:tcW w:w="1295" w:type="dxa"/>
          </w:tcPr>
          <w:p w14:paraId="59786AA5" w14:textId="77777777" w:rsidR="00634C62" w:rsidRPr="000B308F" w:rsidRDefault="00634C62" w:rsidP="00BC00FA">
            <w:pPr>
              <w:pStyle w:val="Text2quote"/>
              <w:ind w:left="0"/>
              <w:rPr>
                <w:sz w:val="24"/>
                <w:szCs w:val="24"/>
              </w:rPr>
            </w:pPr>
          </w:p>
          <w:p w14:paraId="7BA01AA6" w14:textId="77777777" w:rsidR="00634C62" w:rsidRPr="000B308F" w:rsidRDefault="00634C62" w:rsidP="00BC00FA">
            <w:pPr>
              <w:pStyle w:val="Text2quote"/>
              <w:ind w:left="0"/>
              <w:rPr>
                <w:sz w:val="24"/>
                <w:szCs w:val="24"/>
              </w:rPr>
            </w:pPr>
            <w:r w:rsidRPr="000B308F">
              <w:rPr>
                <w:sz w:val="24"/>
                <w:szCs w:val="24"/>
              </w:rPr>
              <w:t>139</w:t>
            </w:r>
          </w:p>
        </w:tc>
        <w:tc>
          <w:tcPr>
            <w:tcW w:w="1177" w:type="dxa"/>
          </w:tcPr>
          <w:p w14:paraId="482B42EC" w14:textId="77777777" w:rsidR="00634C62" w:rsidRPr="000B308F" w:rsidRDefault="00634C62" w:rsidP="00BC00FA">
            <w:pPr>
              <w:pStyle w:val="Text2quote"/>
              <w:ind w:left="0"/>
              <w:rPr>
                <w:sz w:val="24"/>
                <w:szCs w:val="24"/>
              </w:rPr>
            </w:pPr>
          </w:p>
          <w:p w14:paraId="3EB331E0" w14:textId="77777777" w:rsidR="00634C62" w:rsidRPr="000B308F" w:rsidRDefault="00634C62" w:rsidP="00BC00FA">
            <w:pPr>
              <w:pStyle w:val="Text2quote"/>
              <w:ind w:left="0"/>
              <w:rPr>
                <w:sz w:val="24"/>
                <w:szCs w:val="24"/>
              </w:rPr>
            </w:pPr>
            <w:r w:rsidRPr="000B308F">
              <w:rPr>
                <w:sz w:val="24"/>
                <w:szCs w:val="24"/>
              </w:rPr>
              <w:t>172</w:t>
            </w:r>
          </w:p>
        </w:tc>
        <w:tc>
          <w:tcPr>
            <w:tcW w:w="1177" w:type="dxa"/>
            <w:tcBorders>
              <w:top w:val="single" w:sz="4" w:space="0" w:color="auto"/>
              <w:bottom w:val="single" w:sz="4" w:space="0" w:color="auto"/>
              <w:right w:val="single" w:sz="4" w:space="0" w:color="auto"/>
            </w:tcBorders>
          </w:tcPr>
          <w:p w14:paraId="5DC2F8C0" w14:textId="77777777" w:rsidR="00634C62" w:rsidRDefault="00634C62" w:rsidP="00BC00FA">
            <w:pPr>
              <w:pStyle w:val="Text2quote"/>
              <w:ind w:left="0"/>
              <w:rPr>
                <w:color w:val="000000"/>
                <w:sz w:val="24"/>
                <w:szCs w:val="24"/>
              </w:rPr>
            </w:pPr>
          </w:p>
          <w:p w14:paraId="0504B53F" w14:textId="497F86EF" w:rsidR="00634C62" w:rsidRPr="000B308F" w:rsidRDefault="00634C62" w:rsidP="00BC00FA">
            <w:pPr>
              <w:pStyle w:val="Text2quote"/>
              <w:ind w:left="0"/>
              <w:rPr>
                <w:color w:val="000000"/>
                <w:sz w:val="24"/>
                <w:szCs w:val="24"/>
              </w:rPr>
            </w:pPr>
            <w:r>
              <w:rPr>
                <w:color w:val="000000"/>
                <w:sz w:val="24"/>
                <w:szCs w:val="24"/>
              </w:rPr>
              <w:t>116</w:t>
            </w:r>
          </w:p>
        </w:tc>
        <w:tc>
          <w:tcPr>
            <w:tcW w:w="1177" w:type="dxa"/>
            <w:tcBorders>
              <w:top w:val="single" w:sz="4" w:space="0" w:color="auto"/>
              <w:left w:val="single" w:sz="4" w:space="0" w:color="auto"/>
              <w:bottom w:val="single" w:sz="4" w:space="0" w:color="auto"/>
              <w:right w:val="single" w:sz="4" w:space="0" w:color="auto"/>
            </w:tcBorders>
            <w:vAlign w:val="bottom"/>
          </w:tcPr>
          <w:p w14:paraId="7B8D258E" w14:textId="538BFEB9" w:rsidR="00634C62" w:rsidRPr="000B308F" w:rsidRDefault="00634C62" w:rsidP="00BC00FA">
            <w:pPr>
              <w:pStyle w:val="Text2quote"/>
              <w:ind w:left="0"/>
              <w:rPr>
                <w:sz w:val="24"/>
                <w:szCs w:val="24"/>
              </w:rPr>
            </w:pPr>
            <w:r w:rsidRPr="000B308F">
              <w:rPr>
                <w:color w:val="000000"/>
                <w:sz w:val="24"/>
                <w:szCs w:val="24"/>
              </w:rPr>
              <w:t>14</w:t>
            </w:r>
            <w:r w:rsidR="00264153">
              <w:rPr>
                <w:color w:val="000000"/>
                <w:sz w:val="24"/>
                <w:szCs w:val="24"/>
              </w:rPr>
              <w:t>2</w:t>
            </w:r>
          </w:p>
        </w:tc>
      </w:tr>
      <w:tr w:rsidR="00634C62" w:rsidRPr="006977F9" w14:paraId="0A0E8E97" w14:textId="77777777" w:rsidTr="0097144F">
        <w:trPr>
          <w:trHeight w:val="930"/>
        </w:trPr>
        <w:tc>
          <w:tcPr>
            <w:tcW w:w="2421" w:type="dxa"/>
          </w:tcPr>
          <w:p w14:paraId="5BC24C5B" w14:textId="77777777" w:rsidR="00634C62" w:rsidRPr="000B308F" w:rsidRDefault="00634C62" w:rsidP="00BC00FA">
            <w:pPr>
              <w:pStyle w:val="Text2quote"/>
              <w:ind w:left="0"/>
              <w:rPr>
                <w:sz w:val="24"/>
                <w:szCs w:val="24"/>
              </w:rPr>
            </w:pPr>
            <w:r w:rsidRPr="000B308F">
              <w:rPr>
                <w:sz w:val="24"/>
                <w:szCs w:val="24"/>
              </w:rPr>
              <w:t>Adjudication Panel for Wales [APW]</w:t>
            </w:r>
          </w:p>
        </w:tc>
        <w:tc>
          <w:tcPr>
            <w:tcW w:w="1295" w:type="dxa"/>
          </w:tcPr>
          <w:p w14:paraId="26DF0A50" w14:textId="77777777" w:rsidR="00634C62" w:rsidRPr="000B308F" w:rsidRDefault="00634C62" w:rsidP="00BC00FA">
            <w:pPr>
              <w:pStyle w:val="Text2quote"/>
              <w:ind w:left="0"/>
              <w:rPr>
                <w:sz w:val="24"/>
                <w:szCs w:val="24"/>
              </w:rPr>
            </w:pPr>
          </w:p>
          <w:p w14:paraId="559B76BA" w14:textId="77777777" w:rsidR="00634C62" w:rsidRPr="000B308F" w:rsidRDefault="00634C62" w:rsidP="00BC00FA">
            <w:pPr>
              <w:pStyle w:val="Text2quote"/>
              <w:ind w:left="0"/>
              <w:rPr>
                <w:sz w:val="24"/>
                <w:szCs w:val="24"/>
              </w:rPr>
            </w:pPr>
            <w:r w:rsidRPr="000B308F">
              <w:rPr>
                <w:sz w:val="24"/>
                <w:szCs w:val="24"/>
              </w:rPr>
              <w:t>2</w:t>
            </w:r>
          </w:p>
        </w:tc>
        <w:tc>
          <w:tcPr>
            <w:tcW w:w="1177" w:type="dxa"/>
          </w:tcPr>
          <w:p w14:paraId="4826AB57" w14:textId="77777777" w:rsidR="00634C62" w:rsidRPr="000B308F" w:rsidRDefault="00634C62" w:rsidP="00BC00FA">
            <w:pPr>
              <w:pStyle w:val="Text2quote"/>
              <w:ind w:left="0"/>
              <w:rPr>
                <w:sz w:val="24"/>
                <w:szCs w:val="24"/>
              </w:rPr>
            </w:pPr>
          </w:p>
          <w:p w14:paraId="0E88066B" w14:textId="77777777" w:rsidR="00634C62" w:rsidRPr="000B308F" w:rsidRDefault="00634C62" w:rsidP="00BC00FA">
            <w:pPr>
              <w:pStyle w:val="Text2quote"/>
              <w:ind w:left="0"/>
              <w:rPr>
                <w:sz w:val="24"/>
                <w:szCs w:val="24"/>
              </w:rPr>
            </w:pPr>
            <w:r w:rsidRPr="000B308F">
              <w:rPr>
                <w:sz w:val="24"/>
                <w:szCs w:val="24"/>
              </w:rPr>
              <w:t>2</w:t>
            </w:r>
          </w:p>
        </w:tc>
        <w:tc>
          <w:tcPr>
            <w:tcW w:w="1177" w:type="dxa"/>
            <w:tcBorders>
              <w:top w:val="single" w:sz="4" w:space="0" w:color="auto"/>
              <w:right w:val="single" w:sz="4" w:space="0" w:color="auto"/>
            </w:tcBorders>
          </w:tcPr>
          <w:p w14:paraId="083B5929" w14:textId="77777777" w:rsidR="00634C62" w:rsidRDefault="00634C62" w:rsidP="00BC00FA">
            <w:pPr>
              <w:pStyle w:val="Text2quote"/>
              <w:ind w:left="0"/>
              <w:rPr>
                <w:sz w:val="24"/>
                <w:szCs w:val="24"/>
              </w:rPr>
            </w:pPr>
          </w:p>
          <w:p w14:paraId="277BBED8" w14:textId="67D82EB8" w:rsidR="00634C62" w:rsidRPr="000B308F" w:rsidRDefault="00634C62" w:rsidP="00BC00FA">
            <w:pPr>
              <w:pStyle w:val="Text2quote"/>
              <w:ind w:left="0"/>
              <w:rPr>
                <w:sz w:val="24"/>
                <w:szCs w:val="24"/>
              </w:rPr>
            </w:pPr>
            <w:r>
              <w:rPr>
                <w:sz w:val="24"/>
                <w:szCs w:val="24"/>
              </w:rPr>
              <w:t>4</w:t>
            </w:r>
          </w:p>
        </w:tc>
        <w:tc>
          <w:tcPr>
            <w:tcW w:w="1177" w:type="dxa"/>
            <w:tcBorders>
              <w:top w:val="single" w:sz="4" w:space="0" w:color="auto"/>
              <w:left w:val="single" w:sz="4" w:space="0" w:color="auto"/>
              <w:bottom w:val="single" w:sz="4" w:space="0" w:color="auto"/>
              <w:right w:val="single" w:sz="4" w:space="0" w:color="auto"/>
            </w:tcBorders>
            <w:vAlign w:val="bottom"/>
          </w:tcPr>
          <w:p w14:paraId="136AFA3C" w14:textId="3CB7F43F" w:rsidR="00634C62" w:rsidRPr="000B308F" w:rsidRDefault="00264153" w:rsidP="00BC00FA">
            <w:pPr>
              <w:pStyle w:val="Text2quote"/>
              <w:ind w:left="0"/>
              <w:rPr>
                <w:sz w:val="24"/>
                <w:szCs w:val="24"/>
              </w:rPr>
            </w:pPr>
            <w:r>
              <w:rPr>
                <w:sz w:val="24"/>
                <w:szCs w:val="24"/>
              </w:rPr>
              <w:t>3</w:t>
            </w:r>
          </w:p>
        </w:tc>
      </w:tr>
      <w:tr w:rsidR="00634C62" w:rsidRPr="006977F9" w14:paraId="0A4D99A5" w14:textId="77777777" w:rsidTr="0097144F">
        <w:trPr>
          <w:trHeight w:val="444"/>
        </w:trPr>
        <w:tc>
          <w:tcPr>
            <w:tcW w:w="2421" w:type="dxa"/>
          </w:tcPr>
          <w:p w14:paraId="6B80F292" w14:textId="77777777" w:rsidR="00634C62" w:rsidRPr="000B308F" w:rsidRDefault="00634C62" w:rsidP="00BC00FA">
            <w:pPr>
              <w:pStyle w:val="Text2quote"/>
              <w:ind w:left="0"/>
              <w:rPr>
                <w:sz w:val="24"/>
                <w:szCs w:val="24"/>
              </w:rPr>
            </w:pPr>
            <w:r w:rsidRPr="000B308F">
              <w:rPr>
                <w:sz w:val="24"/>
                <w:szCs w:val="24"/>
              </w:rPr>
              <w:t>Welsh Language Tribunal [WLT]</w:t>
            </w:r>
          </w:p>
        </w:tc>
        <w:tc>
          <w:tcPr>
            <w:tcW w:w="1295" w:type="dxa"/>
          </w:tcPr>
          <w:p w14:paraId="319DAD91" w14:textId="77777777" w:rsidR="00634C62" w:rsidRPr="000B308F" w:rsidRDefault="00634C62" w:rsidP="000B308F">
            <w:pPr>
              <w:pStyle w:val="Text2quote"/>
              <w:ind w:left="0"/>
              <w:rPr>
                <w:sz w:val="24"/>
                <w:szCs w:val="24"/>
              </w:rPr>
            </w:pPr>
          </w:p>
          <w:p w14:paraId="09185BB0" w14:textId="77777777" w:rsidR="00634C62" w:rsidRPr="000B308F" w:rsidRDefault="00634C62" w:rsidP="000B308F">
            <w:pPr>
              <w:pStyle w:val="Text2quote"/>
              <w:ind w:left="0"/>
              <w:rPr>
                <w:sz w:val="24"/>
                <w:szCs w:val="24"/>
              </w:rPr>
            </w:pPr>
            <w:r w:rsidRPr="000B308F">
              <w:rPr>
                <w:sz w:val="24"/>
                <w:szCs w:val="24"/>
              </w:rPr>
              <w:t>3</w:t>
            </w:r>
          </w:p>
        </w:tc>
        <w:tc>
          <w:tcPr>
            <w:tcW w:w="1177" w:type="dxa"/>
          </w:tcPr>
          <w:p w14:paraId="06821169" w14:textId="77777777" w:rsidR="00634C62" w:rsidRPr="000B308F" w:rsidRDefault="00634C62" w:rsidP="000B308F">
            <w:pPr>
              <w:pStyle w:val="Text2quote"/>
              <w:ind w:left="0"/>
              <w:rPr>
                <w:sz w:val="24"/>
                <w:szCs w:val="24"/>
              </w:rPr>
            </w:pPr>
          </w:p>
          <w:p w14:paraId="46E28B89" w14:textId="77777777" w:rsidR="00634C62" w:rsidRPr="000B308F" w:rsidRDefault="00634C62" w:rsidP="000B308F">
            <w:pPr>
              <w:pStyle w:val="Text2quote"/>
              <w:ind w:left="0"/>
              <w:rPr>
                <w:sz w:val="24"/>
                <w:szCs w:val="24"/>
              </w:rPr>
            </w:pPr>
            <w:r w:rsidRPr="000B308F">
              <w:rPr>
                <w:sz w:val="24"/>
                <w:szCs w:val="24"/>
              </w:rPr>
              <w:t>16</w:t>
            </w:r>
          </w:p>
        </w:tc>
        <w:tc>
          <w:tcPr>
            <w:tcW w:w="1177" w:type="dxa"/>
            <w:tcBorders>
              <w:right w:val="single" w:sz="4" w:space="0" w:color="auto"/>
            </w:tcBorders>
          </w:tcPr>
          <w:p w14:paraId="6DE3C17E" w14:textId="77777777" w:rsidR="00634C62" w:rsidRDefault="00634C62" w:rsidP="000B308F">
            <w:pPr>
              <w:pStyle w:val="Text2quote"/>
              <w:ind w:left="0"/>
              <w:rPr>
                <w:sz w:val="24"/>
                <w:szCs w:val="24"/>
              </w:rPr>
            </w:pPr>
          </w:p>
          <w:p w14:paraId="491D67CE" w14:textId="1CC496D9" w:rsidR="00634C62" w:rsidRPr="000B308F" w:rsidRDefault="00634C62" w:rsidP="000B308F">
            <w:pPr>
              <w:pStyle w:val="Text2quote"/>
              <w:ind w:left="0"/>
              <w:rPr>
                <w:sz w:val="24"/>
                <w:szCs w:val="24"/>
              </w:rPr>
            </w:pPr>
            <w:r>
              <w:rPr>
                <w:sz w:val="24"/>
                <w:szCs w:val="24"/>
              </w:rPr>
              <w:t>13</w:t>
            </w:r>
          </w:p>
        </w:tc>
        <w:tc>
          <w:tcPr>
            <w:tcW w:w="1177" w:type="dxa"/>
            <w:tcBorders>
              <w:top w:val="single" w:sz="4" w:space="0" w:color="auto"/>
              <w:left w:val="single" w:sz="4" w:space="0" w:color="auto"/>
              <w:bottom w:val="single" w:sz="4" w:space="0" w:color="auto"/>
              <w:right w:val="single" w:sz="4" w:space="0" w:color="auto"/>
            </w:tcBorders>
            <w:vAlign w:val="bottom"/>
          </w:tcPr>
          <w:p w14:paraId="7C0FEEEB" w14:textId="7821E415" w:rsidR="00634C62" w:rsidRPr="000B308F" w:rsidRDefault="00264153" w:rsidP="000B308F">
            <w:pPr>
              <w:pStyle w:val="Text2quote"/>
              <w:ind w:left="0"/>
              <w:rPr>
                <w:sz w:val="24"/>
                <w:szCs w:val="24"/>
              </w:rPr>
            </w:pPr>
            <w:r>
              <w:rPr>
                <w:sz w:val="24"/>
                <w:szCs w:val="24"/>
              </w:rPr>
              <w:t>11</w:t>
            </w:r>
          </w:p>
        </w:tc>
      </w:tr>
      <w:tr w:rsidR="00264153" w:rsidRPr="006977F9" w14:paraId="584DC1FB" w14:textId="77777777" w:rsidTr="0097144F">
        <w:trPr>
          <w:trHeight w:val="444"/>
        </w:trPr>
        <w:tc>
          <w:tcPr>
            <w:tcW w:w="2421" w:type="dxa"/>
          </w:tcPr>
          <w:p w14:paraId="4C137DD6" w14:textId="70E500D2" w:rsidR="00264153" w:rsidRPr="000B308F" w:rsidRDefault="00264153" w:rsidP="00BC00FA">
            <w:pPr>
              <w:pStyle w:val="Text2quote"/>
              <w:ind w:left="0"/>
              <w:rPr>
                <w:sz w:val="24"/>
                <w:szCs w:val="24"/>
              </w:rPr>
            </w:pPr>
            <w:r>
              <w:rPr>
                <w:sz w:val="24"/>
                <w:szCs w:val="24"/>
              </w:rPr>
              <w:t>School and nursery inspectors registration [RSIAT and RNEIAT]</w:t>
            </w:r>
          </w:p>
        </w:tc>
        <w:tc>
          <w:tcPr>
            <w:tcW w:w="1295" w:type="dxa"/>
          </w:tcPr>
          <w:p w14:paraId="22CF4868" w14:textId="1C5D7F50" w:rsidR="00264153" w:rsidRPr="000B308F" w:rsidRDefault="00264153" w:rsidP="000B308F">
            <w:pPr>
              <w:pStyle w:val="Text2quote"/>
              <w:ind w:left="0"/>
              <w:rPr>
                <w:sz w:val="24"/>
                <w:szCs w:val="24"/>
              </w:rPr>
            </w:pPr>
            <w:r>
              <w:rPr>
                <w:sz w:val="24"/>
                <w:szCs w:val="24"/>
              </w:rPr>
              <w:t>0</w:t>
            </w:r>
          </w:p>
        </w:tc>
        <w:tc>
          <w:tcPr>
            <w:tcW w:w="1177" w:type="dxa"/>
          </w:tcPr>
          <w:p w14:paraId="05198EDC" w14:textId="49E9DFD4" w:rsidR="00264153" w:rsidRPr="000B308F" w:rsidRDefault="00264153" w:rsidP="000B308F">
            <w:pPr>
              <w:pStyle w:val="Text2quote"/>
              <w:ind w:left="0"/>
              <w:rPr>
                <w:sz w:val="24"/>
                <w:szCs w:val="24"/>
              </w:rPr>
            </w:pPr>
            <w:r>
              <w:rPr>
                <w:sz w:val="24"/>
                <w:szCs w:val="24"/>
              </w:rPr>
              <w:t>0</w:t>
            </w:r>
          </w:p>
        </w:tc>
        <w:tc>
          <w:tcPr>
            <w:tcW w:w="1177" w:type="dxa"/>
            <w:tcBorders>
              <w:right w:val="single" w:sz="4" w:space="0" w:color="auto"/>
            </w:tcBorders>
          </w:tcPr>
          <w:p w14:paraId="408A2F91" w14:textId="2C3C9199" w:rsidR="00264153" w:rsidRDefault="00264153" w:rsidP="000B308F">
            <w:pPr>
              <w:pStyle w:val="Text2quote"/>
              <w:ind w:left="0"/>
              <w:rPr>
                <w:sz w:val="24"/>
                <w:szCs w:val="24"/>
              </w:rPr>
            </w:pPr>
            <w:r>
              <w:rPr>
                <w:sz w:val="24"/>
                <w:szCs w:val="24"/>
              </w:rPr>
              <w:t>0</w:t>
            </w:r>
          </w:p>
        </w:tc>
        <w:tc>
          <w:tcPr>
            <w:tcW w:w="1177" w:type="dxa"/>
            <w:tcBorders>
              <w:top w:val="single" w:sz="4" w:space="0" w:color="auto"/>
              <w:left w:val="single" w:sz="4" w:space="0" w:color="auto"/>
              <w:bottom w:val="single" w:sz="4" w:space="0" w:color="auto"/>
              <w:right w:val="single" w:sz="4" w:space="0" w:color="auto"/>
            </w:tcBorders>
          </w:tcPr>
          <w:p w14:paraId="104F9682" w14:textId="1FA1EA60" w:rsidR="00264153" w:rsidRDefault="00264153" w:rsidP="00B705AC">
            <w:pPr>
              <w:pStyle w:val="Text2quote"/>
              <w:ind w:left="0"/>
              <w:rPr>
                <w:sz w:val="24"/>
                <w:szCs w:val="24"/>
              </w:rPr>
            </w:pPr>
            <w:r>
              <w:rPr>
                <w:sz w:val="24"/>
                <w:szCs w:val="24"/>
              </w:rPr>
              <w:t>0</w:t>
            </w:r>
          </w:p>
        </w:tc>
      </w:tr>
    </w:tbl>
    <w:p w14:paraId="5E0C148C" w14:textId="77777777" w:rsidR="005349BB" w:rsidRPr="000B308F" w:rsidRDefault="005349BB" w:rsidP="005349BB">
      <w:pPr>
        <w:pStyle w:val="Text3"/>
        <w:tabs>
          <w:tab w:val="clear" w:pos="1247"/>
        </w:tabs>
        <w:ind w:firstLine="0"/>
        <w:rPr>
          <w:sz w:val="24"/>
          <w:szCs w:val="24"/>
        </w:rPr>
      </w:pPr>
    </w:p>
    <w:p w14:paraId="107D3540" w14:textId="4737F99B" w:rsidR="005349BB" w:rsidRDefault="005349BB" w:rsidP="005349BB">
      <w:pPr>
        <w:pStyle w:val="NormalWeb"/>
        <w:numPr>
          <w:ilvl w:val="0"/>
          <w:numId w:val="28"/>
        </w:numPr>
        <w:spacing w:after="120" w:afterAutospacing="0"/>
        <w:ind w:left="357" w:hanging="357"/>
        <w:rPr>
          <w:rFonts w:ascii="Arial" w:hAnsi="Arial" w:cs="Arial"/>
        </w:rPr>
      </w:pPr>
      <w:r w:rsidRPr="000B308F">
        <w:rPr>
          <w:rFonts w:ascii="Arial" w:hAnsi="Arial" w:cs="Arial"/>
        </w:rPr>
        <w:t xml:space="preserve">The number of cases heard by these tribunals varies markedly. At one extreme is the MHRTW which averaged just </w:t>
      </w:r>
      <w:r w:rsidR="00FB30BE">
        <w:rPr>
          <w:rFonts w:ascii="Arial" w:hAnsi="Arial" w:cs="Arial"/>
        </w:rPr>
        <w:t>under</w:t>
      </w:r>
      <w:r w:rsidRPr="000B308F">
        <w:rPr>
          <w:rFonts w:ascii="Arial" w:hAnsi="Arial" w:cs="Arial"/>
        </w:rPr>
        <w:t xml:space="preserve"> 2,00</w:t>
      </w:r>
      <w:r w:rsidR="00035740">
        <w:rPr>
          <w:rFonts w:ascii="Arial" w:hAnsi="Arial" w:cs="Arial"/>
        </w:rPr>
        <w:t>0</w:t>
      </w:r>
      <w:r w:rsidRPr="000B308F">
        <w:rPr>
          <w:rFonts w:ascii="Arial" w:hAnsi="Arial" w:cs="Arial"/>
        </w:rPr>
        <w:t xml:space="preserve"> cases for the </w:t>
      </w:r>
      <w:r w:rsidR="00F9634D" w:rsidRPr="000B308F">
        <w:rPr>
          <w:rFonts w:ascii="Arial" w:hAnsi="Arial" w:cs="Arial"/>
        </w:rPr>
        <w:t>three-year</w:t>
      </w:r>
      <w:r w:rsidRPr="000B308F">
        <w:rPr>
          <w:rFonts w:ascii="Arial" w:hAnsi="Arial" w:cs="Arial"/>
        </w:rPr>
        <w:t xml:space="preserve"> period</w:t>
      </w:r>
      <w:r w:rsidR="00035740">
        <w:rPr>
          <w:rFonts w:ascii="Arial" w:hAnsi="Arial" w:cs="Arial"/>
        </w:rPr>
        <w:t>.</w:t>
      </w:r>
      <w:r w:rsidRPr="000B308F">
        <w:rPr>
          <w:rFonts w:ascii="Arial" w:hAnsi="Arial" w:cs="Arial"/>
        </w:rPr>
        <w:t xml:space="preserve"> </w:t>
      </w:r>
      <w:r w:rsidR="00035740">
        <w:rPr>
          <w:rFonts w:ascii="Arial" w:hAnsi="Arial" w:cs="Arial"/>
        </w:rPr>
        <w:t>A</w:t>
      </w:r>
      <w:r w:rsidRPr="000B308F">
        <w:rPr>
          <w:rFonts w:ascii="Arial" w:hAnsi="Arial" w:cs="Arial"/>
        </w:rPr>
        <w:t xml:space="preserve">t the other are the </w:t>
      </w:r>
      <w:r w:rsidR="00035740">
        <w:rPr>
          <w:rFonts w:ascii="Arial" w:hAnsi="Arial" w:cs="Arial"/>
        </w:rPr>
        <w:t>t</w:t>
      </w:r>
      <w:r w:rsidRPr="000B308F">
        <w:rPr>
          <w:rFonts w:ascii="Arial" w:hAnsi="Arial" w:cs="Arial"/>
        </w:rPr>
        <w:t>ribunals constituted under section 27 of the Education Act 2005</w:t>
      </w:r>
      <w:r w:rsidR="007C5030">
        <w:rPr>
          <w:rFonts w:ascii="Arial" w:hAnsi="Arial" w:cs="Arial"/>
        </w:rPr>
        <w:t>, which heard no cases</w:t>
      </w:r>
      <w:r w:rsidR="00035740">
        <w:rPr>
          <w:rFonts w:ascii="Arial" w:hAnsi="Arial" w:cs="Arial"/>
        </w:rPr>
        <w:t>.</w:t>
      </w:r>
    </w:p>
    <w:p w14:paraId="7715FB8B" w14:textId="54FA4E25" w:rsidR="00C14B4E" w:rsidRPr="000B308F" w:rsidRDefault="00C14B4E" w:rsidP="005349BB">
      <w:pPr>
        <w:pStyle w:val="NormalWeb"/>
        <w:numPr>
          <w:ilvl w:val="0"/>
          <w:numId w:val="28"/>
        </w:numPr>
        <w:spacing w:after="120" w:afterAutospacing="0"/>
        <w:ind w:left="357" w:hanging="357"/>
        <w:rPr>
          <w:rFonts w:ascii="Arial" w:hAnsi="Arial" w:cs="Arial"/>
        </w:rPr>
      </w:pPr>
      <w:r>
        <w:rPr>
          <w:rFonts w:ascii="Arial" w:hAnsi="Arial" w:cs="Arial"/>
        </w:rPr>
        <w:t xml:space="preserve">The volume of cases has for some tribunals been affected by the Covid-19 pandemic. The </w:t>
      </w:r>
      <w:r w:rsidR="00E44B2A">
        <w:rPr>
          <w:rFonts w:ascii="Arial" w:hAnsi="Arial" w:cs="Arial"/>
        </w:rPr>
        <w:t xml:space="preserve">2020-2021 annual report of the </w:t>
      </w:r>
      <w:r>
        <w:rPr>
          <w:rFonts w:ascii="Arial" w:hAnsi="Arial" w:cs="Arial"/>
        </w:rPr>
        <w:t xml:space="preserve">President of Welsh Tribunals notes that the number of cases heard by </w:t>
      </w:r>
      <w:r w:rsidR="003D2197">
        <w:rPr>
          <w:rFonts w:ascii="Arial" w:hAnsi="Arial" w:cs="Arial"/>
        </w:rPr>
        <w:t xml:space="preserve">the </w:t>
      </w:r>
      <w:r>
        <w:rPr>
          <w:rFonts w:ascii="Arial" w:hAnsi="Arial" w:cs="Arial"/>
        </w:rPr>
        <w:t>ALTW fell last year, and states that while “it is not possible to provide an unequivocal explanation for this decrease in work load</w:t>
      </w:r>
      <w:r w:rsidR="00E44B2A">
        <w:rPr>
          <w:rFonts w:ascii="Arial" w:hAnsi="Arial" w:cs="Arial"/>
        </w:rPr>
        <w:t xml:space="preserve"> </w:t>
      </w:r>
      <w:r>
        <w:rPr>
          <w:rFonts w:ascii="Arial" w:hAnsi="Arial" w:cs="Arial"/>
        </w:rPr>
        <w:t xml:space="preserve">… it is reasonable to infer that the pandemic has been a major factor”. In relation to the SENTW/ETW, the President notes that while cases decreased in 2020-2021, the number of cases dealt with was similar to that in 2017-2018, and 2018-2019. </w:t>
      </w:r>
      <w:r w:rsidR="00431B38">
        <w:rPr>
          <w:rFonts w:ascii="Arial" w:hAnsi="Arial" w:cs="Arial"/>
        </w:rPr>
        <w:t>Nonetheless</w:t>
      </w:r>
      <w:r>
        <w:rPr>
          <w:rFonts w:ascii="Arial" w:hAnsi="Arial" w:cs="Arial"/>
        </w:rPr>
        <w:t xml:space="preserve">, the </w:t>
      </w:r>
      <w:r w:rsidR="00431B38">
        <w:rPr>
          <w:rFonts w:ascii="Arial" w:hAnsi="Arial" w:cs="Arial"/>
        </w:rPr>
        <w:t>President of Welsh Tribunals</w:t>
      </w:r>
      <w:r>
        <w:rPr>
          <w:rFonts w:ascii="Arial" w:hAnsi="Arial" w:cs="Arial"/>
        </w:rPr>
        <w:t xml:space="preserve"> has asked the </w:t>
      </w:r>
      <w:r w:rsidR="00431B38">
        <w:rPr>
          <w:rFonts w:ascii="Arial" w:hAnsi="Arial" w:cs="Arial"/>
        </w:rPr>
        <w:t>President</w:t>
      </w:r>
      <w:r>
        <w:rPr>
          <w:rFonts w:ascii="Arial" w:hAnsi="Arial" w:cs="Arial"/>
        </w:rPr>
        <w:t xml:space="preserve"> of SENTW/ETW and head of the WTU to investigate. The MHRTW also saw a reduction in the number of cases it received in 2020-2021. Most of these relate to a fall in the number of applications made by or in relation to patients in the community. The President of Welsh Tribunals comments that “there is likely to be a direct link between the reduced numbers of ‘community cases’ and the pandemic”.</w:t>
      </w:r>
      <w:r>
        <w:rPr>
          <w:rStyle w:val="FootnoteReference"/>
          <w:rFonts w:ascii="Arial" w:hAnsi="Arial"/>
        </w:rPr>
        <w:footnoteReference w:id="10"/>
      </w:r>
      <w:r>
        <w:rPr>
          <w:rFonts w:ascii="Arial" w:hAnsi="Arial" w:cs="Arial"/>
        </w:rPr>
        <w:t xml:space="preserve"> </w:t>
      </w:r>
    </w:p>
    <w:p w14:paraId="2EA1B0C3" w14:textId="77777777" w:rsidR="005349BB" w:rsidRPr="000B308F" w:rsidRDefault="005349BB" w:rsidP="000B308F">
      <w:pPr>
        <w:pStyle w:val="Text2"/>
        <w:tabs>
          <w:tab w:val="clear" w:pos="624"/>
        </w:tabs>
        <w:ind w:left="0" w:firstLine="357"/>
        <w:rPr>
          <w:sz w:val="24"/>
          <w:szCs w:val="24"/>
          <w:u w:val="single"/>
        </w:rPr>
      </w:pPr>
      <w:r w:rsidRPr="000B308F">
        <w:rPr>
          <w:sz w:val="24"/>
          <w:szCs w:val="24"/>
          <w:u w:val="single"/>
        </w:rPr>
        <w:t>Welsh Tribunals Unit</w:t>
      </w:r>
    </w:p>
    <w:p w14:paraId="0C06EC5B" w14:textId="45882CEF" w:rsidR="005349BB" w:rsidRPr="00323A42" w:rsidRDefault="005349BB" w:rsidP="000B308F">
      <w:pPr>
        <w:pStyle w:val="NormalWeb"/>
        <w:numPr>
          <w:ilvl w:val="0"/>
          <w:numId w:val="28"/>
        </w:numPr>
        <w:spacing w:after="120" w:afterAutospacing="0"/>
        <w:ind w:left="357" w:hanging="357"/>
      </w:pPr>
      <w:r w:rsidRPr="000B308F">
        <w:rPr>
          <w:rFonts w:ascii="Arial" w:hAnsi="Arial" w:cs="Arial"/>
        </w:rPr>
        <w:t xml:space="preserve">The Welsh </w:t>
      </w:r>
      <w:r w:rsidR="00035740">
        <w:rPr>
          <w:rFonts w:ascii="Arial" w:hAnsi="Arial" w:cs="Arial"/>
        </w:rPr>
        <w:t>t</w:t>
      </w:r>
      <w:r w:rsidRPr="000B308F">
        <w:rPr>
          <w:rFonts w:ascii="Arial" w:hAnsi="Arial" w:cs="Arial"/>
        </w:rPr>
        <w:t>ribunal system is overseen by the President of Welsh Tribunals</w:t>
      </w:r>
      <w:r w:rsidR="00035740">
        <w:rPr>
          <w:rFonts w:ascii="Arial" w:hAnsi="Arial" w:cs="Arial"/>
        </w:rPr>
        <w:t>,</w:t>
      </w:r>
      <w:r w:rsidRPr="000B308F">
        <w:rPr>
          <w:rFonts w:ascii="Arial" w:hAnsi="Arial" w:cs="Arial"/>
        </w:rPr>
        <w:t xml:space="preserve"> </w:t>
      </w:r>
      <w:r w:rsidR="00FB30BE">
        <w:rPr>
          <w:rFonts w:ascii="Arial" w:hAnsi="Arial" w:cs="Arial"/>
        </w:rPr>
        <w:t xml:space="preserve">an office </w:t>
      </w:r>
      <w:r w:rsidRPr="000B308F">
        <w:rPr>
          <w:rFonts w:ascii="Arial" w:hAnsi="Arial" w:cs="Arial"/>
        </w:rPr>
        <w:t>created by section 60 of the Wale</w:t>
      </w:r>
      <w:r w:rsidR="00035740">
        <w:rPr>
          <w:rFonts w:ascii="Arial" w:hAnsi="Arial" w:cs="Arial"/>
        </w:rPr>
        <w:t>s</w:t>
      </w:r>
      <w:r w:rsidRPr="000B308F">
        <w:rPr>
          <w:rFonts w:ascii="Arial" w:hAnsi="Arial" w:cs="Arial"/>
        </w:rPr>
        <w:t xml:space="preserve"> Act 2017. The president has a supervisory role overseeing all the Welsh tribunals</w:t>
      </w:r>
      <w:r w:rsidR="00035740">
        <w:rPr>
          <w:rFonts w:ascii="Arial" w:hAnsi="Arial" w:cs="Arial"/>
        </w:rPr>
        <w:t xml:space="preserve"> (as defined by section 59(1) of the Act)</w:t>
      </w:r>
      <w:r w:rsidRPr="000B308F">
        <w:rPr>
          <w:rFonts w:ascii="Arial" w:hAnsi="Arial" w:cs="Arial"/>
        </w:rPr>
        <w:t xml:space="preserve">. </w:t>
      </w:r>
      <w:r w:rsidR="00035740">
        <w:rPr>
          <w:rFonts w:ascii="Arial" w:hAnsi="Arial" w:cs="Arial"/>
        </w:rPr>
        <w:t>These</w:t>
      </w:r>
      <w:r>
        <w:rPr>
          <w:rFonts w:ascii="Arial" w:hAnsi="Arial" w:cs="Arial"/>
        </w:rPr>
        <w:t xml:space="preserve"> </w:t>
      </w:r>
      <w:r w:rsidRPr="000B308F">
        <w:rPr>
          <w:rFonts w:ascii="Arial" w:hAnsi="Arial" w:cs="Arial"/>
        </w:rPr>
        <w:t>tribunals are administered and funded by the Welsh government</w:t>
      </w:r>
      <w:r w:rsidR="00035740">
        <w:rPr>
          <w:rFonts w:ascii="Arial" w:hAnsi="Arial" w:cs="Arial"/>
        </w:rPr>
        <w:t>,</w:t>
      </w:r>
      <w:r w:rsidRPr="000B308F">
        <w:rPr>
          <w:rFonts w:ascii="Arial" w:hAnsi="Arial" w:cs="Arial"/>
        </w:rPr>
        <w:t xml:space="preserve"> which provides administrative support through the </w:t>
      </w:r>
      <w:r w:rsidR="00CF6C6D">
        <w:rPr>
          <w:rFonts w:ascii="Arial" w:hAnsi="Arial" w:cs="Arial"/>
        </w:rPr>
        <w:t>WTU.</w:t>
      </w:r>
    </w:p>
    <w:p w14:paraId="00A6056D" w14:textId="2E0A7DEA" w:rsidR="005349BB" w:rsidRPr="00323A42" w:rsidRDefault="005349BB" w:rsidP="000B308F">
      <w:pPr>
        <w:pStyle w:val="NormalWeb"/>
        <w:numPr>
          <w:ilvl w:val="0"/>
          <w:numId w:val="28"/>
        </w:numPr>
        <w:spacing w:after="120" w:afterAutospacing="0"/>
        <w:ind w:left="357" w:hanging="357"/>
      </w:pPr>
      <w:r w:rsidRPr="000B308F">
        <w:rPr>
          <w:rFonts w:ascii="Arial" w:hAnsi="Arial" w:cs="Arial"/>
        </w:rPr>
        <w:t xml:space="preserve">As at June 2020 there were 205 members of the </w:t>
      </w:r>
      <w:r w:rsidR="00431B38">
        <w:rPr>
          <w:rFonts w:ascii="Arial" w:hAnsi="Arial" w:cs="Arial"/>
        </w:rPr>
        <w:t xml:space="preserve">Welsh </w:t>
      </w:r>
      <w:r w:rsidR="00035740">
        <w:rPr>
          <w:rFonts w:ascii="Arial" w:hAnsi="Arial" w:cs="Arial"/>
        </w:rPr>
        <w:t>tribunals,</w:t>
      </w:r>
      <w:r w:rsidRPr="000B308F">
        <w:rPr>
          <w:rFonts w:ascii="Arial" w:hAnsi="Arial" w:cs="Arial"/>
        </w:rPr>
        <w:t xml:space="preserve"> ranging from 111 members of the MHRTW through to 6 members o</w:t>
      </w:r>
      <w:r w:rsidR="007F2CB7">
        <w:rPr>
          <w:rFonts w:ascii="Arial" w:hAnsi="Arial" w:cs="Arial"/>
        </w:rPr>
        <w:t>f</w:t>
      </w:r>
      <w:r w:rsidRPr="000B308F">
        <w:rPr>
          <w:rFonts w:ascii="Arial" w:hAnsi="Arial" w:cs="Arial"/>
        </w:rPr>
        <w:t xml:space="preserve"> the WLT. See table </w:t>
      </w:r>
      <w:r w:rsidR="005D0FBB">
        <w:rPr>
          <w:rFonts w:ascii="Arial" w:hAnsi="Arial" w:cs="Arial"/>
        </w:rPr>
        <w:t>2</w:t>
      </w:r>
      <w:r w:rsidRPr="000B308F">
        <w:rPr>
          <w:rFonts w:ascii="Arial" w:hAnsi="Arial" w:cs="Arial"/>
        </w:rPr>
        <w:t xml:space="preserve"> below</w:t>
      </w:r>
      <w:r w:rsidR="00C614E1">
        <w:rPr>
          <w:rFonts w:ascii="Arial" w:hAnsi="Arial" w:cs="Arial"/>
        </w:rPr>
        <w:t>.</w:t>
      </w:r>
    </w:p>
    <w:p w14:paraId="7C2ADA12" w14:textId="77777777" w:rsidR="005349BB" w:rsidRPr="000B308F" w:rsidRDefault="005349BB" w:rsidP="000B308F">
      <w:pPr>
        <w:pStyle w:val="Text2"/>
        <w:tabs>
          <w:tab w:val="clear" w:pos="624"/>
        </w:tabs>
        <w:ind w:left="0" w:firstLine="720"/>
        <w:rPr>
          <w:sz w:val="24"/>
          <w:szCs w:val="24"/>
        </w:rPr>
      </w:pPr>
      <w:r w:rsidRPr="000B308F">
        <w:rPr>
          <w:sz w:val="24"/>
          <w:szCs w:val="24"/>
        </w:rPr>
        <w:t xml:space="preserve">Table </w:t>
      </w:r>
      <w:r w:rsidR="005D0FBB">
        <w:rPr>
          <w:sz w:val="24"/>
          <w:szCs w:val="24"/>
        </w:rPr>
        <w:t>2</w:t>
      </w:r>
      <w:r w:rsidRPr="000B308F">
        <w:rPr>
          <w:sz w:val="24"/>
          <w:szCs w:val="24"/>
        </w:rPr>
        <w:t>: Welsh Tribunal membership</w:t>
      </w:r>
    </w:p>
    <w:tbl>
      <w:tblPr>
        <w:tblStyle w:val="TableGrid"/>
        <w:tblW w:w="0" w:type="auto"/>
        <w:tblInd w:w="734" w:type="dxa"/>
        <w:tblLook w:val="04A0" w:firstRow="1" w:lastRow="0" w:firstColumn="1" w:lastColumn="0" w:noHBand="0" w:noVBand="1"/>
      </w:tblPr>
      <w:tblGrid>
        <w:gridCol w:w="4508"/>
        <w:gridCol w:w="2550"/>
      </w:tblGrid>
      <w:tr w:rsidR="005349BB" w:rsidRPr="006977F9" w14:paraId="51000BD2" w14:textId="77777777" w:rsidTr="000B308F">
        <w:trPr>
          <w:trHeight w:val="757"/>
        </w:trPr>
        <w:tc>
          <w:tcPr>
            <w:tcW w:w="4508" w:type="dxa"/>
            <w:shd w:val="clear" w:color="auto" w:fill="D9D9D9" w:themeFill="background1" w:themeFillShade="D9"/>
          </w:tcPr>
          <w:p w14:paraId="12FCDC94" w14:textId="77777777" w:rsidR="005D0FBB" w:rsidRDefault="005D0FBB" w:rsidP="00BC00FA">
            <w:pPr>
              <w:pStyle w:val="Text2"/>
              <w:tabs>
                <w:tab w:val="clear" w:pos="624"/>
              </w:tabs>
              <w:ind w:left="0" w:firstLine="0"/>
              <w:rPr>
                <w:sz w:val="24"/>
                <w:szCs w:val="24"/>
              </w:rPr>
            </w:pPr>
          </w:p>
          <w:p w14:paraId="09A6D856" w14:textId="77777777" w:rsidR="005349BB" w:rsidRPr="000B308F" w:rsidRDefault="005349BB" w:rsidP="000B308F">
            <w:pPr>
              <w:pStyle w:val="Text2"/>
              <w:tabs>
                <w:tab w:val="clear" w:pos="624"/>
              </w:tabs>
              <w:spacing w:after="0"/>
              <w:ind w:left="0" w:firstLine="0"/>
              <w:rPr>
                <w:sz w:val="24"/>
                <w:szCs w:val="24"/>
              </w:rPr>
            </w:pPr>
            <w:r w:rsidRPr="000B308F">
              <w:rPr>
                <w:sz w:val="24"/>
                <w:szCs w:val="24"/>
              </w:rPr>
              <w:t>Tribunal</w:t>
            </w:r>
          </w:p>
        </w:tc>
        <w:tc>
          <w:tcPr>
            <w:tcW w:w="2550" w:type="dxa"/>
            <w:shd w:val="clear" w:color="auto" w:fill="D9D9D9" w:themeFill="background1" w:themeFillShade="D9"/>
          </w:tcPr>
          <w:p w14:paraId="60C6020E" w14:textId="77777777" w:rsidR="005D0FBB" w:rsidRDefault="005D0FBB" w:rsidP="00BC00FA">
            <w:pPr>
              <w:pStyle w:val="Text2"/>
              <w:tabs>
                <w:tab w:val="clear" w:pos="624"/>
              </w:tabs>
              <w:ind w:left="0" w:firstLine="0"/>
              <w:rPr>
                <w:sz w:val="24"/>
                <w:szCs w:val="24"/>
              </w:rPr>
            </w:pPr>
          </w:p>
          <w:p w14:paraId="2749B060" w14:textId="77777777" w:rsidR="005349BB" w:rsidRPr="000B308F" w:rsidRDefault="005349BB" w:rsidP="000B308F">
            <w:pPr>
              <w:pStyle w:val="Text2"/>
              <w:tabs>
                <w:tab w:val="clear" w:pos="624"/>
              </w:tabs>
              <w:spacing w:after="0"/>
              <w:ind w:left="0" w:firstLine="0"/>
              <w:rPr>
                <w:sz w:val="24"/>
                <w:szCs w:val="24"/>
              </w:rPr>
            </w:pPr>
            <w:r w:rsidRPr="000B308F">
              <w:rPr>
                <w:sz w:val="24"/>
                <w:szCs w:val="24"/>
              </w:rPr>
              <w:t>Number of members</w:t>
            </w:r>
          </w:p>
        </w:tc>
      </w:tr>
      <w:tr w:rsidR="005349BB" w:rsidRPr="006977F9" w14:paraId="55148A29" w14:textId="77777777" w:rsidTr="000B308F">
        <w:tc>
          <w:tcPr>
            <w:tcW w:w="4508" w:type="dxa"/>
          </w:tcPr>
          <w:p w14:paraId="09D252EE" w14:textId="77777777" w:rsidR="005349BB" w:rsidRPr="000B308F" w:rsidRDefault="005349BB" w:rsidP="00BC00FA">
            <w:pPr>
              <w:pStyle w:val="Text2"/>
              <w:tabs>
                <w:tab w:val="clear" w:pos="624"/>
              </w:tabs>
              <w:ind w:left="0" w:firstLine="0"/>
              <w:rPr>
                <w:sz w:val="24"/>
                <w:szCs w:val="24"/>
              </w:rPr>
            </w:pPr>
            <w:r w:rsidRPr="000B308F">
              <w:rPr>
                <w:sz w:val="24"/>
                <w:szCs w:val="24"/>
              </w:rPr>
              <w:t>Agricultural Land Tribunal for Wales [ALTW]</w:t>
            </w:r>
          </w:p>
        </w:tc>
        <w:tc>
          <w:tcPr>
            <w:tcW w:w="2550" w:type="dxa"/>
          </w:tcPr>
          <w:p w14:paraId="64C42D8E" w14:textId="77777777" w:rsidR="005349BB" w:rsidRPr="000B308F" w:rsidRDefault="005349BB" w:rsidP="00BC00FA">
            <w:pPr>
              <w:pStyle w:val="Text2"/>
              <w:tabs>
                <w:tab w:val="clear" w:pos="624"/>
              </w:tabs>
              <w:ind w:left="0" w:firstLine="0"/>
              <w:jc w:val="center"/>
              <w:rPr>
                <w:sz w:val="24"/>
                <w:szCs w:val="24"/>
              </w:rPr>
            </w:pPr>
            <w:r w:rsidRPr="000B308F">
              <w:rPr>
                <w:sz w:val="24"/>
                <w:szCs w:val="24"/>
              </w:rPr>
              <w:t>19</w:t>
            </w:r>
          </w:p>
        </w:tc>
      </w:tr>
      <w:tr w:rsidR="005349BB" w:rsidRPr="006977F9" w14:paraId="37A99250" w14:textId="77777777" w:rsidTr="000B308F">
        <w:tc>
          <w:tcPr>
            <w:tcW w:w="4508" w:type="dxa"/>
          </w:tcPr>
          <w:p w14:paraId="10051E1D" w14:textId="77777777" w:rsidR="005349BB" w:rsidRPr="000B308F" w:rsidRDefault="005349BB" w:rsidP="00BC00FA">
            <w:pPr>
              <w:pStyle w:val="Text2"/>
              <w:tabs>
                <w:tab w:val="clear" w:pos="624"/>
              </w:tabs>
              <w:ind w:left="0" w:firstLine="0"/>
              <w:rPr>
                <w:sz w:val="24"/>
                <w:szCs w:val="24"/>
              </w:rPr>
            </w:pPr>
            <w:r w:rsidRPr="000B308F">
              <w:rPr>
                <w:sz w:val="24"/>
                <w:szCs w:val="24"/>
              </w:rPr>
              <w:t>Mental Health Review Tribunal for Wales [MHRTW]</w:t>
            </w:r>
          </w:p>
        </w:tc>
        <w:tc>
          <w:tcPr>
            <w:tcW w:w="2550" w:type="dxa"/>
          </w:tcPr>
          <w:p w14:paraId="2F61027F" w14:textId="77777777" w:rsidR="005349BB" w:rsidRPr="000B308F" w:rsidRDefault="005349BB" w:rsidP="00BC00FA">
            <w:pPr>
              <w:pStyle w:val="Text2"/>
              <w:tabs>
                <w:tab w:val="clear" w:pos="624"/>
              </w:tabs>
              <w:ind w:left="0" w:firstLine="0"/>
              <w:jc w:val="center"/>
              <w:rPr>
                <w:sz w:val="24"/>
                <w:szCs w:val="24"/>
              </w:rPr>
            </w:pPr>
            <w:r w:rsidRPr="000B308F">
              <w:rPr>
                <w:sz w:val="24"/>
                <w:szCs w:val="24"/>
              </w:rPr>
              <w:t>111</w:t>
            </w:r>
          </w:p>
        </w:tc>
      </w:tr>
      <w:tr w:rsidR="005349BB" w:rsidRPr="006977F9" w14:paraId="64C1B546" w14:textId="77777777" w:rsidTr="000B308F">
        <w:tc>
          <w:tcPr>
            <w:tcW w:w="4508" w:type="dxa"/>
          </w:tcPr>
          <w:p w14:paraId="7F5EC82C" w14:textId="77777777" w:rsidR="005349BB" w:rsidRPr="000B308F" w:rsidRDefault="00035740" w:rsidP="00BC00FA">
            <w:pPr>
              <w:pStyle w:val="Text2"/>
              <w:tabs>
                <w:tab w:val="clear" w:pos="624"/>
              </w:tabs>
              <w:ind w:left="0" w:firstLine="0"/>
              <w:rPr>
                <w:sz w:val="24"/>
                <w:szCs w:val="24"/>
              </w:rPr>
            </w:pPr>
            <w:r>
              <w:rPr>
                <w:sz w:val="24"/>
                <w:szCs w:val="24"/>
              </w:rPr>
              <w:t>Residential Property Tribunal for Wales</w:t>
            </w:r>
            <w:r w:rsidR="005349BB" w:rsidRPr="000B308F">
              <w:rPr>
                <w:rStyle w:val="FootnoteReference"/>
                <w:rFonts w:cs="Arial"/>
                <w:sz w:val="24"/>
                <w:szCs w:val="24"/>
              </w:rPr>
              <w:footnoteReference w:id="11"/>
            </w:r>
            <w:r w:rsidR="005349BB" w:rsidRPr="000B308F">
              <w:rPr>
                <w:sz w:val="24"/>
                <w:szCs w:val="24"/>
              </w:rPr>
              <w:t xml:space="preserve"> [RPT</w:t>
            </w:r>
            <w:r>
              <w:rPr>
                <w:sz w:val="24"/>
                <w:szCs w:val="24"/>
              </w:rPr>
              <w:t>W</w:t>
            </w:r>
            <w:r w:rsidR="005349BB" w:rsidRPr="000B308F">
              <w:rPr>
                <w:sz w:val="24"/>
                <w:szCs w:val="24"/>
              </w:rPr>
              <w:t>]</w:t>
            </w:r>
          </w:p>
        </w:tc>
        <w:tc>
          <w:tcPr>
            <w:tcW w:w="2550" w:type="dxa"/>
          </w:tcPr>
          <w:p w14:paraId="0BF22D54" w14:textId="77777777" w:rsidR="005349BB" w:rsidRPr="000B308F" w:rsidRDefault="005349BB" w:rsidP="00BC00FA">
            <w:pPr>
              <w:pStyle w:val="Text2"/>
              <w:tabs>
                <w:tab w:val="clear" w:pos="624"/>
              </w:tabs>
              <w:ind w:left="0" w:firstLine="0"/>
              <w:jc w:val="center"/>
              <w:rPr>
                <w:sz w:val="24"/>
                <w:szCs w:val="24"/>
              </w:rPr>
            </w:pPr>
            <w:r w:rsidRPr="000B308F">
              <w:rPr>
                <w:sz w:val="24"/>
                <w:szCs w:val="24"/>
              </w:rPr>
              <w:t>37</w:t>
            </w:r>
          </w:p>
        </w:tc>
      </w:tr>
      <w:tr w:rsidR="005349BB" w:rsidRPr="006977F9" w14:paraId="4B0EB7F8" w14:textId="77777777" w:rsidTr="000B308F">
        <w:tc>
          <w:tcPr>
            <w:tcW w:w="4508" w:type="dxa"/>
          </w:tcPr>
          <w:p w14:paraId="76541C63" w14:textId="521D9427" w:rsidR="005349BB" w:rsidRPr="000B308F" w:rsidRDefault="00503A3E" w:rsidP="00BC00FA">
            <w:pPr>
              <w:pStyle w:val="Text2"/>
              <w:tabs>
                <w:tab w:val="clear" w:pos="624"/>
              </w:tabs>
              <w:ind w:left="0" w:firstLine="0"/>
              <w:rPr>
                <w:sz w:val="24"/>
                <w:szCs w:val="24"/>
              </w:rPr>
            </w:pPr>
            <w:r>
              <w:rPr>
                <w:sz w:val="24"/>
                <w:szCs w:val="24"/>
              </w:rPr>
              <w:t xml:space="preserve">Education </w:t>
            </w:r>
            <w:r w:rsidR="005349BB" w:rsidRPr="000B308F">
              <w:rPr>
                <w:sz w:val="24"/>
                <w:szCs w:val="24"/>
              </w:rPr>
              <w:t>Tribunal for Wales</w:t>
            </w:r>
            <w:r w:rsidR="005349BB" w:rsidRPr="000B308F">
              <w:rPr>
                <w:rStyle w:val="FootnoteReference"/>
                <w:rFonts w:cs="Arial"/>
                <w:sz w:val="24"/>
                <w:szCs w:val="24"/>
              </w:rPr>
              <w:footnoteReference w:id="12"/>
            </w:r>
            <w:r w:rsidR="005349BB" w:rsidRPr="000B308F">
              <w:rPr>
                <w:sz w:val="24"/>
                <w:szCs w:val="24"/>
              </w:rPr>
              <w:t xml:space="preserve"> [</w:t>
            </w:r>
            <w:r w:rsidR="000B7779">
              <w:rPr>
                <w:sz w:val="24"/>
                <w:szCs w:val="24"/>
              </w:rPr>
              <w:t>ETW</w:t>
            </w:r>
            <w:r w:rsidR="005349BB" w:rsidRPr="000B308F">
              <w:rPr>
                <w:sz w:val="24"/>
                <w:szCs w:val="24"/>
              </w:rPr>
              <w:t>]</w:t>
            </w:r>
          </w:p>
        </w:tc>
        <w:tc>
          <w:tcPr>
            <w:tcW w:w="2550" w:type="dxa"/>
          </w:tcPr>
          <w:p w14:paraId="79624C1C" w14:textId="77777777" w:rsidR="005349BB" w:rsidRPr="000B308F" w:rsidRDefault="005349BB" w:rsidP="00BC00FA">
            <w:pPr>
              <w:pStyle w:val="Text2"/>
              <w:tabs>
                <w:tab w:val="clear" w:pos="624"/>
              </w:tabs>
              <w:ind w:left="0" w:firstLine="0"/>
              <w:jc w:val="center"/>
              <w:rPr>
                <w:sz w:val="24"/>
                <w:szCs w:val="24"/>
              </w:rPr>
            </w:pPr>
            <w:r w:rsidRPr="000B308F">
              <w:rPr>
                <w:sz w:val="24"/>
                <w:szCs w:val="24"/>
              </w:rPr>
              <w:t>22</w:t>
            </w:r>
          </w:p>
        </w:tc>
      </w:tr>
      <w:tr w:rsidR="005349BB" w:rsidRPr="006977F9" w14:paraId="1DB096DA" w14:textId="77777777" w:rsidTr="000B308F">
        <w:tc>
          <w:tcPr>
            <w:tcW w:w="4508" w:type="dxa"/>
          </w:tcPr>
          <w:p w14:paraId="0EB49138" w14:textId="77777777" w:rsidR="005349BB" w:rsidRPr="000B308F" w:rsidRDefault="005349BB" w:rsidP="00BC00FA">
            <w:pPr>
              <w:pStyle w:val="Text2"/>
              <w:tabs>
                <w:tab w:val="clear" w:pos="624"/>
              </w:tabs>
              <w:ind w:left="0" w:firstLine="0"/>
              <w:rPr>
                <w:sz w:val="24"/>
                <w:szCs w:val="24"/>
              </w:rPr>
            </w:pPr>
            <w:r w:rsidRPr="000B308F">
              <w:rPr>
                <w:sz w:val="24"/>
                <w:szCs w:val="24"/>
              </w:rPr>
              <w:t>Adjudication Panel for Wales [APW]</w:t>
            </w:r>
          </w:p>
        </w:tc>
        <w:tc>
          <w:tcPr>
            <w:tcW w:w="2550" w:type="dxa"/>
          </w:tcPr>
          <w:p w14:paraId="4033C8F1" w14:textId="77777777" w:rsidR="005349BB" w:rsidRPr="000B308F" w:rsidRDefault="005349BB" w:rsidP="00BC00FA">
            <w:pPr>
              <w:pStyle w:val="Text2"/>
              <w:tabs>
                <w:tab w:val="clear" w:pos="624"/>
              </w:tabs>
              <w:ind w:left="0" w:firstLine="0"/>
              <w:jc w:val="center"/>
              <w:rPr>
                <w:sz w:val="24"/>
                <w:szCs w:val="24"/>
              </w:rPr>
            </w:pPr>
            <w:r w:rsidRPr="000B308F">
              <w:rPr>
                <w:sz w:val="24"/>
                <w:szCs w:val="24"/>
              </w:rPr>
              <w:t>10</w:t>
            </w:r>
          </w:p>
        </w:tc>
      </w:tr>
      <w:tr w:rsidR="005349BB" w:rsidRPr="006977F9" w14:paraId="7E96C16F" w14:textId="77777777" w:rsidTr="000B308F">
        <w:tc>
          <w:tcPr>
            <w:tcW w:w="4508" w:type="dxa"/>
          </w:tcPr>
          <w:p w14:paraId="1A97DFBF" w14:textId="77777777" w:rsidR="005349BB" w:rsidRPr="000B308F" w:rsidRDefault="005349BB" w:rsidP="00BC00FA">
            <w:pPr>
              <w:pStyle w:val="Text2"/>
              <w:tabs>
                <w:tab w:val="clear" w:pos="624"/>
              </w:tabs>
              <w:ind w:left="0" w:firstLine="0"/>
              <w:rPr>
                <w:sz w:val="24"/>
                <w:szCs w:val="24"/>
              </w:rPr>
            </w:pPr>
            <w:r w:rsidRPr="000B308F">
              <w:rPr>
                <w:sz w:val="24"/>
                <w:szCs w:val="24"/>
              </w:rPr>
              <w:t>Welsh Language Tribunal [WLT]</w:t>
            </w:r>
          </w:p>
        </w:tc>
        <w:tc>
          <w:tcPr>
            <w:tcW w:w="2550" w:type="dxa"/>
          </w:tcPr>
          <w:p w14:paraId="4F6F5EDA" w14:textId="77777777" w:rsidR="005349BB" w:rsidRPr="000B308F" w:rsidRDefault="005349BB" w:rsidP="00BC00FA">
            <w:pPr>
              <w:pStyle w:val="Text2"/>
              <w:tabs>
                <w:tab w:val="clear" w:pos="624"/>
              </w:tabs>
              <w:ind w:left="0" w:firstLine="0"/>
              <w:jc w:val="center"/>
              <w:rPr>
                <w:sz w:val="24"/>
                <w:szCs w:val="24"/>
              </w:rPr>
            </w:pPr>
            <w:r w:rsidRPr="000B308F">
              <w:rPr>
                <w:sz w:val="24"/>
                <w:szCs w:val="24"/>
              </w:rPr>
              <w:t>6</w:t>
            </w:r>
          </w:p>
        </w:tc>
      </w:tr>
      <w:tr w:rsidR="005349BB" w:rsidRPr="006977F9" w14:paraId="434D2759" w14:textId="77777777" w:rsidTr="000B308F">
        <w:tc>
          <w:tcPr>
            <w:tcW w:w="4508" w:type="dxa"/>
          </w:tcPr>
          <w:p w14:paraId="7887C345" w14:textId="77777777" w:rsidR="005349BB" w:rsidRPr="000B308F" w:rsidRDefault="005349BB" w:rsidP="00BC00FA">
            <w:pPr>
              <w:pStyle w:val="Text2"/>
              <w:tabs>
                <w:tab w:val="clear" w:pos="624"/>
              </w:tabs>
              <w:ind w:left="0" w:firstLine="0"/>
              <w:rPr>
                <w:sz w:val="24"/>
                <w:szCs w:val="24"/>
              </w:rPr>
            </w:pPr>
            <w:r w:rsidRPr="000B308F">
              <w:rPr>
                <w:sz w:val="24"/>
                <w:szCs w:val="24"/>
              </w:rPr>
              <w:t>TOTAL</w:t>
            </w:r>
          </w:p>
        </w:tc>
        <w:tc>
          <w:tcPr>
            <w:tcW w:w="2550" w:type="dxa"/>
          </w:tcPr>
          <w:p w14:paraId="0B5B2954" w14:textId="77777777" w:rsidR="005349BB" w:rsidRPr="000B308F" w:rsidRDefault="005349BB" w:rsidP="00BC00FA">
            <w:pPr>
              <w:pStyle w:val="Text2"/>
              <w:tabs>
                <w:tab w:val="clear" w:pos="624"/>
              </w:tabs>
              <w:ind w:left="0" w:firstLine="0"/>
              <w:jc w:val="center"/>
              <w:rPr>
                <w:sz w:val="24"/>
                <w:szCs w:val="24"/>
              </w:rPr>
            </w:pPr>
            <w:r w:rsidRPr="000B308F">
              <w:rPr>
                <w:sz w:val="24"/>
                <w:szCs w:val="24"/>
              </w:rPr>
              <w:t>205</w:t>
            </w:r>
          </w:p>
        </w:tc>
      </w:tr>
    </w:tbl>
    <w:p w14:paraId="01EB6524" w14:textId="77777777" w:rsidR="005349BB" w:rsidRPr="000B308F" w:rsidRDefault="005349BB" w:rsidP="000B308F">
      <w:pPr>
        <w:pStyle w:val="Text2"/>
        <w:tabs>
          <w:tab w:val="clear" w:pos="624"/>
        </w:tabs>
        <w:ind w:left="0" w:firstLine="720"/>
        <w:rPr>
          <w:sz w:val="16"/>
          <w:szCs w:val="16"/>
        </w:rPr>
      </w:pPr>
      <w:r w:rsidRPr="000B308F">
        <w:rPr>
          <w:sz w:val="16"/>
          <w:szCs w:val="16"/>
        </w:rPr>
        <w:t>Source: Various Tribunal annual reports</w:t>
      </w:r>
    </w:p>
    <w:p w14:paraId="3E93C775" w14:textId="20ADA1CC" w:rsidR="005349BB" w:rsidRPr="00323A42" w:rsidRDefault="00E541B4" w:rsidP="000B308F">
      <w:pPr>
        <w:pStyle w:val="NormalWeb"/>
        <w:numPr>
          <w:ilvl w:val="0"/>
          <w:numId w:val="28"/>
        </w:numPr>
        <w:spacing w:after="120" w:afterAutospacing="0"/>
        <w:ind w:left="357" w:hanging="357"/>
      </w:pPr>
      <w:r>
        <w:rPr>
          <w:rFonts w:ascii="Arial" w:hAnsi="Arial" w:cs="Arial"/>
        </w:rPr>
        <w:t>Judicial leads</w:t>
      </w:r>
      <w:r w:rsidR="00FB30BE">
        <w:rPr>
          <w:rFonts w:ascii="Arial" w:hAnsi="Arial" w:cs="Arial"/>
        </w:rPr>
        <w:t xml:space="preserve"> (the chairman or president of a tribunal)</w:t>
      </w:r>
      <w:r>
        <w:rPr>
          <w:rFonts w:ascii="Arial" w:hAnsi="Arial" w:cs="Arial"/>
        </w:rPr>
        <w:t xml:space="preserve">, as well as </w:t>
      </w:r>
      <w:r w:rsidR="005349BB" w:rsidRPr="000B308F">
        <w:rPr>
          <w:rFonts w:ascii="Arial" w:hAnsi="Arial" w:cs="Arial"/>
        </w:rPr>
        <w:t>legal and non-legal members</w:t>
      </w:r>
      <w:r>
        <w:rPr>
          <w:rFonts w:ascii="Arial" w:hAnsi="Arial" w:cs="Arial"/>
        </w:rPr>
        <w:t xml:space="preserve">, </w:t>
      </w:r>
      <w:r w:rsidR="005349BB" w:rsidRPr="000B308F">
        <w:rPr>
          <w:rFonts w:ascii="Arial" w:hAnsi="Arial" w:cs="Arial"/>
        </w:rPr>
        <w:t xml:space="preserve">are paid positions. </w:t>
      </w:r>
      <w:r>
        <w:rPr>
          <w:rFonts w:ascii="Arial" w:hAnsi="Arial" w:cs="Arial"/>
        </w:rPr>
        <w:t>T</w:t>
      </w:r>
      <w:r w:rsidR="005D0FBB">
        <w:rPr>
          <w:rFonts w:ascii="Arial" w:hAnsi="Arial" w:cs="Arial"/>
        </w:rPr>
        <w:t>able 3 below</w:t>
      </w:r>
      <w:r>
        <w:rPr>
          <w:rFonts w:ascii="Arial" w:hAnsi="Arial" w:cs="Arial"/>
        </w:rPr>
        <w:t xml:space="preserve"> gives the </w:t>
      </w:r>
      <w:r w:rsidR="002B6512">
        <w:rPr>
          <w:rFonts w:ascii="Arial" w:hAnsi="Arial" w:cs="Arial"/>
        </w:rPr>
        <w:t xml:space="preserve">daily </w:t>
      </w:r>
      <w:r>
        <w:rPr>
          <w:rFonts w:ascii="Arial" w:hAnsi="Arial" w:cs="Arial"/>
        </w:rPr>
        <w:t xml:space="preserve">fee structures for </w:t>
      </w:r>
      <w:r w:rsidR="00072EFD">
        <w:rPr>
          <w:rFonts w:ascii="Arial" w:hAnsi="Arial" w:cs="Arial"/>
        </w:rPr>
        <w:t xml:space="preserve">the President of Welsh Tribunals, </w:t>
      </w:r>
      <w:r>
        <w:rPr>
          <w:rFonts w:ascii="Arial" w:hAnsi="Arial" w:cs="Arial"/>
        </w:rPr>
        <w:t xml:space="preserve">legal </w:t>
      </w:r>
      <w:r w:rsidR="00371391">
        <w:rPr>
          <w:rFonts w:ascii="Arial" w:hAnsi="Arial" w:cs="Arial"/>
        </w:rPr>
        <w:t xml:space="preserve">and lay </w:t>
      </w:r>
      <w:r>
        <w:rPr>
          <w:rFonts w:ascii="Arial" w:hAnsi="Arial" w:cs="Arial"/>
        </w:rPr>
        <w:t>members and judicial leads.</w:t>
      </w:r>
    </w:p>
    <w:tbl>
      <w:tblPr>
        <w:tblW w:w="16330" w:type="dxa"/>
        <w:tblLook w:val="04A0" w:firstRow="1" w:lastRow="0" w:firstColumn="1" w:lastColumn="0" w:noHBand="0" w:noVBand="1"/>
      </w:tblPr>
      <w:tblGrid>
        <w:gridCol w:w="10418"/>
        <w:gridCol w:w="2126"/>
        <w:gridCol w:w="2126"/>
        <w:gridCol w:w="2268"/>
      </w:tblGrid>
      <w:tr w:rsidR="007F2CB7" w:rsidRPr="006977F9" w14:paraId="6A0AB27B" w14:textId="77777777" w:rsidTr="00F9634D">
        <w:trPr>
          <w:trHeight w:val="300"/>
        </w:trPr>
        <w:tc>
          <w:tcPr>
            <w:tcW w:w="14062" w:type="dxa"/>
            <w:gridSpan w:val="3"/>
            <w:tcBorders>
              <w:top w:val="nil"/>
              <w:left w:val="nil"/>
              <w:bottom w:val="nil"/>
              <w:right w:val="nil"/>
            </w:tcBorders>
            <w:shd w:val="clear" w:color="auto" w:fill="auto"/>
            <w:noWrap/>
            <w:vAlign w:val="bottom"/>
            <w:hideMark/>
          </w:tcPr>
          <w:p w14:paraId="4657A1E2" w14:textId="027A7A5E" w:rsidR="007F2CB7" w:rsidRDefault="007F2CB7" w:rsidP="00BC00FA">
            <w:pPr>
              <w:rPr>
                <w:rFonts w:cs="Arial"/>
                <w:color w:val="000000"/>
                <w:lang w:eastAsia="en-GB"/>
              </w:rPr>
            </w:pPr>
            <w:r>
              <w:rPr>
                <w:rFonts w:cs="Arial"/>
                <w:color w:val="000000"/>
                <w:lang w:eastAsia="en-GB"/>
              </w:rPr>
              <w:t xml:space="preserve">           </w:t>
            </w:r>
          </w:p>
          <w:p w14:paraId="2AEA256F" w14:textId="5006A9BB" w:rsidR="007F2CB7" w:rsidRPr="000B308F" w:rsidRDefault="007F2CB7" w:rsidP="00BC00FA">
            <w:pPr>
              <w:rPr>
                <w:rFonts w:cs="Arial"/>
                <w:color w:val="000000"/>
                <w:lang w:eastAsia="en-GB"/>
              </w:rPr>
            </w:pPr>
            <w:r>
              <w:rPr>
                <w:rFonts w:cs="Arial"/>
                <w:color w:val="000000"/>
                <w:lang w:eastAsia="en-GB"/>
              </w:rPr>
              <w:t xml:space="preserve">        </w:t>
            </w:r>
            <w:r w:rsidRPr="000B308F">
              <w:rPr>
                <w:rFonts w:cs="Arial"/>
                <w:color w:val="000000"/>
                <w:lang w:eastAsia="en-GB"/>
              </w:rPr>
              <w:t>Table</w:t>
            </w:r>
            <w:r>
              <w:rPr>
                <w:rFonts w:cs="Arial"/>
                <w:color w:val="000000"/>
                <w:lang w:eastAsia="en-GB"/>
              </w:rPr>
              <w:t xml:space="preserve"> 3</w:t>
            </w:r>
            <w:r w:rsidRPr="000B308F">
              <w:rPr>
                <w:rFonts w:cs="Arial"/>
                <w:color w:val="000000"/>
                <w:lang w:eastAsia="en-GB"/>
              </w:rPr>
              <w:t>: Welsh Tribunals Fee Structure, 01/04/201</w:t>
            </w:r>
            <w:r w:rsidR="008C0FD5">
              <w:rPr>
                <w:rFonts w:cs="Arial"/>
                <w:color w:val="000000"/>
                <w:lang w:eastAsia="en-GB"/>
              </w:rPr>
              <w:t>9</w:t>
            </w:r>
            <w:r w:rsidRPr="000B308F">
              <w:rPr>
                <w:rFonts w:cs="Arial"/>
                <w:color w:val="000000"/>
                <w:lang w:eastAsia="en-GB"/>
              </w:rPr>
              <w:t xml:space="preserve"> - 01/</w:t>
            </w:r>
            <w:r w:rsidR="00CC72D0">
              <w:rPr>
                <w:rFonts w:cs="Arial"/>
                <w:color w:val="000000"/>
                <w:lang w:eastAsia="en-GB"/>
              </w:rPr>
              <w:t>04</w:t>
            </w:r>
            <w:r w:rsidRPr="000B308F">
              <w:rPr>
                <w:rFonts w:cs="Arial"/>
                <w:color w:val="000000"/>
                <w:lang w:eastAsia="en-GB"/>
              </w:rPr>
              <w:t>/20</w:t>
            </w:r>
            <w:r w:rsidR="00CC72D0">
              <w:rPr>
                <w:rFonts w:cs="Arial"/>
                <w:color w:val="000000"/>
                <w:lang w:eastAsia="en-GB"/>
              </w:rPr>
              <w:t>2</w:t>
            </w:r>
            <w:r w:rsidR="008C0FD5">
              <w:rPr>
                <w:rFonts w:cs="Arial"/>
                <w:color w:val="000000"/>
                <w:lang w:eastAsia="en-GB"/>
              </w:rPr>
              <w:t>1</w:t>
            </w:r>
            <w:r>
              <w:rPr>
                <w:rStyle w:val="FootnoteReference"/>
                <w:color w:val="000000"/>
                <w:lang w:eastAsia="en-GB"/>
              </w:rPr>
              <w:footnoteReference w:id="13"/>
            </w:r>
          </w:p>
        </w:tc>
        <w:tc>
          <w:tcPr>
            <w:tcW w:w="2268" w:type="dxa"/>
            <w:tcBorders>
              <w:top w:val="nil"/>
              <w:left w:val="nil"/>
              <w:bottom w:val="nil"/>
              <w:right w:val="nil"/>
            </w:tcBorders>
            <w:shd w:val="clear" w:color="auto" w:fill="auto"/>
            <w:noWrap/>
            <w:vAlign w:val="bottom"/>
            <w:hideMark/>
          </w:tcPr>
          <w:p w14:paraId="7AAD6BBA" w14:textId="77777777" w:rsidR="007F2CB7" w:rsidRPr="000B308F" w:rsidRDefault="007F2CB7" w:rsidP="00BC00FA">
            <w:pPr>
              <w:rPr>
                <w:rFonts w:cs="Arial"/>
                <w:color w:val="000000"/>
                <w:lang w:eastAsia="en-GB"/>
              </w:rPr>
            </w:pPr>
          </w:p>
        </w:tc>
      </w:tr>
      <w:tr w:rsidR="007F2CB7" w:rsidRPr="007C0D7C" w14:paraId="20EAC3F0" w14:textId="77777777" w:rsidTr="00F9634D">
        <w:trPr>
          <w:trHeight w:val="315"/>
        </w:trPr>
        <w:tc>
          <w:tcPr>
            <w:tcW w:w="9810" w:type="dxa"/>
            <w:tcBorders>
              <w:top w:val="nil"/>
              <w:left w:val="nil"/>
              <w:bottom w:val="nil"/>
              <w:right w:val="nil"/>
            </w:tcBorders>
            <w:shd w:val="clear" w:color="auto" w:fill="auto"/>
            <w:noWrap/>
            <w:vAlign w:val="bottom"/>
            <w:hideMark/>
          </w:tcPr>
          <w:p w14:paraId="376E18E3" w14:textId="77777777" w:rsidR="007F2CB7" w:rsidRPr="007C0D7C" w:rsidRDefault="007F2CB7" w:rsidP="00BC00FA">
            <w:pPr>
              <w:rPr>
                <w:rFonts w:cs="Arial"/>
                <w:lang w:eastAsia="en-GB"/>
              </w:rPr>
            </w:pPr>
          </w:p>
          <w:tbl>
            <w:tblPr>
              <w:tblW w:w="10182" w:type="dxa"/>
              <w:tblLook w:val="04A0" w:firstRow="1" w:lastRow="0" w:firstColumn="1" w:lastColumn="0" w:noHBand="0" w:noVBand="1"/>
            </w:tblPr>
            <w:tblGrid>
              <w:gridCol w:w="4587"/>
              <w:gridCol w:w="1440"/>
              <w:gridCol w:w="1562"/>
              <w:gridCol w:w="1440"/>
              <w:gridCol w:w="1153"/>
            </w:tblGrid>
            <w:tr w:rsidR="008C0FD5" w:rsidRPr="007C0D7C" w14:paraId="5BBAE66A" w14:textId="77777777" w:rsidTr="0097144F">
              <w:trPr>
                <w:trHeight w:val="300"/>
              </w:trPr>
              <w:tc>
                <w:tcPr>
                  <w:tcW w:w="4587"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15BD8E24" w14:textId="77777777" w:rsidR="008C0FD5" w:rsidRPr="00F9634D" w:rsidRDefault="008C0FD5" w:rsidP="00CC72D0">
                  <w:pPr>
                    <w:rPr>
                      <w:rFonts w:cs="Arial"/>
                      <w:color w:val="000000"/>
                      <w:sz w:val="22"/>
                      <w:szCs w:val="22"/>
                      <w:lang w:eastAsia="en-GB"/>
                    </w:rPr>
                  </w:pPr>
                  <w:r w:rsidRPr="00F9634D">
                    <w:rPr>
                      <w:rFonts w:cs="Arial"/>
                      <w:color w:val="000000"/>
                      <w:sz w:val="22"/>
                      <w:szCs w:val="22"/>
                      <w:lang w:eastAsia="en-GB"/>
                    </w:rPr>
                    <w:t> </w:t>
                  </w:r>
                </w:p>
              </w:tc>
              <w:tc>
                <w:tcPr>
                  <w:tcW w:w="1440" w:type="dxa"/>
                  <w:tcBorders>
                    <w:top w:val="single" w:sz="8" w:space="0" w:color="auto"/>
                    <w:left w:val="nil"/>
                    <w:bottom w:val="single" w:sz="4" w:space="0" w:color="auto"/>
                    <w:right w:val="single" w:sz="4" w:space="0" w:color="auto"/>
                  </w:tcBorders>
                  <w:shd w:val="clear" w:color="000000" w:fill="D9D9D9"/>
                  <w:noWrap/>
                  <w:vAlign w:val="bottom"/>
                  <w:hideMark/>
                </w:tcPr>
                <w:p w14:paraId="2402AE1B" w14:textId="2AAA3809" w:rsidR="008C0FD5" w:rsidRPr="00F9634D" w:rsidRDefault="008C0FD5" w:rsidP="00CC72D0">
                  <w:pPr>
                    <w:jc w:val="right"/>
                    <w:rPr>
                      <w:rFonts w:cs="Arial"/>
                      <w:color w:val="000000"/>
                      <w:sz w:val="22"/>
                      <w:szCs w:val="22"/>
                      <w:lang w:eastAsia="en-GB"/>
                    </w:rPr>
                  </w:pPr>
                  <w:r w:rsidRPr="00F9634D">
                    <w:rPr>
                      <w:rFonts w:cs="Arial"/>
                      <w:color w:val="000000"/>
                      <w:sz w:val="22"/>
                      <w:szCs w:val="22"/>
                      <w:lang w:eastAsia="en-GB"/>
                    </w:rPr>
                    <w:t>01/04/201</w:t>
                  </w:r>
                  <w:r>
                    <w:rPr>
                      <w:rFonts w:cs="Arial"/>
                      <w:color w:val="000000"/>
                      <w:sz w:val="22"/>
                      <w:szCs w:val="22"/>
                      <w:lang w:eastAsia="en-GB"/>
                    </w:rPr>
                    <w:t>9</w:t>
                  </w:r>
                </w:p>
              </w:tc>
              <w:tc>
                <w:tcPr>
                  <w:tcW w:w="1562" w:type="dxa"/>
                  <w:tcBorders>
                    <w:top w:val="single" w:sz="8" w:space="0" w:color="auto"/>
                    <w:left w:val="nil"/>
                    <w:bottom w:val="single" w:sz="4" w:space="0" w:color="auto"/>
                    <w:right w:val="single" w:sz="4" w:space="0" w:color="auto"/>
                  </w:tcBorders>
                  <w:shd w:val="clear" w:color="000000" w:fill="D9D9D9"/>
                  <w:noWrap/>
                  <w:vAlign w:val="bottom"/>
                  <w:hideMark/>
                </w:tcPr>
                <w:p w14:paraId="15DE1009" w14:textId="5F348796" w:rsidR="008C0FD5" w:rsidRPr="00F9634D" w:rsidRDefault="008C0FD5" w:rsidP="00CC72D0">
                  <w:pPr>
                    <w:jc w:val="right"/>
                    <w:rPr>
                      <w:rFonts w:cs="Arial"/>
                      <w:color w:val="000000"/>
                      <w:sz w:val="22"/>
                      <w:szCs w:val="22"/>
                      <w:lang w:eastAsia="en-GB"/>
                    </w:rPr>
                  </w:pPr>
                  <w:r w:rsidRPr="00F9634D">
                    <w:rPr>
                      <w:rFonts w:cs="Arial"/>
                      <w:color w:val="000000"/>
                      <w:sz w:val="22"/>
                      <w:szCs w:val="22"/>
                      <w:lang w:eastAsia="en-GB"/>
                    </w:rPr>
                    <w:t>01/04/20</w:t>
                  </w:r>
                  <w:r>
                    <w:rPr>
                      <w:rFonts w:cs="Arial"/>
                      <w:color w:val="000000"/>
                      <w:sz w:val="22"/>
                      <w:szCs w:val="22"/>
                      <w:lang w:eastAsia="en-GB"/>
                    </w:rPr>
                    <w:t>20</w:t>
                  </w:r>
                </w:p>
              </w:tc>
              <w:tc>
                <w:tcPr>
                  <w:tcW w:w="1440" w:type="dxa"/>
                  <w:tcBorders>
                    <w:top w:val="single" w:sz="8" w:space="0" w:color="auto"/>
                    <w:left w:val="nil"/>
                    <w:bottom w:val="single" w:sz="4" w:space="0" w:color="auto"/>
                    <w:right w:val="single" w:sz="4" w:space="0" w:color="auto"/>
                  </w:tcBorders>
                  <w:shd w:val="clear" w:color="000000" w:fill="BFBFBF"/>
                  <w:noWrap/>
                  <w:vAlign w:val="bottom"/>
                  <w:hideMark/>
                </w:tcPr>
                <w:p w14:paraId="0319F507" w14:textId="7D4268EB" w:rsidR="008C0FD5" w:rsidRPr="00F9634D" w:rsidRDefault="008C0FD5" w:rsidP="00CC72D0">
                  <w:pPr>
                    <w:jc w:val="right"/>
                    <w:rPr>
                      <w:rFonts w:cs="Arial"/>
                      <w:color w:val="000000"/>
                      <w:sz w:val="22"/>
                      <w:szCs w:val="22"/>
                      <w:lang w:eastAsia="en-GB"/>
                    </w:rPr>
                  </w:pPr>
                  <w:r w:rsidRPr="00F9634D">
                    <w:rPr>
                      <w:rFonts w:cs="Arial"/>
                      <w:color w:val="000000"/>
                      <w:sz w:val="22"/>
                      <w:szCs w:val="22"/>
                      <w:lang w:eastAsia="en-GB"/>
                    </w:rPr>
                    <w:t>01/04/202</w:t>
                  </w:r>
                  <w:r>
                    <w:rPr>
                      <w:rFonts w:cs="Arial"/>
                      <w:color w:val="000000"/>
                      <w:sz w:val="22"/>
                      <w:szCs w:val="22"/>
                      <w:lang w:eastAsia="en-GB"/>
                    </w:rPr>
                    <w:t>1</w:t>
                  </w:r>
                </w:p>
              </w:tc>
              <w:tc>
                <w:tcPr>
                  <w:tcW w:w="1153" w:type="dxa"/>
                  <w:tcBorders>
                    <w:top w:val="single" w:sz="8" w:space="0" w:color="auto"/>
                    <w:left w:val="single" w:sz="8" w:space="0" w:color="auto"/>
                    <w:bottom w:val="single" w:sz="4" w:space="0" w:color="auto"/>
                    <w:right w:val="single" w:sz="8" w:space="0" w:color="auto"/>
                  </w:tcBorders>
                  <w:shd w:val="clear" w:color="000000" w:fill="BFBFBF"/>
                  <w:noWrap/>
                  <w:vAlign w:val="bottom"/>
                  <w:hideMark/>
                </w:tcPr>
                <w:p w14:paraId="15D9B329" w14:textId="77777777" w:rsidR="008C0FD5" w:rsidRPr="00F9634D" w:rsidRDefault="008C0FD5" w:rsidP="00CC72D0">
                  <w:pPr>
                    <w:rPr>
                      <w:rFonts w:cs="Arial"/>
                      <w:color w:val="000000"/>
                      <w:sz w:val="22"/>
                      <w:szCs w:val="22"/>
                      <w:lang w:eastAsia="en-GB"/>
                    </w:rPr>
                  </w:pPr>
                  <w:r w:rsidRPr="00F9634D">
                    <w:rPr>
                      <w:rFonts w:cs="Arial"/>
                      <w:color w:val="000000"/>
                      <w:sz w:val="22"/>
                      <w:szCs w:val="22"/>
                      <w:lang w:eastAsia="en-GB"/>
                    </w:rPr>
                    <w:t>Average</w:t>
                  </w:r>
                </w:p>
              </w:tc>
            </w:tr>
            <w:tr w:rsidR="008C0FD5" w:rsidRPr="007C0D7C" w14:paraId="3B2BD352" w14:textId="77777777" w:rsidTr="0097144F">
              <w:trPr>
                <w:trHeight w:val="638"/>
              </w:trPr>
              <w:tc>
                <w:tcPr>
                  <w:tcW w:w="4587" w:type="dxa"/>
                  <w:tcBorders>
                    <w:top w:val="nil"/>
                    <w:left w:val="single" w:sz="8" w:space="0" w:color="auto"/>
                    <w:bottom w:val="single" w:sz="4" w:space="0" w:color="auto"/>
                    <w:right w:val="single" w:sz="4" w:space="0" w:color="auto"/>
                  </w:tcBorders>
                  <w:shd w:val="clear" w:color="auto" w:fill="auto"/>
                  <w:noWrap/>
                  <w:vAlign w:val="bottom"/>
                  <w:hideMark/>
                </w:tcPr>
                <w:p w14:paraId="2C265C08"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President of Welsh Tribunals</w:t>
                  </w:r>
                </w:p>
              </w:tc>
              <w:tc>
                <w:tcPr>
                  <w:tcW w:w="1440" w:type="dxa"/>
                  <w:tcBorders>
                    <w:top w:val="nil"/>
                    <w:left w:val="nil"/>
                    <w:bottom w:val="single" w:sz="4" w:space="0" w:color="auto"/>
                    <w:right w:val="single" w:sz="4" w:space="0" w:color="auto"/>
                  </w:tcBorders>
                  <w:shd w:val="clear" w:color="auto" w:fill="auto"/>
                  <w:noWrap/>
                  <w:vAlign w:val="bottom"/>
                </w:tcPr>
                <w:p w14:paraId="56A56B7B" w14:textId="77C000FE"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£900</w:t>
                  </w:r>
                </w:p>
              </w:tc>
              <w:tc>
                <w:tcPr>
                  <w:tcW w:w="1562" w:type="dxa"/>
                  <w:tcBorders>
                    <w:top w:val="nil"/>
                    <w:left w:val="nil"/>
                    <w:bottom w:val="single" w:sz="4" w:space="0" w:color="auto"/>
                    <w:right w:val="single" w:sz="4" w:space="0" w:color="auto"/>
                  </w:tcBorders>
                  <w:shd w:val="clear" w:color="auto" w:fill="auto"/>
                  <w:noWrap/>
                  <w:vAlign w:val="bottom"/>
                </w:tcPr>
                <w:p w14:paraId="23193FF4" w14:textId="1BF319C5"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£918</w:t>
                  </w:r>
                </w:p>
              </w:tc>
              <w:tc>
                <w:tcPr>
                  <w:tcW w:w="1440" w:type="dxa"/>
                  <w:tcBorders>
                    <w:top w:val="nil"/>
                    <w:left w:val="nil"/>
                    <w:bottom w:val="single" w:sz="4" w:space="0" w:color="auto"/>
                    <w:right w:val="single" w:sz="4" w:space="0" w:color="auto"/>
                  </w:tcBorders>
                  <w:shd w:val="clear" w:color="auto" w:fill="auto"/>
                  <w:noWrap/>
                  <w:vAlign w:val="bottom"/>
                  <w:hideMark/>
                </w:tcPr>
                <w:p w14:paraId="1AB72732" w14:textId="3E5EEBE8"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£918</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7F675B70" w14:textId="58305A08" w:rsidR="008C0FD5" w:rsidRPr="00F9634D" w:rsidRDefault="008C0FD5" w:rsidP="008C0FD5">
                  <w:pPr>
                    <w:jc w:val="right"/>
                    <w:rPr>
                      <w:rFonts w:cs="Arial"/>
                      <w:b/>
                      <w:bCs/>
                      <w:color w:val="000000"/>
                      <w:lang w:eastAsia="en-GB"/>
                    </w:rPr>
                  </w:pPr>
                  <w:r w:rsidRPr="00F9634D">
                    <w:rPr>
                      <w:rFonts w:cs="Arial"/>
                      <w:b/>
                      <w:bCs/>
                      <w:color w:val="000000"/>
                      <w:lang w:eastAsia="en-GB"/>
                    </w:rPr>
                    <w:t>£9</w:t>
                  </w:r>
                  <w:r>
                    <w:rPr>
                      <w:rFonts w:cs="Arial"/>
                      <w:b/>
                      <w:bCs/>
                      <w:color w:val="000000"/>
                      <w:lang w:eastAsia="en-GB"/>
                    </w:rPr>
                    <w:t>12</w:t>
                  </w:r>
                </w:p>
              </w:tc>
            </w:tr>
            <w:tr w:rsidR="008C0FD5" w:rsidRPr="007C0D7C" w14:paraId="28D319E7" w14:textId="77777777" w:rsidTr="0097144F">
              <w:trPr>
                <w:trHeight w:val="630"/>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1B56BF8B" w14:textId="77777777" w:rsidR="008C0FD5" w:rsidRPr="00F9634D" w:rsidRDefault="008C0FD5" w:rsidP="008C0FD5">
                  <w:pPr>
                    <w:rPr>
                      <w:rFonts w:cs="Arial"/>
                      <w:b/>
                      <w:bCs/>
                      <w:color w:val="000000"/>
                      <w:lang w:eastAsia="en-GB"/>
                    </w:rPr>
                  </w:pPr>
                  <w:r w:rsidRPr="00F9634D">
                    <w:rPr>
                      <w:rFonts w:cs="Arial"/>
                      <w:b/>
                      <w:bCs/>
                      <w:color w:val="000000"/>
                      <w:lang w:eastAsia="en-GB"/>
                    </w:rPr>
                    <w:t>ALTW [Agricultural Land Tribunal for Wales]</w:t>
                  </w:r>
                </w:p>
              </w:tc>
              <w:tc>
                <w:tcPr>
                  <w:tcW w:w="1440" w:type="dxa"/>
                  <w:tcBorders>
                    <w:top w:val="nil"/>
                    <w:left w:val="nil"/>
                    <w:bottom w:val="nil"/>
                    <w:right w:val="nil"/>
                  </w:tcBorders>
                  <w:shd w:val="clear" w:color="auto" w:fill="auto"/>
                  <w:noWrap/>
                  <w:vAlign w:val="bottom"/>
                </w:tcPr>
                <w:p w14:paraId="69FEE74C" w14:textId="77777777" w:rsidR="008C0FD5" w:rsidRPr="00F9634D" w:rsidRDefault="008C0FD5" w:rsidP="0097144F">
                  <w:pPr>
                    <w:jc w:val="center"/>
                    <w:rPr>
                      <w:rFonts w:cs="Arial"/>
                      <w:b/>
                      <w:bCs/>
                      <w:color w:val="000000"/>
                      <w:lang w:eastAsia="en-GB"/>
                    </w:rPr>
                  </w:pPr>
                </w:p>
              </w:tc>
              <w:tc>
                <w:tcPr>
                  <w:tcW w:w="1562" w:type="dxa"/>
                  <w:tcBorders>
                    <w:top w:val="nil"/>
                    <w:left w:val="nil"/>
                    <w:bottom w:val="nil"/>
                    <w:right w:val="nil"/>
                  </w:tcBorders>
                  <w:shd w:val="clear" w:color="auto" w:fill="auto"/>
                  <w:noWrap/>
                  <w:vAlign w:val="bottom"/>
                </w:tcPr>
                <w:p w14:paraId="72FC4A77" w14:textId="77777777" w:rsidR="008C0FD5" w:rsidRPr="00F9634D" w:rsidRDefault="008C0FD5" w:rsidP="0097144F">
                  <w:pPr>
                    <w:jc w:val="center"/>
                    <w:rPr>
                      <w:rFonts w:cs="Arial"/>
                      <w:sz w:val="20"/>
                      <w:szCs w:val="20"/>
                      <w:lang w:eastAsia="en-GB"/>
                    </w:rPr>
                  </w:pPr>
                </w:p>
              </w:tc>
              <w:tc>
                <w:tcPr>
                  <w:tcW w:w="1440" w:type="dxa"/>
                  <w:tcBorders>
                    <w:top w:val="nil"/>
                    <w:left w:val="nil"/>
                    <w:bottom w:val="nil"/>
                    <w:right w:val="nil"/>
                  </w:tcBorders>
                  <w:shd w:val="clear" w:color="auto" w:fill="auto"/>
                  <w:noWrap/>
                  <w:vAlign w:val="bottom"/>
                  <w:hideMark/>
                </w:tcPr>
                <w:p w14:paraId="53C19ABC" w14:textId="4CC21D3A" w:rsidR="008C0FD5" w:rsidRPr="00F9634D" w:rsidRDefault="008C0FD5" w:rsidP="0097144F">
                  <w:pPr>
                    <w:jc w:val="center"/>
                    <w:rPr>
                      <w:rFonts w:cs="Arial"/>
                      <w:sz w:val="20"/>
                      <w:szCs w:val="20"/>
                      <w:lang w:eastAsia="en-GB"/>
                    </w:rPr>
                  </w:pP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455A0087" w14:textId="77777777" w:rsidR="008C0FD5" w:rsidRPr="00F9634D" w:rsidRDefault="008C0FD5" w:rsidP="008C0FD5">
                  <w:pPr>
                    <w:rPr>
                      <w:rFonts w:cs="Arial"/>
                      <w:b/>
                      <w:bCs/>
                      <w:color w:val="000000"/>
                      <w:lang w:eastAsia="en-GB"/>
                    </w:rPr>
                  </w:pPr>
                  <w:r w:rsidRPr="00F9634D">
                    <w:rPr>
                      <w:rFonts w:cs="Arial"/>
                      <w:b/>
                      <w:bCs/>
                      <w:color w:val="000000"/>
                      <w:lang w:eastAsia="en-GB"/>
                    </w:rPr>
                    <w:t> </w:t>
                  </w:r>
                </w:p>
              </w:tc>
            </w:tr>
            <w:tr w:rsidR="008C0FD5" w:rsidRPr="007C0D7C" w14:paraId="513FFCAA"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45958B1C"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Judicial lead</w:t>
                  </w: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150682FF" w14:textId="51FAB8FA"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£397</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35DC319A" w14:textId="1A972105"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£561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B67A6ED" w14:textId="7915CED6"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£561</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327BC4F7" w14:textId="32DA7A42" w:rsidR="008C0FD5" w:rsidRPr="00F9634D" w:rsidRDefault="008C0FD5" w:rsidP="008C0FD5">
                  <w:pPr>
                    <w:jc w:val="right"/>
                    <w:rPr>
                      <w:rFonts w:cs="Arial"/>
                      <w:b/>
                      <w:bCs/>
                      <w:color w:val="000000"/>
                      <w:lang w:eastAsia="en-GB"/>
                    </w:rPr>
                  </w:pPr>
                  <w:r w:rsidRPr="00F9634D">
                    <w:rPr>
                      <w:rFonts w:cs="Arial"/>
                      <w:b/>
                      <w:bCs/>
                      <w:color w:val="000000"/>
                      <w:lang w:eastAsia="en-GB"/>
                    </w:rPr>
                    <w:t>£</w:t>
                  </w:r>
                  <w:r>
                    <w:rPr>
                      <w:rFonts w:cs="Arial"/>
                      <w:b/>
                      <w:bCs/>
                      <w:color w:val="000000"/>
                      <w:lang w:eastAsia="en-GB"/>
                    </w:rPr>
                    <w:t>506</w:t>
                  </w:r>
                </w:p>
              </w:tc>
            </w:tr>
            <w:tr w:rsidR="008C0FD5" w:rsidRPr="007C0D7C" w14:paraId="7E97F468"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1ECCE3CC"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Legal Chair</w:t>
                  </w:r>
                </w:p>
              </w:tc>
              <w:tc>
                <w:tcPr>
                  <w:tcW w:w="1440" w:type="dxa"/>
                  <w:tcBorders>
                    <w:top w:val="nil"/>
                    <w:left w:val="nil"/>
                    <w:bottom w:val="single" w:sz="4" w:space="0" w:color="auto"/>
                    <w:right w:val="single" w:sz="4" w:space="0" w:color="auto"/>
                  </w:tcBorders>
                  <w:shd w:val="clear" w:color="auto" w:fill="auto"/>
                  <w:noWrap/>
                  <w:vAlign w:val="bottom"/>
                </w:tcPr>
                <w:p w14:paraId="354BBB03" w14:textId="02910DB9"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£397</w:t>
                  </w:r>
                </w:p>
              </w:tc>
              <w:tc>
                <w:tcPr>
                  <w:tcW w:w="1562" w:type="dxa"/>
                  <w:tcBorders>
                    <w:top w:val="nil"/>
                    <w:left w:val="nil"/>
                    <w:bottom w:val="single" w:sz="4" w:space="0" w:color="auto"/>
                    <w:right w:val="single" w:sz="4" w:space="0" w:color="auto"/>
                  </w:tcBorders>
                  <w:shd w:val="clear" w:color="auto" w:fill="auto"/>
                  <w:noWrap/>
                  <w:vAlign w:val="bottom"/>
                </w:tcPr>
                <w:p w14:paraId="35523AE1" w14:textId="11C81A39"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£459</w:t>
                  </w:r>
                </w:p>
              </w:tc>
              <w:tc>
                <w:tcPr>
                  <w:tcW w:w="1440" w:type="dxa"/>
                  <w:tcBorders>
                    <w:top w:val="nil"/>
                    <w:left w:val="nil"/>
                    <w:bottom w:val="single" w:sz="4" w:space="0" w:color="auto"/>
                    <w:right w:val="single" w:sz="4" w:space="0" w:color="auto"/>
                  </w:tcBorders>
                  <w:shd w:val="clear" w:color="auto" w:fill="auto"/>
                  <w:noWrap/>
                  <w:vAlign w:val="bottom"/>
                  <w:hideMark/>
                </w:tcPr>
                <w:p w14:paraId="2EA9ACF2" w14:textId="78A8D873"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£459</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3E5C8646" w14:textId="44A2B009" w:rsidR="008C0FD5" w:rsidRPr="00F9634D" w:rsidRDefault="008C0FD5" w:rsidP="008C0FD5">
                  <w:pPr>
                    <w:jc w:val="right"/>
                    <w:rPr>
                      <w:rFonts w:cs="Arial"/>
                      <w:b/>
                      <w:bCs/>
                      <w:color w:val="000000"/>
                      <w:lang w:eastAsia="en-GB"/>
                    </w:rPr>
                  </w:pPr>
                  <w:r w:rsidRPr="00F9634D">
                    <w:rPr>
                      <w:rFonts w:cs="Arial"/>
                      <w:b/>
                      <w:bCs/>
                      <w:color w:val="000000"/>
                      <w:lang w:eastAsia="en-GB"/>
                    </w:rPr>
                    <w:t>£4</w:t>
                  </w:r>
                  <w:r>
                    <w:rPr>
                      <w:rFonts w:cs="Arial"/>
                      <w:b/>
                      <w:bCs/>
                      <w:color w:val="000000"/>
                      <w:lang w:eastAsia="en-GB"/>
                    </w:rPr>
                    <w:t>38</w:t>
                  </w:r>
                </w:p>
              </w:tc>
            </w:tr>
            <w:tr w:rsidR="008C0FD5" w:rsidRPr="007C0D7C" w14:paraId="1F30909B"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268836D7"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Lay</w:t>
                  </w:r>
                </w:p>
              </w:tc>
              <w:tc>
                <w:tcPr>
                  <w:tcW w:w="1440" w:type="dxa"/>
                  <w:tcBorders>
                    <w:top w:val="nil"/>
                    <w:left w:val="nil"/>
                    <w:bottom w:val="single" w:sz="4" w:space="0" w:color="auto"/>
                    <w:right w:val="single" w:sz="4" w:space="0" w:color="auto"/>
                  </w:tcBorders>
                  <w:shd w:val="clear" w:color="auto" w:fill="auto"/>
                  <w:noWrap/>
                  <w:vAlign w:val="bottom"/>
                </w:tcPr>
                <w:p w14:paraId="52AC8FB9" w14:textId="30482402"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£66</w:t>
                  </w:r>
                </w:p>
              </w:tc>
              <w:tc>
                <w:tcPr>
                  <w:tcW w:w="1562" w:type="dxa"/>
                  <w:tcBorders>
                    <w:top w:val="nil"/>
                    <w:left w:val="nil"/>
                    <w:bottom w:val="single" w:sz="4" w:space="0" w:color="auto"/>
                    <w:right w:val="single" w:sz="4" w:space="0" w:color="auto"/>
                  </w:tcBorders>
                  <w:shd w:val="clear" w:color="auto" w:fill="auto"/>
                  <w:noWrap/>
                  <w:vAlign w:val="bottom"/>
                </w:tcPr>
                <w:p w14:paraId="4112A032" w14:textId="5A9A394A"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£67</w:t>
                  </w:r>
                </w:p>
              </w:tc>
              <w:tc>
                <w:tcPr>
                  <w:tcW w:w="1440" w:type="dxa"/>
                  <w:tcBorders>
                    <w:top w:val="nil"/>
                    <w:left w:val="nil"/>
                    <w:bottom w:val="single" w:sz="4" w:space="0" w:color="auto"/>
                    <w:right w:val="single" w:sz="4" w:space="0" w:color="auto"/>
                  </w:tcBorders>
                  <w:shd w:val="clear" w:color="auto" w:fill="auto"/>
                  <w:noWrap/>
                  <w:vAlign w:val="bottom"/>
                  <w:hideMark/>
                </w:tcPr>
                <w:p w14:paraId="02987EE7" w14:textId="3EF0B4DE"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£67</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2F490423" w14:textId="6994C08B" w:rsidR="008C0FD5" w:rsidRPr="00F9634D" w:rsidRDefault="008C0FD5" w:rsidP="008C0FD5">
                  <w:pPr>
                    <w:jc w:val="right"/>
                    <w:rPr>
                      <w:rFonts w:cs="Arial"/>
                      <w:b/>
                      <w:bCs/>
                      <w:color w:val="000000"/>
                      <w:lang w:eastAsia="en-GB"/>
                    </w:rPr>
                  </w:pPr>
                  <w:r w:rsidRPr="00F9634D">
                    <w:rPr>
                      <w:rFonts w:cs="Arial"/>
                      <w:b/>
                      <w:bCs/>
                      <w:color w:val="000000"/>
                      <w:lang w:eastAsia="en-GB"/>
                    </w:rPr>
                    <w:t>£6</w:t>
                  </w:r>
                  <w:r>
                    <w:rPr>
                      <w:rFonts w:cs="Arial"/>
                      <w:b/>
                      <w:bCs/>
                      <w:color w:val="000000"/>
                      <w:lang w:eastAsia="en-GB"/>
                    </w:rPr>
                    <w:t>7</w:t>
                  </w:r>
                </w:p>
              </w:tc>
            </w:tr>
            <w:tr w:rsidR="008C0FD5" w:rsidRPr="007C0D7C" w14:paraId="208CE6BC" w14:textId="77777777" w:rsidTr="0097144F">
              <w:trPr>
                <w:trHeight w:val="720"/>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25284547" w14:textId="2194C087" w:rsidR="008C0FD5" w:rsidRPr="00F9634D" w:rsidRDefault="008C0FD5" w:rsidP="008C0FD5">
                  <w:pPr>
                    <w:rPr>
                      <w:rFonts w:cs="Arial"/>
                      <w:b/>
                      <w:bCs/>
                      <w:color w:val="000000"/>
                      <w:lang w:eastAsia="en-GB"/>
                    </w:rPr>
                  </w:pPr>
                  <w:r w:rsidRPr="00F9634D">
                    <w:rPr>
                      <w:rFonts w:cs="Arial"/>
                      <w:b/>
                      <w:bCs/>
                      <w:color w:val="000000"/>
                      <w:lang w:eastAsia="en-GB"/>
                    </w:rPr>
                    <w:t>MHRTW [Mental Health Review Tribunal for Wales]</w:t>
                  </w:r>
                </w:p>
              </w:tc>
              <w:tc>
                <w:tcPr>
                  <w:tcW w:w="1440" w:type="dxa"/>
                  <w:tcBorders>
                    <w:top w:val="nil"/>
                    <w:left w:val="nil"/>
                    <w:bottom w:val="single" w:sz="4" w:space="0" w:color="auto"/>
                    <w:right w:val="single" w:sz="4" w:space="0" w:color="auto"/>
                  </w:tcBorders>
                  <w:shd w:val="clear" w:color="auto" w:fill="auto"/>
                  <w:noWrap/>
                  <w:vAlign w:val="bottom"/>
                </w:tcPr>
                <w:p w14:paraId="14F68CC3" w14:textId="4270BE88" w:rsidR="008C0FD5" w:rsidRPr="00F9634D" w:rsidRDefault="008C0FD5" w:rsidP="0097144F">
                  <w:pPr>
                    <w:jc w:val="center"/>
                    <w:rPr>
                      <w:rFonts w:cs="Arial"/>
                      <w:color w:val="000000"/>
                      <w:sz w:val="22"/>
                      <w:szCs w:val="22"/>
                      <w:lang w:eastAsia="en-GB"/>
                    </w:rPr>
                  </w:pPr>
                </w:p>
              </w:tc>
              <w:tc>
                <w:tcPr>
                  <w:tcW w:w="1562" w:type="dxa"/>
                  <w:tcBorders>
                    <w:top w:val="nil"/>
                    <w:left w:val="nil"/>
                    <w:bottom w:val="single" w:sz="4" w:space="0" w:color="auto"/>
                    <w:right w:val="single" w:sz="4" w:space="0" w:color="auto"/>
                  </w:tcBorders>
                  <w:shd w:val="clear" w:color="auto" w:fill="auto"/>
                  <w:noWrap/>
                  <w:vAlign w:val="bottom"/>
                </w:tcPr>
                <w:p w14:paraId="5182D1C1" w14:textId="7A4A4D75" w:rsidR="008C0FD5" w:rsidRPr="00F9634D" w:rsidRDefault="008C0FD5" w:rsidP="0097144F">
                  <w:pPr>
                    <w:jc w:val="center"/>
                    <w:rPr>
                      <w:rFonts w:cs="Arial"/>
                      <w:color w:val="000000"/>
                      <w:sz w:val="22"/>
                      <w:szCs w:val="22"/>
                      <w:lang w:eastAsia="en-GB"/>
                    </w:rPr>
                  </w:pPr>
                </w:p>
              </w:tc>
              <w:tc>
                <w:tcPr>
                  <w:tcW w:w="1440" w:type="dxa"/>
                  <w:tcBorders>
                    <w:top w:val="nil"/>
                    <w:left w:val="nil"/>
                    <w:bottom w:val="single" w:sz="4" w:space="0" w:color="auto"/>
                    <w:right w:val="single" w:sz="4" w:space="0" w:color="auto"/>
                  </w:tcBorders>
                  <w:shd w:val="clear" w:color="auto" w:fill="auto"/>
                  <w:noWrap/>
                  <w:vAlign w:val="bottom"/>
                  <w:hideMark/>
                </w:tcPr>
                <w:p w14:paraId="22B5CCCE" w14:textId="0F8A6A7B" w:rsidR="008C0FD5" w:rsidRPr="00F9634D" w:rsidRDefault="008C0FD5" w:rsidP="0097144F">
                  <w:pPr>
                    <w:jc w:val="center"/>
                    <w:rPr>
                      <w:rFonts w:cs="Arial"/>
                      <w:color w:val="000000"/>
                      <w:sz w:val="22"/>
                      <w:szCs w:val="22"/>
                      <w:lang w:eastAsia="en-GB"/>
                    </w:rPr>
                  </w:pP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337EBFB2" w14:textId="77777777" w:rsidR="008C0FD5" w:rsidRPr="00F9634D" w:rsidRDefault="008C0FD5" w:rsidP="008C0FD5">
                  <w:pPr>
                    <w:rPr>
                      <w:rFonts w:cs="Arial"/>
                      <w:b/>
                      <w:bCs/>
                      <w:color w:val="000000"/>
                      <w:lang w:eastAsia="en-GB"/>
                    </w:rPr>
                  </w:pPr>
                  <w:r w:rsidRPr="00F9634D">
                    <w:rPr>
                      <w:rFonts w:cs="Arial"/>
                      <w:b/>
                      <w:bCs/>
                      <w:color w:val="000000"/>
                      <w:lang w:eastAsia="en-GB"/>
                    </w:rPr>
                    <w:t> </w:t>
                  </w:r>
                </w:p>
              </w:tc>
            </w:tr>
            <w:tr w:rsidR="008C0FD5" w:rsidRPr="007C0D7C" w14:paraId="2953E034"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587C7052" w14:textId="55C3268A"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Judicial lead</w:t>
                  </w:r>
                  <w:r w:rsidR="00671794" w:rsidRPr="00F9634D">
                    <w:rPr>
                      <w:rFonts w:cs="Arial"/>
                      <w:b/>
                      <w:bCs/>
                      <w:color w:val="000000"/>
                      <w:lang w:eastAsia="en-GB"/>
                    </w:rPr>
                    <w:t>*</w:t>
                  </w:r>
                </w:p>
              </w:tc>
              <w:tc>
                <w:tcPr>
                  <w:tcW w:w="1440" w:type="dxa"/>
                  <w:tcBorders>
                    <w:top w:val="nil"/>
                    <w:left w:val="nil"/>
                    <w:bottom w:val="single" w:sz="4" w:space="0" w:color="auto"/>
                    <w:right w:val="single" w:sz="4" w:space="0" w:color="auto"/>
                  </w:tcBorders>
                  <w:shd w:val="clear" w:color="auto" w:fill="auto"/>
                  <w:noWrap/>
                  <w:vAlign w:val="bottom"/>
                </w:tcPr>
                <w:p w14:paraId="38EDD235" w14:textId="4C23B697" w:rsidR="008C0FD5" w:rsidRPr="00F9634D" w:rsidRDefault="008C0FD5" w:rsidP="0097144F">
                  <w:pPr>
                    <w:jc w:val="center"/>
                    <w:rPr>
                      <w:rFonts w:cs="Arial"/>
                      <w:color w:val="000000"/>
                      <w:sz w:val="22"/>
                      <w:szCs w:val="22"/>
                      <w:lang w:eastAsia="en-GB"/>
                    </w:rPr>
                  </w:pPr>
                </w:p>
              </w:tc>
              <w:tc>
                <w:tcPr>
                  <w:tcW w:w="1562" w:type="dxa"/>
                  <w:tcBorders>
                    <w:top w:val="nil"/>
                    <w:left w:val="nil"/>
                    <w:bottom w:val="single" w:sz="4" w:space="0" w:color="auto"/>
                    <w:right w:val="single" w:sz="4" w:space="0" w:color="auto"/>
                  </w:tcBorders>
                  <w:shd w:val="clear" w:color="auto" w:fill="auto"/>
                  <w:noWrap/>
                  <w:vAlign w:val="bottom"/>
                </w:tcPr>
                <w:p w14:paraId="16A5FB9F" w14:textId="1120AAC1" w:rsidR="008C0FD5" w:rsidRPr="00F9634D" w:rsidRDefault="008C0FD5" w:rsidP="0097144F">
                  <w:pPr>
                    <w:jc w:val="center"/>
                    <w:rPr>
                      <w:rFonts w:cs="Arial"/>
                      <w:color w:val="000000"/>
                      <w:sz w:val="22"/>
                      <w:szCs w:val="22"/>
                      <w:lang w:eastAsia="en-GB"/>
                    </w:rPr>
                  </w:pPr>
                </w:p>
              </w:tc>
              <w:tc>
                <w:tcPr>
                  <w:tcW w:w="1440" w:type="dxa"/>
                  <w:tcBorders>
                    <w:top w:val="nil"/>
                    <w:left w:val="nil"/>
                    <w:bottom w:val="single" w:sz="4" w:space="0" w:color="auto"/>
                    <w:right w:val="single" w:sz="4" w:space="0" w:color="auto"/>
                  </w:tcBorders>
                  <w:shd w:val="clear" w:color="auto" w:fill="auto"/>
                  <w:noWrap/>
                  <w:vAlign w:val="bottom"/>
                  <w:hideMark/>
                </w:tcPr>
                <w:p w14:paraId="78B2B75C" w14:textId="2D43772B" w:rsidR="008C0FD5" w:rsidRPr="00F9634D" w:rsidRDefault="008C0FD5" w:rsidP="0097144F">
                  <w:pPr>
                    <w:jc w:val="center"/>
                    <w:rPr>
                      <w:rFonts w:cs="Arial"/>
                      <w:color w:val="000000"/>
                      <w:sz w:val="22"/>
                      <w:szCs w:val="22"/>
                      <w:lang w:eastAsia="en-GB"/>
                    </w:rPr>
                  </w:pP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7B3131E4" w14:textId="77777777" w:rsidR="008C0FD5" w:rsidRPr="00F9634D" w:rsidRDefault="008C0FD5" w:rsidP="008C0FD5">
                  <w:pPr>
                    <w:rPr>
                      <w:rFonts w:cs="Arial"/>
                      <w:b/>
                      <w:bCs/>
                      <w:color w:val="000000"/>
                      <w:lang w:eastAsia="en-GB"/>
                    </w:rPr>
                  </w:pPr>
                  <w:r w:rsidRPr="00F9634D">
                    <w:rPr>
                      <w:rFonts w:cs="Arial"/>
                      <w:b/>
                      <w:bCs/>
                      <w:color w:val="000000"/>
                      <w:lang w:eastAsia="en-GB"/>
                    </w:rPr>
                    <w:t> </w:t>
                  </w:r>
                </w:p>
              </w:tc>
            </w:tr>
            <w:tr w:rsidR="008C0FD5" w:rsidRPr="007C0D7C" w14:paraId="110C1F08" w14:textId="77777777" w:rsidTr="0097144F">
              <w:trPr>
                <w:trHeight w:val="600"/>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11CD05C8" w14:textId="62AAC1C6"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Legal Chair</w:t>
                  </w:r>
                  <w:r w:rsidR="00FB20C3">
                    <w:rPr>
                      <w:rFonts w:cs="Arial"/>
                      <w:color w:val="000000"/>
                      <w:sz w:val="22"/>
                      <w:szCs w:val="22"/>
                      <w:lang w:eastAsia="en-GB"/>
                    </w:rPr>
                    <w:t>**</w:t>
                  </w:r>
                </w:p>
              </w:tc>
              <w:tc>
                <w:tcPr>
                  <w:tcW w:w="1440" w:type="dxa"/>
                  <w:tcBorders>
                    <w:top w:val="nil"/>
                    <w:left w:val="nil"/>
                    <w:bottom w:val="single" w:sz="4" w:space="0" w:color="auto"/>
                    <w:right w:val="single" w:sz="4" w:space="0" w:color="auto"/>
                  </w:tcBorders>
                  <w:shd w:val="clear" w:color="auto" w:fill="auto"/>
                  <w:noWrap/>
                  <w:vAlign w:val="bottom"/>
                </w:tcPr>
                <w:p w14:paraId="016389CD" w14:textId="726354FB"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£575</w:t>
                  </w:r>
                </w:p>
              </w:tc>
              <w:tc>
                <w:tcPr>
                  <w:tcW w:w="1562" w:type="dxa"/>
                  <w:tcBorders>
                    <w:top w:val="nil"/>
                    <w:left w:val="nil"/>
                    <w:bottom w:val="single" w:sz="4" w:space="0" w:color="auto"/>
                    <w:right w:val="single" w:sz="4" w:space="0" w:color="auto"/>
                  </w:tcBorders>
                  <w:shd w:val="clear" w:color="auto" w:fill="auto"/>
                  <w:noWrap/>
                  <w:vAlign w:val="bottom"/>
                </w:tcPr>
                <w:p w14:paraId="62AA1D2A" w14:textId="67C028CD"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£294</w:t>
                  </w:r>
                </w:p>
              </w:tc>
              <w:tc>
                <w:tcPr>
                  <w:tcW w:w="1440" w:type="dxa"/>
                  <w:tcBorders>
                    <w:top w:val="nil"/>
                    <w:left w:val="nil"/>
                    <w:bottom w:val="single" w:sz="4" w:space="0" w:color="auto"/>
                    <w:right w:val="single" w:sz="4" w:space="0" w:color="auto"/>
                  </w:tcBorders>
                  <w:shd w:val="clear" w:color="auto" w:fill="auto"/>
                  <w:noWrap/>
                  <w:vAlign w:val="bottom"/>
                  <w:hideMark/>
                </w:tcPr>
                <w:p w14:paraId="332DCE18" w14:textId="7CC50190"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£294</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7F483AFE" w14:textId="51EA37FC" w:rsidR="008C0FD5" w:rsidRPr="00F9634D" w:rsidRDefault="008C0FD5" w:rsidP="008C0FD5">
                  <w:pPr>
                    <w:jc w:val="right"/>
                    <w:rPr>
                      <w:rFonts w:cs="Arial"/>
                      <w:b/>
                      <w:bCs/>
                      <w:color w:val="000000"/>
                      <w:lang w:eastAsia="en-GB"/>
                    </w:rPr>
                  </w:pPr>
                  <w:r w:rsidRPr="00F9634D">
                    <w:rPr>
                      <w:rFonts w:cs="Arial"/>
                      <w:b/>
                      <w:bCs/>
                      <w:color w:val="000000"/>
                      <w:lang w:eastAsia="en-GB"/>
                    </w:rPr>
                    <w:t>£</w:t>
                  </w:r>
                  <w:r>
                    <w:rPr>
                      <w:rFonts w:cs="Arial"/>
                      <w:b/>
                      <w:bCs/>
                      <w:color w:val="000000"/>
                      <w:lang w:eastAsia="en-GB"/>
                    </w:rPr>
                    <w:t>38</w:t>
                  </w:r>
                  <w:r w:rsidRPr="00F9634D">
                    <w:rPr>
                      <w:rFonts w:cs="Arial"/>
                      <w:b/>
                      <w:bCs/>
                      <w:color w:val="000000"/>
                      <w:lang w:eastAsia="en-GB"/>
                    </w:rPr>
                    <w:t>7</w:t>
                  </w:r>
                </w:p>
              </w:tc>
            </w:tr>
            <w:tr w:rsidR="008C0FD5" w:rsidRPr="007C0D7C" w14:paraId="6C59ABD9"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190F3A05"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Lay</w:t>
                  </w:r>
                </w:p>
              </w:tc>
              <w:tc>
                <w:tcPr>
                  <w:tcW w:w="1440" w:type="dxa"/>
                  <w:tcBorders>
                    <w:top w:val="nil"/>
                    <w:left w:val="nil"/>
                    <w:bottom w:val="single" w:sz="4" w:space="0" w:color="auto"/>
                    <w:right w:val="single" w:sz="4" w:space="0" w:color="auto"/>
                  </w:tcBorders>
                  <w:shd w:val="clear" w:color="auto" w:fill="auto"/>
                  <w:noWrap/>
                  <w:vAlign w:val="bottom"/>
                </w:tcPr>
                <w:p w14:paraId="7831898F" w14:textId="21728D86"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£232</w:t>
                  </w:r>
                </w:p>
              </w:tc>
              <w:tc>
                <w:tcPr>
                  <w:tcW w:w="1562" w:type="dxa"/>
                  <w:tcBorders>
                    <w:top w:val="nil"/>
                    <w:left w:val="nil"/>
                    <w:bottom w:val="single" w:sz="4" w:space="0" w:color="auto"/>
                    <w:right w:val="single" w:sz="4" w:space="0" w:color="auto"/>
                  </w:tcBorders>
                  <w:shd w:val="clear" w:color="auto" w:fill="auto"/>
                  <w:noWrap/>
                  <w:vAlign w:val="bottom"/>
                </w:tcPr>
                <w:p w14:paraId="1F77388C" w14:textId="42AC1264"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£237</w:t>
                  </w:r>
                </w:p>
              </w:tc>
              <w:tc>
                <w:tcPr>
                  <w:tcW w:w="1440" w:type="dxa"/>
                  <w:tcBorders>
                    <w:top w:val="nil"/>
                    <w:left w:val="nil"/>
                    <w:bottom w:val="single" w:sz="4" w:space="0" w:color="auto"/>
                    <w:right w:val="single" w:sz="4" w:space="0" w:color="auto"/>
                  </w:tcBorders>
                  <w:shd w:val="clear" w:color="auto" w:fill="auto"/>
                  <w:noWrap/>
                  <w:vAlign w:val="bottom"/>
                  <w:hideMark/>
                </w:tcPr>
                <w:p w14:paraId="3BC1279B" w14:textId="7F2045B9"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£237</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7C19297D" w14:textId="5E4A4F75" w:rsidR="008C0FD5" w:rsidRPr="00F9634D" w:rsidRDefault="008C0FD5" w:rsidP="008C0FD5">
                  <w:pPr>
                    <w:jc w:val="right"/>
                    <w:rPr>
                      <w:rFonts w:cs="Arial"/>
                      <w:b/>
                      <w:bCs/>
                      <w:color w:val="000000"/>
                      <w:lang w:eastAsia="en-GB"/>
                    </w:rPr>
                  </w:pPr>
                  <w:r w:rsidRPr="00F9634D">
                    <w:rPr>
                      <w:rFonts w:cs="Arial"/>
                      <w:b/>
                      <w:bCs/>
                      <w:color w:val="000000"/>
                      <w:lang w:eastAsia="en-GB"/>
                    </w:rPr>
                    <w:t>£23</w:t>
                  </w:r>
                  <w:r>
                    <w:rPr>
                      <w:rFonts w:cs="Arial"/>
                      <w:b/>
                      <w:bCs/>
                      <w:color w:val="000000"/>
                      <w:lang w:eastAsia="en-GB"/>
                    </w:rPr>
                    <w:t>5</w:t>
                  </w:r>
                </w:p>
              </w:tc>
            </w:tr>
            <w:tr w:rsidR="008C0FD5" w:rsidRPr="007C0D7C" w14:paraId="0DD3F906" w14:textId="77777777" w:rsidTr="0097144F">
              <w:trPr>
                <w:trHeight w:val="630"/>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4722A562" w14:textId="63D72021" w:rsidR="008C0FD5" w:rsidRPr="00F9634D" w:rsidRDefault="008C0FD5" w:rsidP="008C0FD5">
                  <w:pPr>
                    <w:rPr>
                      <w:rFonts w:cs="Arial"/>
                      <w:b/>
                      <w:bCs/>
                      <w:color w:val="000000"/>
                      <w:lang w:eastAsia="en-GB"/>
                    </w:rPr>
                  </w:pPr>
                  <w:r w:rsidRPr="00F9634D">
                    <w:rPr>
                      <w:rFonts w:cs="Arial"/>
                      <w:b/>
                      <w:bCs/>
                      <w:color w:val="000000"/>
                      <w:lang w:eastAsia="en-GB"/>
                    </w:rPr>
                    <w:t>RPT [Residential Property Tribunal]</w:t>
                  </w:r>
                </w:p>
              </w:tc>
              <w:tc>
                <w:tcPr>
                  <w:tcW w:w="1440" w:type="dxa"/>
                  <w:tcBorders>
                    <w:top w:val="nil"/>
                    <w:left w:val="nil"/>
                    <w:bottom w:val="single" w:sz="4" w:space="0" w:color="auto"/>
                    <w:right w:val="single" w:sz="4" w:space="0" w:color="auto"/>
                  </w:tcBorders>
                  <w:shd w:val="clear" w:color="auto" w:fill="auto"/>
                  <w:noWrap/>
                  <w:vAlign w:val="bottom"/>
                </w:tcPr>
                <w:p w14:paraId="172F7CB1" w14:textId="103F8A49" w:rsidR="008C0FD5" w:rsidRPr="00F9634D" w:rsidRDefault="008C0FD5" w:rsidP="0097144F">
                  <w:pPr>
                    <w:jc w:val="center"/>
                    <w:rPr>
                      <w:rFonts w:cs="Arial"/>
                      <w:color w:val="000000"/>
                      <w:sz w:val="22"/>
                      <w:szCs w:val="22"/>
                      <w:lang w:eastAsia="en-GB"/>
                    </w:rPr>
                  </w:pPr>
                </w:p>
              </w:tc>
              <w:tc>
                <w:tcPr>
                  <w:tcW w:w="1562" w:type="dxa"/>
                  <w:tcBorders>
                    <w:top w:val="nil"/>
                    <w:left w:val="nil"/>
                    <w:bottom w:val="single" w:sz="4" w:space="0" w:color="auto"/>
                    <w:right w:val="single" w:sz="4" w:space="0" w:color="auto"/>
                  </w:tcBorders>
                  <w:shd w:val="clear" w:color="auto" w:fill="auto"/>
                  <w:noWrap/>
                  <w:vAlign w:val="bottom"/>
                </w:tcPr>
                <w:p w14:paraId="13CF4ED9" w14:textId="70A8C7F1" w:rsidR="008C0FD5" w:rsidRPr="00F9634D" w:rsidRDefault="008C0FD5" w:rsidP="0097144F">
                  <w:pPr>
                    <w:jc w:val="center"/>
                    <w:rPr>
                      <w:rFonts w:cs="Arial"/>
                      <w:color w:val="000000"/>
                      <w:sz w:val="22"/>
                      <w:szCs w:val="22"/>
                      <w:lang w:eastAsia="en-GB"/>
                    </w:rPr>
                  </w:pPr>
                </w:p>
              </w:tc>
              <w:tc>
                <w:tcPr>
                  <w:tcW w:w="1440" w:type="dxa"/>
                  <w:tcBorders>
                    <w:top w:val="nil"/>
                    <w:left w:val="nil"/>
                    <w:bottom w:val="single" w:sz="4" w:space="0" w:color="auto"/>
                    <w:right w:val="single" w:sz="4" w:space="0" w:color="auto"/>
                  </w:tcBorders>
                  <w:shd w:val="clear" w:color="auto" w:fill="auto"/>
                  <w:noWrap/>
                  <w:vAlign w:val="bottom"/>
                  <w:hideMark/>
                </w:tcPr>
                <w:p w14:paraId="13108552" w14:textId="160B55F3" w:rsidR="008C0FD5" w:rsidRPr="00F9634D" w:rsidRDefault="008C0FD5" w:rsidP="0097144F">
                  <w:pPr>
                    <w:jc w:val="center"/>
                    <w:rPr>
                      <w:rFonts w:cs="Arial"/>
                      <w:color w:val="000000"/>
                      <w:sz w:val="22"/>
                      <w:szCs w:val="22"/>
                      <w:lang w:eastAsia="en-GB"/>
                    </w:rPr>
                  </w:pP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7BD74DE3" w14:textId="77777777" w:rsidR="008C0FD5" w:rsidRPr="00F9634D" w:rsidRDefault="008C0FD5" w:rsidP="008C0FD5">
                  <w:pPr>
                    <w:rPr>
                      <w:rFonts w:cs="Arial"/>
                      <w:b/>
                      <w:bCs/>
                      <w:color w:val="000000"/>
                      <w:lang w:eastAsia="en-GB"/>
                    </w:rPr>
                  </w:pPr>
                  <w:r w:rsidRPr="00F9634D">
                    <w:rPr>
                      <w:rFonts w:cs="Arial"/>
                      <w:b/>
                      <w:bCs/>
                      <w:color w:val="000000"/>
                      <w:lang w:eastAsia="en-GB"/>
                    </w:rPr>
                    <w:t> </w:t>
                  </w:r>
                </w:p>
              </w:tc>
            </w:tr>
            <w:tr w:rsidR="008C0FD5" w:rsidRPr="007C0D7C" w14:paraId="4ADE3704"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180522E4"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Judicial lead</w:t>
                  </w:r>
                </w:p>
              </w:tc>
              <w:tc>
                <w:tcPr>
                  <w:tcW w:w="1440" w:type="dxa"/>
                  <w:tcBorders>
                    <w:top w:val="nil"/>
                    <w:left w:val="nil"/>
                    <w:bottom w:val="single" w:sz="4" w:space="0" w:color="auto"/>
                    <w:right w:val="single" w:sz="4" w:space="0" w:color="auto"/>
                  </w:tcBorders>
                  <w:shd w:val="clear" w:color="auto" w:fill="auto"/>
                  <w:noWrap/>
                  <w:vAlign w:val="bottom"/>
                </w:tcPr>
                <w:p w14:paraId="181831CA" w14:textId="4EF89004"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£544</w:t>
                  </w:r>
                </w:p>
              </w:tc>
              <w:tc>
                <w:tcPr>
                  <w:tcW w:w="1562" w:type="dxa"/>
                  <w:tcBorders>
                    <w:top w:val="nil"/>
                    <w:left w:val="nil"/>
                    <w:bottom w:val="single" w:sz="4" w:space="0" w:color="auto"/>
                    <w:right w:val="single" w:sz="4" w:space="0" w:color="auto"/>
                  </w:tcBorders>
                  <w:shd w:val="clear" w:color="auto" w:fill="auto"/>
                  <w:noWrap/>
                  <w:vAlign w:val="bottom"/>
                </w:tcPr>
                <w:p w14:paraId="733AC542" w14:textId="30B9D739"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£561</w:t>
                  </w:r>
                </w:p>
              </w:tc>
              <w:tc>
                <w:tcPr>
                  <w:tcW w:w="1440" w:type="dxa"/>
                  <w:tcBorders>
                    <w:top w:val="nil"/>
                    <w:left w:val="nil"/>
                    <w:bottom w:val="single" w:sz="4" w:space="0" w:color="auto"/>
                    <w:right w:val="single" w:sz="4" w:space="0" w:color="auto"/>
                  </w:tcBorders>
                  <w:shd w:val="clear" w:color="auto" w:fill="auto"/>
                  <w:noWrap/>
                  <w:vAlign w:val="bottom"/>
                  <w:hideMark/>
                </w:tcPr>
                <w:p w14:paraId="30AE5BA1" w14:textId="0AB909AE"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£561</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2BFE03A2" w14:textId="64828384" w:rsidR="008C0FD5" w:rsidRPr="00F9634D" w:rsidRDefault="008C0FD5" w:rsidP="008C0FD5">
                  <w:pPr>
                    <w:jc w:val="right"/>
                    <w:rPr>
                      <w:rFonts w:cs="Arial"/>
                      <w:b/>
                      <w:bCs/>
                      <w:color w:val="000000"/>
                      <w:lang w:eastAsia="en-GB"/>
                    </w:rPr>
                  </w:pPr>
                  <w:r w:rsidRPr="00F9634D">
                    <w:rPr>
                      <w:rFonts w:cs="Arial"/>
                      <w:b/>
                      <w:bCs/>
                      <w:color w:val="000000"/>
                      <w:lang w:eastAsia="en-GB"/>
                    </w:rPr>
                    <w:t>£5</w:t>
                  </w:r>
                  <w:r>
                    <w:rPr>
                      <w:rFonts w:cs="Arial"/>
                      <w:b/>
                      <w:bCs/>
                      <w:color w:val="000000"/>
                      <w:lang w:eastAsia="en-GB"/>
                    </w:rPr>
                    <w:t>55</w:t>
                  </w:r>
                </w:p>
              </w:tc>
            </w:tr>
            <w:tr w:rsidR="008C0FD5" w:rsidRPr="007C0D7C" w14:paraId="300646E2"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49F17423"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Legal Chair</w:t>
                  </w:r>
                </w:p>
              </w:tc>
              <w:tc>
                <w:tcPr>
                  <w:tcW w:w="1440" w:type="dxa"/>
                  <w:tcBorders>
                    <w:top w:val="nil"/>
                    <w:left w:val="nil"/>
                    <w:bottom w:val="single" w:sz="4" w:space="0" w:color="auto"/>
                    <w:right w:val="single" w:sz="4" w:space="0" w:color="auto"/>
                  </w:tcBorders>
                  <w:shd w:val="clear" w:color="auto" w:fill="auto"/>
                  <w:noWrap/>
                  <w:vAlign w:val="bottom"/>
                </w:tcPr>
                <w:p w14:paraId="4F013AD4" w14:textId="7DFC48AC"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£461</w:t>
                  </w:r>
                </w:p>
              </w:tc>
              <w:tc>
                <w:tcPr>
                  <w:tcW w:w="1562" w:type="dxa"/>
                  <w:tcBorders>
                    <w:top w:val="nil"/>
                    <w:left w:val="nil"/>
                    <w:bottom w:val="single" w:sz="4" w:space="0" w:color="auto"/>
                    <w:right w:val="single" w:sz="4" w:space="0" w:color="auto"/>
                  </w:tcBorders>
                  <w:shd w:val="clear" w:color="auto" w:fill="auto"/>
                  <w:noWrap/>
                  <w:vAlign w:val="bottom"/>
                </w:tcPr>
                <w:p w14:paraId="7D3AC83B" w14:textId="527CFA00"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£470</w:t>
                  </w:r>
                </w:p>
              </w:tc>
              <w:tc>
                <w:tcPr>
                  <w:tcW w:w="1440" w:type="dxa"/>
                  <w:tcBorders>
                    <w:top w:val="nil"/>
                    <w:left w:val="nil"/>
                    <w:bottom w:val="single" w:sz="4" w:space="0" w:color="auto"/>
                    <w:right w:val="single" w:sz="4" w:space="0" w:color="auto"/>
                  </w:tcBorders>
                  <w:shd w:val="clear" w:color="auto" w:fill="auto"/>
                  <w:noWrap/>
                  <w:vAlign w:val="bottom"/>
                  <w:hideMark/>
                </w:tcPr>
                <w:p w14:paraId="53206AE1" w14:textId="700A9D01"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£470</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1DB125DD" w14:textId="1F8FB43C" w:rsidR="008C0FD5" w:rsidRPr="00F9634D" w:rsidRDefault="008C0FD5" w:rsidP="008C0FD5">
                  <w:pPr>
                    <w:jc w:val="right"/>
                    <w:rPr>
                      <w:rFonts w:cs="Arial"/>
                      <w:b/>
                      <w:bCs/>
                      <w:color w:val="000000"/>
                      <w:lang w:eastAsia="en-GB"/>
                    </w:rPr>
                  </w:pPr>
                  <w:r w:rsidRPr="00F9634D">
                    <w:rPr>
                      <w:rFonts w:cs="Arial"/>
                      <w:b/>
                      <w:bCs/>
                      <w:color w:val="000000"/>
                      <w:lang w:eastAsia="en-GB"/>
                    </w:rPr>
                    <w:t>£46</w:t>
                  </w:r>
                  <w:r>
                    <w:rPr>
                      <w:rFonts w:cs="Arial"/>
                      <w:b/>
                      <w:bCs/>
                      <w:color w:val="000000"/>
                      <w:lang w:eastAsia="en-GB"/>
                    </w:rPr>
                    <w:t>7</w:t>
                  </w:r>
                </w:p>
              </w:tc>
            </w:tr>
            <w:tr w:rsidR="008C0FD5" w:rsidRPr="007C0D7C" w14:paraId="65B8AFAC"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7BDA1D65"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Lay</w:t>
                  </w:r>
                </w:p>
              </w:tc>
              <w:tc>
                <w:tcPr>
                  <w:tcW w:w="1440" w:type="dxa"/>
                  <w:tcBorders>
                    <w:top w:val="nil"/>
                    <w:left w:val="nil"/>
                    <w:bottom w:val="single" w:sz="4" w:space="0" w:color="auto"/>
                    <w:right w:val="single" w:sz="4" w:space="0" w:color="auto"/>
                  </w:tcBorders>
                  <w:shd w:val="clear" w:color="auto" w:fill="auto"/>
                  <w:noWrap/>
                  <w:vAlign w:val="bottom"/>
                </w:tcPr>
                <w:p w14:paraId="79A6AEF6" w14:textId="67021A4A"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£208</w:t>
                  </w:r>
                </w:p>
              </w:tc>
              <w:tc>
                <w:tcPr>
                  <w:tcW w:w="1562" w:type="dxa"/>
                  <w:tcBorders>
                    <w:top w:val="nil"/>
                    <w:left w:val="nil"/>
                    <w:bottom w:val="single" w:sz="4" w:space="0" w:color="auto"/>
                    <w:right w:val="single" w:sz="4" w:space="0" w:color="auto"/>
                  </w:tcBorders>
                  <w:shd w:val="clear" w:color="auto" w:fill="auto"/>
                  <w:noWrap/>
                  <w:vAlign w:val="bottom"/>
                </w:tcPr>
                <w:p w14:paraId="0A931C91" w14:textId="56B78770"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£212</w:t>
                  </w:r>
                </w:p>
              </w:tc>
              <w:tc>
                <w:tcPr>
                  <w:tcW w:w="1440" w:type="dxa"/>
                  <w:tcBorders>
                    <w:top w:val="nil"/>
                    <w:left w:val="nil"/>
                    <w:bottom w:val="single" w:sz="4" w:space="0" w:color="auto"/>
                    <w:right w:val="single" w:sz="4" w:space="0" w:color="auto"/>
                  </w:tcBorders>
                  <w:shd w:val="clear" w:color="auto" w:fill="auto"/>
                  <w:noWrap/>
                  <w:vAlign w:val="bottom"/>
                  <w:hideMark/>
                </w:tcPr>
                <w:p w14:paraId="48BB8A44" w14:textId="6DA81560"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£212</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5DB43741" w14:textId="59D3A582" w:rsidR="008C0FD5" w:rsidRPr="00F9634D" w:rsidRDefault="008C0FD5" w:rsidP="008C0FD5">
                  <w:pPr>
                    <w:jc w:val="right"/>
                    <w:rPr>
                      <w:rFonts w:cs="Arial"/>
                      <w:b/>
                      <w:bCs/>
                      <w:color w:val="000000"/>
                      <w:lang w:eastAsia="en-GB"/>
                    </w:rPr>
                  </w:pPr>
                  <w:r w:rsidRPr="00F9634D">
                    <w:rPr>
                      <w:rFonts w:cs="Arial"/>
                      <w:b/>
                      <w:bCs/>
                      <w:color w:val="000000"/>
                      <w:lang w:eastAsia="en-GB"/>
                    </w:rPr>
                    <w:t>£2</w:t>
                  </w:r>
                  <w:r>
                    <w:rPr>
                      <w:rFonts w:cs="Arial"/>
                      <w:b/>
                      <w:bCs/>
                      <w:color w:val="000000"/>
                      <w:lang w:eastAsia="en-GB"/>
                    </w:rPr>
                    <w:t>11</w:t>
                  </w:r>
                </w:p>
              </w:tc>
            </w:tr>
            <w:tr w:rsidR="008C0FD5" w:rsidRPr="007C0D7C" w14:paraId="0B4B0C0F" w14:textId="77777777" w:rsidTr="0097144F">
              <w:trPr>
                <w:trHeight w:val="64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79384B5F" w14:textId="781C466D" w:rsidR="008C0FD5" w:rsidRPr="00F9634D" w:rsidRDefault="000B7779" w:rsidP="008C0FD5">
                  <w:pPr>
                    <w:rPr>
                      <w:rFonts w:cs="Arial"/>
                      <w:b/>
                      <w:bCs/>
                      <w:color w:val="000000"/>
                      <w:lang w:eastAsia="en-GB"/>
                    </w:rPr>
                  </w:pPr>
                  <w:r>
                    <w:rPr>
                      <w:rFonts w:cs="Arial"/>
                      <w:b/>
                      <w:bCs/>
                      <w:color w:val="000000"/>
                      <w:lang w:eastAsia="en-GB"/>
                    </w:rPr>
                    <w:t>ETW</w:t>
                  </w:r>
                  <w:r w:rsidR="008C0FD5" w:rsidRPr="00F9634D">
                    <w:rPr>
                      <w:rFonts w:cs="Arial"/>
                      <w:b/>
                      <w:bCs/>
                      <w:color w:val="000000"/>
                      <w:lang w:eastAsia="en-GB"/>
                    </w:rPr>
                    <w:t xml:space="preserve"> [Education Tribunal</w:t>
                  </w:r>
                  <w:r w:rsidR="00F40218">
                    <w:rPr>
                      <w:rFonts w:cs="Arial"/>
                      <w:b/>
                      <w:bCs/>
                      <w:color w:val="000000"/>
                      <w:lang w:eastAsia="en-GB"/>
                    </w:rPr>
                    <w:t xml:space="preserve"> for Wales</w:t>
                  </w:r>
                  <w:r w:rsidR="008C0FD5" w:rsidRPr="00F9634D">
                    <w:rPr>
                      <w:rFonts w:cs="Arial"/>
                      <w:b/>
                      <w:bCs/>
                      <w:color w:val="000000"/>
                      <w:lang w:eastAsia="en-GB"/>
                    </w:rPr>
                    <w:t>]+</w:t>
                  </w:r>
                </w:p>
              </w:tc>
              <w:tc>
                <w:tcPr>
                  <w:tcW w:w="1440" w:type="dxa"/>
                  <w:tcBorders>
                    <w:top w:val="nil"/>
                    <w:left w:val="nil"/>
                    <w:bottom w:val="single" w:sz="4" w:space="0" w:color="auto"/>
                    <w:right w:val="single" w:sz="4" w:space="0" w:color="auto"/>
                  </w:tcBorders>
                  <w:shd w:val="clear" w:color="auto" w:fill="auto"/>
                  <w:noWrap/>
                  <w:vAlign w:val="bottom"/>
                </w:tcPr>
                <w:p w14:paraId="7FB07F4F" w14:textId="4BED063F" w:rsidR="008C0FD5" w:rsidRPr="00F9634D" w:rsidRDefault="008C0FD5" w:rsidP="0097144F">
                  <w:pPr>
                    <w:jc w:val="center"/>
                    <w:rPr>
                      <w:rFonts w:cs="Arial"/>
                      <w:color w:val="000000"/>
                      <w:sz w:val="22"/>
                      <w:szCs w:val="22"/>
                      <w:lang w:eastAsia="en-GB"/>
                    </w:rPr>
                  </w:pPr>
                </w:p>
              </w:tc>
              <w:tc>
                <w:tcPr>
                  <w:tcW w:w="1562" w:type="dxa"/>
                  <w:tcBorders>
                    <w:top w:val="nil"/>
                    <w:left w:val="nil"/>
                    <w:bottom w:val="single" w:sz="4" w:space="0" w:color="auto"/>
                    <w:right w:val="single" w:sz="4" w:space="0" w:color="auto"/>
                  </w:tcBorders>
                  <w:shd w:val="clear" w:color="auto" w:fill="auto"/>
                  <w:noWrap/>
                  <w:vAlign w:val="bottom"/>
                </w:tcPr>
                <w:p w14:paraId="3110E705" w14:textId="5F1576DA" w:rsidR="008C0FD5" w:rsidRPr="00F9634D" w:rsidRDefault="008C0FD5" w:rsidP="0097144F">
                  <w:pPr>
                    <w:jc w:val="center"/>
                    <w:rPr>
                      <w:rFonts w:cs="Arial"/>
                      <w:color w:val="000000"/>
                      <w:sz w:val="22"/>
                      <w:szCs w:val="22"/>
                      <w:lang w:eastAsia="en-GB"/>
                    </w:rPr>
                  </w:pPr>
                </w:p>
              </w:tc>
              <w:tc>
                <w:tcPr>
                  <w:tcW w:w="1440" w:type="dxa"/>
                  <w:tcBorders>
                    <w:top w:val="nil"/>
                    <w:left w:val="nil"/>
                    <w:bottom w:val="single" w:sz="4" w:space="0" w:color="auto"/>
                    <w:right w:val="single" w:sz="4" w:space="0" w:color="auto"/>
                  </w:tcBorders>
                  <w:shd w:val="clear" w:color="auto" w:fill="auto"/>
                  <w:noWrap/>
                  <w:vAlign w:val="bottom"/>
                  <w:hideMark/>
                </w:tcPr>
                <w:p w14:paraId="707B8541" w14:textId="557D6C79" w:rsidR="008C0FD5" w:rsidRPr="00F9634D" w:rsidRDefault="008C0FD5" w:rsidP="0097144F">
                  <w:pPr>
                    <w:jc w:val="center"/>
                    <w:rPr>
                      <w:rFonts w:cs="Arial"/>
                      <w:color w:val="000000"/>
                      <w:sz w:val="22"/>
                      <w:szCs w:val="22"/>
                      <w:lang w:eastAsia="en-GB"/>
                    </w:rPr>
                  </w:pP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4DB3F1AB" w14:textId="77777777" w:rsidR="008C0FD5" w:rsidRPr="00F9634D" w:rsidRDefault="008C0FD5" w:rsidP="008C0FD5">
                  <w:pPr>
                    <w:rPr>
                      <w:rFonts w:cs="Arial"/>
                      <w:b/>
                      <w:bCs/>
                      <w:color w:val="000000"/>
                      <w:lang w:eastAsia="en-GB"/>
                    </w:rPr>
                  </w:pPr>
                  <w:r w:rsidRPr="00F9634D">
                    <w:rPr>
                      <w:rFonts w:cs="Arial"/>
                      <w:b/>
                      <w:bCs/>
                      <w:color w:val="000000"/>
                      <w:lang w:eastAsia="en-GB"/>
                    </w:rPr>
                    <w:t> </w:t>
                  </w:r>
                </w:p>
              </w:tc>
            </w:tr>
            <w:tr w:rsidR="008C0FD5" w:rsidRPr="007C0D7C" w14:paraId="131FA0C6"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591A543E"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Judicial lead</w:t>
                  </w:r>
                </w:p>
              </w:tc>
              <w:tc>
                <w:tcPr>
                  <w:tcW w:w="1440" w:type="dxa"/>
                  <w:tcBorders>
                    <w:top w:val="nil"/>
                    <w:left w:val="nil"/>
                    <w:bottom w:val="single" w:sz="4" w:space="0" w:color="auto"/>
                    <w:right w:val="single" w:sz="4" w:space="0" w:color="auto"/>
                  </w:tcBorders>
                  <w:shd w:val="clear" w:color="auto" w:fill="auto"/>
                  <w:noWrap/>
                  <w:vAlign w:val="bottom"/>
                </w:tcPr>
                <w:p w14:paraId="621EC296" w14:textId="6FC6C7FE"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£689</w:t>
                  </w:r>
                </w:p>
              </w:tc>
              <w:tc>
                <w:tcPr>
                  <w:tcW w:w="1562" w:type="dxa"/>
                  <w:tcBorders>
                    <w:top w:val="nil"/>
                    <w:left w:val="nil"/>
                    <w:bottom w:val="single" w:sz="4" w:space="0" w:color="auto"/>
                    <w:right w:val="single" w:sz="4" w:space="0" w:color="auto"/>
                  </w:tcBorders>
                  <w:shd w:val="clear" w:color="auto" w:fill="auto"/>
                  <w:noWrap/>
                  <w:vAlign w:val="bottom"/>
                </w:tcPr>
                <w:p w14:paraId="511BDC31" w14:textId="37F359FA"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£703</w:t>
                  </w:r>
                </w:p>
              </w:tc>
              <w:tc>
                <w:tcPr>
                  <w:tcW w:w="1440" w:type="dxa"/>
                  <w:tcBorders>
                    <w:top w:val="nil"/>
                    <w:left w:val="nil"/>
                    <w:bottom w:val="single" w:sz="4" w:space="0" w:color="auto"/>
                    <w:right w:val="single" w:sz="4" w:space="0" w:color="auto"/>
                  </w:tcBorders>
                  <w:shd w:val="clear" w:color="auto" w:fill="auto"/>
                  <w:noWrap/>
                  <w:vAlign w:val="bottom"/>
                  <w:hideMark/>
                </w:tcPr>
                <w:p w14:paraId="34DB2CA0" w14:textId="0734F984"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£703</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574BD462" w14:textId="0DCFABA8" w:rsidR="008C0FD5" w:rsidRPr="00F9634D" w:rsidRDefault="008C0FD5" w:rsidP="008C0FD5">
                  <w:pPr>
                    <w:jc w:val="right"/>
                    <w:rPr>
                      <w:rFonts w:cs="Arial"/>
                      <w:b/>
                      <w:bCs/>
                      <w:color w:val="000000"/>
                      <w:lang w:eastAsia="en-GB"/>
                    </w:rPr>
                  </w:pPr>
                  <w:r w:rsidRPr="00F9634D">
                    <w:rPr>
                      <w:rFonts w:cs="Arial"/>
                      <w:b/>
                      <w:bCs/>
                      <w:color w:val="000000"/>
                      <w:lang w:eastAsia="en-GB"/>
                    </w:rPr>
                    <w:t>£6</w:t>
                  </w:r>
                  <w:r>
                    <w:rPr>
                      <w:rFonts w:cs="Arial"/>
                      <w:b/>
                      <w:bCs/>
                      <w:color w:val="000000"/>
                      <w:lang w:eastAsia="en-GB"/>
                    </w:rPr>
                    <w:t>98</w:t>
                  </w:r>
                </w:p>
              </w:tc>
            </w:tr>
            <w:tr w:rsidR="008C0FD5" w:rsidRPr="007C0D7C" w14:paraId="3F725022"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3F67985B"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Legal Chair</w:t>
                  </w:r>
                </w:p>
              </w:tc>
              <w:tc>
                <w:tcPr>
                  <w:tcW w:w="1440" w:type="dxa"/>
                  <w:tcBorders>
                    <w:top w:val="nil"/>
                    <w:left w:val="nil"/>
                    <w:bottom w:val="single" w:sz="4" w:space="0" w:color="auto"/>
                    <w:right w:val="single" w:sz="4" w:space="0" w:color="auto"/>
                  </w:tcBorders>
                  <w:shd w:val="clear" w:color="auto" w:fill="auto"/>
                  <w:noWrap/>
                  <w:vAlign w:val="bottom"/>
                </w:tcPr>
                <w:p w14:paraId="044CBF64" w14:textId="72F90BB8"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£498</w:t>
                  </w:r>
                </w:p>
              </w:tc>
              <w:tc>
                <w:tcPr>
                  <w:tcW w:w="1562" w:type="dxa"/>
                  <w:tcBorders>
                    <w:top w:val="nil"/>
                    <w:left w:val="nil"/>
                    <w:bottom w:val="single" w:sz="4" w:space="0" w:color="auto"/>
                    <w:right w:val="single" w:sz="4" w:space="0" w:color="auto"/>
                  </w:tcBorders>
                  <w:shd w:val="clear" w:color="auto" w:fill="auto"/>
                  <w:noWrap/>
                  <w:vAlign w:val="bottom"/>
                </w:tcPr>
                <w:p w14:paraId="0F571B20" w14:textId="57437AD1"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£508</w:t>
                  </w:r>
                </w:p>
              </w:tc>
              <w:tc>
                <w:tcPr>
                  <w:tcW w:w="1440" w:type="dxa"/>
                  <w:tcBorders>
                    <w:top w:val="nil"/>
                    <w:left w:val="nil"/>
                    <w:bottom w:val="single" w:sz="4" w:space="0" w:color="auto"/>
                    <w:right w:val="single" w:sz="4" w:space="0" w:color="auto"/>
                  </w:tcBorders>
                  <w:shd w:val="clear" w:color="auto" w:fill="auto"/>
                  <w:noWrap/>
                  <w:vAlign w:val="bottom"/>
                  <w:hideMark/>
                </w:tcPr>
                <w:p w14:paraId="1BB84C28" w14:textId="14108FF7"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£508</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084E507C" w14:textId="52CB9032" w:rsidR="008C0FD5" w:rsidRPr="00F9634D" w:rsidRDefault="008C0FD5" w:rsidP="008C0FD5">
                  <w:pPr>
                    <w:jc w:val="right"/>
                    <w:rPr>
                      <w:rFonts w:cs="Arial"/>
                      <w:b/>
                      <w:bCs/>
                      <w:color w:val="000000"/>
                      <w:lang w:eastAsia="en-GB"/>
                    </w:rPr>
                  </w:pPr>
                  <w:r w:rsidRPr="00F9634D">
                    <w:rPr>
                      <w:rFonts w:cs="Arial"/>
                      <w:b/>
                      <w:bCs/>
                      <w:color w:val="000000"/>
                      <w:lang w:eastAsia="en-GB"/>
                    </w:rPr>
                    <w:t>£</w:t>
                  </w:r>
                  <w:r>
                    <w:rPr>
                      <w:rFonts w:cs="Arial"/>
                      <w:b/>
                      <w:bCs/>
                      <w:color w:val="000000"/>
                      <w:lang w:eastAsia="en-GB"/>
                    </w:rPr>
                    <w:t>505</w:t>
                  </w:r>
                </w:p>
              </w:tc>
            </w:tr>
            <w:tr w:rsidR="008C0FD5" w:rsidRPr="007C0D7C" w14:paraId="32747C2F"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1F78ECD7"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Lay</w:t>
                  </w:r>
                </w:p>
              </w:tc>
              <w:tc>
                <w:tcPr>
                  <w:tcW w:w="1440" w:type="dxa"/>
                  <w:tcBorders>
                    <w:top w:val="nil"/>
                    <w:left w:val="nil"/>
                    <w:bottom w:val="single" w:sz="4" w:space="0" w:color="auto"/>
                    <w:right w:val="single" w:sz="4" w:space="0" w:color="auto"/>
                  </w:tcBorders>
                  <w:shd w:val="clear" w:color="auto" w:fill="auto"/>
                  <w:noWrap/>
                  <w:vAlign w:val="bottom"/>
                </w:tcPr>
                <w:p w14:paraId="7D22A854" w14:textId="6667BA0F"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£260</w:t>
                  </w:r>
                </w:p>
              </w:tc>
              <w:tc>
                <w:tcPr>
                  <w:tcW w:w="1562" w:type="dxa"/>
                  <w:tcBorders>
                    <w:top w:val="nil"/>
                    <w:left w:val="nil"/>
                    <w:bottom w:val="single" w:sz="4" w:space="0" w:color="auto"/>
                    <w:right w:val="single" w:sz="4" w:space="0" w:color="auto"/>
                  </w:tcBorders>
                  <w:shd w:val="clear" w:color="auto" w:fill="auto"/>
                  <w:noWrap/>
                  <w:vAlign w:val="bottom"/>
                </w:tcPr>
                <w:p w14:paraId="35A08F82" w14:textId="3459C0DE"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£265</w:t>
                  </w:r>
                </w:p>
              </w:tc>
              <w:tc>
                <w:tcPr>
                  <w:tcW w:w="1440" w:type="dxa"/>
                  <w:tcBorders>
                    <w:top w:val="nil"/>
                    <w:left w:val="nil"/>
                    <w:bottom w:val="single" w:sz="4" w:space="0" w:color="auto"/>
                    <w:right w:val="single" w:sz="4" w:space="0" w:color="auto"/>
                  </w:tcBorders>
                  <w:shd w:val="clear" w:color="auto" w:fill="auto"/>
                  <w:noWrap/>
                  <w:vAlign w:val="bottom"/>
                  <w:hideMark/>
                </w:tcPr>
                <w:p w14:paraId="6BAE44C4" w14:textId="49EFE9A8"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£265</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17910B8A" w14:textId="7248E24E" w:rsidR="008C0FD5" w:rsidRPr="00F9634D" w:rsidRDefault="008C0FD5" w:rsidP="008C0FD5">
                  <w:pPr>
                    <w:jc w:val="right"/>
                    <w:rPr>
                      <w:rFonts w:cs="Arial"/>
                      <w:b/>
                      <w:bCs/>
                      <w:color w:val="000000"/>
                      <w:lang w:eastAsia="en-GB"/>
                    </w:rPr>
                  </w:pPr>
                  <w:r w:rsidRPr="00F9634D">
                    <w:rPr>
                      <w:rFonts w:cs="Arial"/>
                      <w:b/>
                      <w:bCs/>
                      <w:color w:val="000000"/>
                      <w:lang w:eastAsia="en-GB"/>
                    </w:rPr>
                    <w:t>£26</w:t>
                  </w:r>
                  <w:r>
                    <w:rPr>
                      <w:rFonts w:cs="Arial"/>
                      <w:b/>
                      <w:bCs/>
                      <w:color w:val="000000"/>
                      <w:lang w:eastAsia="en-GB"/>
                    </w:rPr>
                    <w:t>3</w:t>
                  </w:r>
                </w:p>
              </w:tc>
            </w:tr>
            <w:tr w:rsidR="008C0FD5" w:rsidRPr="007C0D7C" w14:paraId="16925032" w14:textId="77777777" w:rsidTr="0097144F">
              <w:trPr>
                <w:trHeight w:val="630"/>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39CCE2C1" w14:textId="77777777" w:rsidR="008C0FD5" w:rsidRPr="00F9634D" w:rsidRDefault="008C0FD5" w:rsidP="008C0FD5">
                  <w:pPr>
                    <w:rPr>
                      <w:rFonts w:cs="Arial"/>
                      <w:b/>
                      <w:bCs/>
                      <w:color w:val="000000"/>
                      <w:lang w:eastAsia="en-GB"/>
                    </w:rPr>
                  </w:pPr>
                  <w:r w:rsidRPr="00F9634D">
                    <w:rPr>
                      <w:rFonts w:cs="Arial"/>
                      <w:b/>
                      <w:bCs/>
                      <w:color w:val="000000"/>
                      <w:lang w:eastAsia="en-GB"/>
                    </w:rPr>
                    <w:t>APW [Adjudication Panel for Wales]</w:t>
                  </w:r>
                </w:p>
              </w:tc>
              <w:tc>
                <w:tcPr>
                  <w:tcW w:w="1440" w:type="dxa"/>
                  <w:tcBorders>
                    <w:top w:val="nil"/>
                    <w:left w:val="nil"/>
                    <w:bottom w:val="single" w:sz="4" w:space="0" w:color="auto"/>
                    <w:right w:val="single" w:sz="4" w:space="0" w:color="auto"/>
                  </w:tcBorders>
                  <w:shd w:val="clear" w:color="auto" w:fill="auto"/>
                  <w:noWrap/>
                  <w:vAlign w:val="bottom"/>
                </w:tcPr>
                <w:p w14:paraId="0423CB20" w14:textId="47B751A5" w:rsidR="008C0FD5" w:rsidRPr="00F9634D" w:rsidRDefault="008C0FD5" w:rsidP="0097144F">
                  <w:pPr>
                    <w:jc w:val="center"/>
                    <w:rPr>
                      <w:rFonts w:cs="Arial"/>
                      <w:color w:val="000000"/>
                      <w:sz w:val="22"/>
                      <w:szCs w:val="22"/>
                      <w:lang w:eastAsia="en-GB"/>
                    </w:rPr>
                  </w:pPr>
                </w:p>
              </w:tc>
              <w:tc>
                <w:tcPr>
                  <w:tcW w:w="1562" w:type="dxa"/>
                  <w:tcBorders>
                    <w:top w:val="nil"/>
                    <w:left w:val="nil"/>
                    <w:bottom w:val="single" w:sz="4" w:space="0" w:color="auto"/>
                    <w:right w:val="single" w:sz="4" w:space="0" w:color="auto"/>
                  </w:tcBorders>
                  <w:shd w:val="clear" w:color="auto" w:fill="auto"/>
                  <w:noWrap/>
                  <w:vAlign w:val="bottom"/>
                </w:tcPr>
                <w:p w14:paraId="6C344943" w14:textId="5EC4122A" w:rsidR="008C0FD5" w:rsidRPr="00F9634D" w:rsidRDefault="008C0FD5" w:rsidP="0097144F">
                  <w:pPr>
                    <w:jc w:val="center"/>
                    <w:rPr>
                      <w:rFonts w:cs="Arial"/>
                      <w:color w:val="000000"/>
                      <w:sz w:val="22"/>
                      <w:szCs w:val="22"/>
                      <w:lang w:eastAsia="en-GB"/>
                    </w:rPr>
                  </w:pPr>
                </w:p>
              </w:tc>
              <w:tc>
                <w:tcPr>
                  <w:tcW w:w="1440" w:type="dxa"/>
                  <w:tcBorders>
                    <w:top w:val="nil"/>
                    <w:left w:val="nil"/>
                    <w:bottom w:val="single" w:sz="4" w:space="0" w:color="auto"/>
                    <w:right w:val="single" w:sz="4" w:space="0" w:color="auto"/>
                  </w:tcBorders>
                  <w:shd w:val="clear" w:color="auto" w:fill="auto"/>
                  <w:noWrap/>
                  <w:vAlign w:val="bottom"/>
                  <w:hideMark/>
                </w:tcPr>
                <w:p w14:paraId="2CEB89D9" w14:textId="22F9AC54" w:rsidR="008C0FD5" w:rsidRPr="00F9634D" w:rsidRDefault="008C0FD5" w:rsidP="0097144F">
                  <w:pPr>
                    <w:jc w:val="center"/>
                    <w:rPr>
                      <w:rFonts w:cs="Arial"/>
                      <w:color w:val="000000"/>
                      <w:sz w:val="22"/>
                      <w:szCs w:val="22"/>
                      <w:lang w:eastAsia="en-GB"/>
                    </w:rPr>
                  </w:pP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63142312" w14:textId="77777777" w:rsidR="008C0FD5" w:rsidRPr="00F9634D" w:rsidRDefault="008C0FD5" w:rsidP="008C0FD5">
                  <w:pPr>
                    <w:rPr>
                      <w:rFonts w:cs="Arial"/>
                      <w:b/>
                      <w:bCs/>
                      <w:color w:val="000000"/>
                      <w:lang w:eastAsia="en-GB"/>
                    </w:rPr>
                  </w:pPr>
                  <w:r w:rsidRPr="00F9634D">
                    <w:rPr>
                      <w:rFonts w:cs="Arial"/>
                      <w:b/>
                      <w:bCs/>
                      <w:color w:val="000000"/>
                      <w:lang w:eastAsia="en-GB"/>
                    </w:rPr>
                    <w:t> </w:t>
                  </w:r>
                </w:p>
              </w:tc>
            </w:tr>
            <w:tr w:rsidR="008C0FD5" w:rsidRPr="007C0D7C" w14:paraId="3B1BC722"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061B3BCD"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Judicial lead</w:t>
                  </w:r>
                </w:p>
              </w:tc>
              <w:tc>
                <w:tcPr>
                  <w:tcW w:w="1440" w:type="dxa"/>
                  <w:tcBorders>
                    <w:top w:val="nil"/>
                    <w:left w:val="nil"/>
                    <w:bottom w:val="single" w:sz="4" w:space="0" w:color="auto"/>
                    <w:right w:val="single" w:sz="4" w:space="0" w:color="auto"/>
                  </w:tcBorders>
                  <w:shd w:val="clear" w:color="auto" w:fill="auto"/>
                  <w:noWrap/>
                  <w:vAlign w:val="bottom"/>
                </w:tcPr>
                <w:p w14:paraId="5DD1CC56" w14:textId="711ECC7C"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£514</w:t>
                  </w:r>
                </w:p>
              </w:tc>
              <w:tc>
                <w:tcPr>
                  <w:tcW w:w="1562" w:type="dxa"/>
                  <w:tcBorders>
                    <w:top w:val="nil"/>
                    <w:left w:val="nil"/>
                    <w:bottom w:val="single" w:sz="4" w:space="0" w:color="auto"/>
                    <w:right w:val="single" w:sz="4" w:space="0" w:color="auto"/>
                  </w:tcBorders>
                  <w:shd w:val="clear" w:color="auto" w:fill="auto"/>
                  <w:noWrap/>
                  <w:vAlign w:val="bottom"/>
                </w:tcPr>
                <w:p w14:paraId="5498E72B" w14:textId="45979E84"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£561</w:t>
                  </w:r>
                </w:p>
              </w:tc>
              <w:tc>
                <w:tcPr>
                  <w:tcW w:w="1440" w:type="dxa"/>
                  <w:tcBorders>
                    <w:top w:val="nil"/>
                    <w:left w:val="nil"/>
                    <w:bottom w:val="single" w:sz="4" w:space="0" w:color="auto"/>
                    <w:right w:val="single" w:sz="4" w:space="0" w:color="auto"/>
                  </w:tcBorders>
                  <w:shd w:val="clear" w:color="auto" w:fill="auto"/>
                  <w:noWrap/>
                  <w:vAlign w:val="bottom"/>
                  <w:hideMark/>
                </w:tcPr>
                <w:p w14:paraId="08E933FE" w14:textId="2012B7C8"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£561</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757C42CE" w14:textId="64A91654" w:rsidR="008C0FD5" w:rsidRPr="00F9634D" w:rsidRDefault="008C0FD5" w:rsidP="008C0FD5">
                  <w:pPr>
                    <w:jc w:val="right"/>
                    <w:rPr>
                      <w:rFonts w:cs="Arial"/>
                      <w:b/>
                      <w:bCs/>
                      <w:color w:val="000000"/>
                      <w:lang w:eastAsia="en-GB"/>
                    </w:rPr>
                  </w:pPr>
                  <w:r w:rsidRPr="00F9634D">
                    <w:rPr>
                      <w:rFonts w:cs="Arial"/>
                      <w:b/>
                      <w:bCs/>
                      <w:color w:val="000000"/>
                      <w:lang w:eastAsia="en-GB"/>
                    </w:rPr>
                    <w:t>£5</w:t>
                  </w:r>
                  <w:r>
                    <w:rPr>
                      <w:rFonts w:cs="Arial"/>
                      <w:b/>
                      <w:bCs/>
                      <w:color w:val="000000"/>
                      <w:lang w:eastAsia="en-GB"/>
                    </w:rPr>
                    <w:t>45</w:t>
                  </w:r>
                </w:p>
              </w:tc>
            </w:tr>
            <w:tr w:rsidR="008C0FD5" w:rsidRPr="007C0D7C" w14:paraId="51FC5F32"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33B32537"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Legal Chair/Member</w:t>
                  </w:r>
                </w:p>
              </w:tc>
              <w:tc>
                <w:tcPr>
                  <w:tcW w:w="1440" w:type="dxa"/>
                  <w:tcBorders>
                    <w:top w:val="nil"/>
                    <w:left w:val="nil"/>
                    <w:bottom w:val="single" w:sz="4" w:space="0" w:color="auto"/>
                    <w:right w:val="single" w:sz="4" w:space="0" w:color="auto"/>
                  </w:tcBorders>
                  <w:shd w:val="clear" w:color="auto" w:fill="auto"/>
                  <w:noWrap/>
                  <w:vAlign w:val="bottom"/>
                </w:tcPr>
                <w:p w14:paraId="7AA77BDB" w14:textId="45CA6F54"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£430</w:t>
                  </w:r>
                </w:p>
              </w:tc>
              <w:tc>
                <w:tcPr>
                  <w:tcW w:w="1562" w:type="dxa"/>
                  <w:tcBorders>
                    <w:top w:val="nil"/>
                    <w:left w:val="nil"/>
                    <w:bottom w:val="single" w:sz="4" w:space="0" w:color="auto"/>
                    <w:right w:val="single" w:sz="4" w:space="0" w:color="auto"/>
                  </w:tcBorders>
                  <w:shd w:val="clear" w:color="auto" w:fill="auto"/>
                  <w:noWrap/>
                  <w:vAlign w:val="bottom"/>
                </w:tcPr>
                <w:p w14:paraId="06476857" w14:textId="021DC90E"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£459</w:t>
                  </w:r>
                </w:p>
              </w:tc>
              <w:tc>
                <w:tcPr>
                  <w:tcW w:w="1440" w:type="dxa"/>
                  <w:tcBorders>
                    <w:top w:val="nil"/>
                    <w:left w:val="nil"/>
                    <w:bottom w:val="single" w:sz="4" w:space="0" w:color="auto"/>
                    <w:right w:val="single" w:sz="4" w:space="0" w:color="auto"/>
                  </w:tcBorders>
                  <w:shd w:val="clear" w:color="auto" w:fill="auto"/>
                  <w:noWrap/>
                  <w:vAlign w:val="bottom"/>
                  <w:hideMark/>
                </w:tcPr>
                <w:p w14:paraId="7C7A74BE" w14:textId="3D1CB571"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£459</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00DDA47F" w14:textId="4BB6C1E7" w:rsidR="008C0FD5" w:rsidRPr="00F9634D" w:rsidRDefault="008C0FD5" w:rsidP="008C0FD5">
                  <w:pPr>
                    <w:jc w:val="right"/>
                    <w:rPr>
                      <w:rFonts w:cs="Arial"/>
                      <w:b/>
                      <w:bCs/>
                      <w:color w:val="000000"/>
                      <w:lang w:eastAsia="en-GB"/>
                    </w:rPr>
                  </w:pPr>
                  <w:r w:rsidRPr="00F9634D">
                    <w:rPr>
                      <w:rFonts w:cs="Arial"/>
                      <w:b/>
                      <w:bCs/>
                      <w:color w:val="000000"/>
                      <w:lang w:eastAsia="en-GB"/>
                    </w:rPr>
                    <w:t>£4</w:t>
                  </w:r>
                  <w:r>
                    <w:rPr>
                      <w:rFonts w:cs="Arial"/>
                      <w:b/>
                      <w:bCs/>
                      <w:color w:val="000000"/>
                      <w:lang w:eastAsia="en-GB"/>
                    </w:rPr>
                    <w:t>49</w:t>
                  </w:r>
                </w:p>
              </w:tc>
            </w:tr>
            <w:tr w:rsidR="008C0FD5" w:rsidRPr="007C0D7C" w14:paraId="1DB4362A"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59DCF0CF"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Lay</w:t>
                  </w:r>
                </w:p>
              </w:tc>
              <w:tc>
                <w:tcPr>
                  <w:tcW w:w="1440" w:type="dxa"/>
                  <w:tcBorders>
                    <w:top w:val="nil"/>
                    <w:left w:val="nil"/>
                    <w:bottom w:val="single" w:sz="4" w:space="0" w:color="auto"/>
                    <w:right w:val="single" w:sz="4" w:space="0" w:color="auto"/>
                  </w:tcBorders>
                  <w:shd w:val="clear" w:color="auto" w:fill="auto"/>
                  <w:noWrap/>
                  <w:vAlign w:val="bottom"/>
                </w:tcPr>
                <w:p w14:paraId="0C0F0CDE" w14:textId="3D398E04"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£263</w:t>
                  </w:r>
                </w:p>
              </w:tc>
              <w:tc>
                <w:tcPr>
                  <w:tcW w:w="1562" w:type="dxa"/>
                  <w:tcBorders>
                    <w:top w:val="nil"/>
                    <w:left w:val="nil"/>
                    <w:bottom w:val="single" w:sz="4" w:space="0" w:color="auto"/>
                    <w:right w:val="single" w:sz="4" w:space="0" w:color="auto"/>
                  </w:tcBorders>
                  <w:shd w:val="clear" w:color="auto" w:fill="auto"/>
                  <w:noWrap/>
                  <w:vAlign w:val="bottom"/>
                </w:tcPr>
                <w:p w14:paraId="386D680E" w14:textId="640A0ACA"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£268</w:t>
                  </w:r>
                </w:p>
              </w:tc>
              <w:tc>
                <w:tcPr>
                  <w:tcW w:w="1440" w:type="dxa"/>
                  <w:tcBorders>
                    <w:top w:val="nil"/>
                    <w:left w:val="nil"/>
                    <w:bottom w:val="single" w:sz="4" w:space="0" w:color="auto"/>
                    <w:right w:val="single" w:sz="4" w:space="0" w:color="auto"/>
                  </w:tcBorders>
                  <w:shd w:val="clear" w:color="auto" w:fill="auto"/>
                  <w:noWrap/>
                  <w:vAlign w:val="bottom"/>
                  <w:hideMark/>
                </w:tcPr>
                <w:p w14:paraId="583DBEE5" w14:textId="74C1F583"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£268</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53D140EA" w14:textId="704CD154" w:rsidR="008C0FD5" w:rsidRPr="00F9634D" w:rsidRDefault="008C0FD5" w:rsidP="008C0FD5">
                  <w:pPr>
                    <w:jc w:val="right"/>
                    <w:rPr>
                      <w:rFonts w:cs="Arial"/>
                      <w:b/>
                      <w:bCs/>
                      <w:color w:val="000000"/>
                      <w:lang w:eastAsia="en-GB"/>
                    </w:rPr>
                  </w:pPr>
                  <w:r w:rsidRPr="00F9634D">
                    <w:rPr>
                      <w:rFonts w:cs="Arial"/>
                      <w:b/>
                      <w:bCs/>
                      <w:color w:val="000000"/>
                      <w:lang w:eastAsia="en-GB"/>
                    </w:rPr>
                    <w:t>£26</w:t>
                  </w:r>
                  <w:r>
                    <w:rPr>
                      <w:rFonts w:cs="Arial"/>
                      <w:b/>
                      <w:bCs/>
                      <w:color w:val="000000"/>
                      <w:lang w:eastAsia="en-GB"/>
                    </w:rPr>
                    <w:t>6</w:t>
                  </w:r>
                </w:p>
              </w:tc>
            </w:tr>
            <w:tr w:rsidR="008C0FD5" w:rsidRPr="007C0D7C" w14:paraId="2B7C48A7" w14:textId="77777777" w:rsidTr="0097144F">
              <w:trPr>
                <w:trHeight w:val="630"/>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258EA4FA" w14:textId="77777777" w:rsidR="008C0FD5" w:rsidRPr="00F9634D" w:rsidRDefault="008C0FD5" w:rsidP="008C0FD5">
                  <w:pPr>
                    <w:rPr>
                      <w:rFonts w:cs="Arial"/>
                      <w:b/>
                      <w:bCs/>
                      <w:color w:val="000000"/>
                      <w:lang w:eastAsia="en-GB"/>
                    </w:rPr>
                  </w:pPr>
                  <w:r w:rsidRPr="00F9634D">
                    <w:rPr>
                      <w:rFonts w:cs="Arial"/>
                      <w:b/>
                      <w:bCs/>
                      <w:color w:val="000000"/>
                      <w:lang w:eastAsia="en-GB"/>
                    </w:rPr>
                    <w:t>WLT [Welsh Language Tribunal]</w:t>
                  </w:r>
                </w:p>
              </w:tc>
              <w:tc>
                <w:tcPr>
                  <w:tcW w:w="1440" w:type="dxa"/>
                  <w:tcBorders>
                    <w:top w:val="nil"/>
                    <w:left w:val="nil"/>
                    <w:bottom w:val="single" w:sz="4" w:space="0" w:color="auto"/>
                    <w:right w:val="single" w:sz="4" w:space="0" w:color="auto"/>
                  </w:tcBorders>
                  <w:shd w:val="clear" w:color="auto" w:fill="auto"/>
                  <w:noWrap/>
                  <w:vAlign w:val="bottom"/>
                </w:tcPr>
                <w:p w14:paraId="6C5BDBBE" w14:textId="5F54C88A" w:rsidR="008C0FD5" w:rsidRPr="00F9634D" w:rsidRDefault="008C0FD5" w:rsidP="0097144F">
                  <w:pPr>
                    <w:jc w:val="center"/>
                    <w:rPr>
                      <w:rFonts w:cs="Arial"/>
                      <w:color w:val="000000"/>
                      <w:sz w:val="22"/>
                      <w:szCs w:val="22"/>
                      <w:lang w:eastAsia="en-GB"/>
                    </w:rPr>
                  </w:pPr>
                </w:p>
              </w:tc>
              <w:tc>
                <w:tcPr>
                  <w:tcW w:w="1562" w:type="dxa"/>
                  <w:tcBorders>
                    <w:top w:val="nil"/>
                    <w:left w:val="nil"/>
                    <w:bottom w:val="single" w:sz="4" w:space="0" w:color="auto"/>
                    <w:right w:val="single" w:sz="4" w:space="0" w:color="auto"/>
                  </w:tcBorders>
                  <w:shd w:val="clear" w:color="auto" w:fill="auto"/>
                  <w:noWrap/>
                  <w:vAlign w:val="bottom"/>
                </w:tcPr>
                <w:p w14:paraId="1B09E875" w14:textId="529E2E8C" w:rsidR="008C0FD5" w:rsidRPr="00F9634D" w:rsidRDefault="008C0FD5" w:rsidP="0097144F">
                  <w:pPr>
                    <w:jc w:val="center"/>
                    <w:rPr>
                      <w:rFonts w:cs="Arial"/>
                      <w:color w:val="000000"/>
                      <w:sz w:val="22"/>
                      <w:szCs w:val="22"/>
                      <w:lang w:eastAsia="en-GB"/>
                    </w:rPr>
                  </w:pPr>
                </w:p>
              </w:tc>
              <w:tc>
                <w:tcPr>
                  <w:tcW w:w="1440" w:type="dxa"/>
                  <w:tcBorders>
                    <w:top w:val="nil"/>
                    <w:left w:val="nil"/>
                    <w:bottom w:val="single" w:sz="4" w:space="0" w:color="auto"/>
                    <w:right w:val="single" w:sz="4" w:space="0" w:color="auto"/>
                  </w:tcBorders>
                  <w:shd w:val="clear" w:color="auto" w:fill="auto"/>
                  <w:noWrap/>
                  <w:vAlign w:val="bottom"/>
                  <w:hideMark/>
                </w:tcPr>
                <w:p w14:paraId="6627A1A6" w14:textId="196C9797" w:rsidR="008C0FD5" w:rsidRPr="00F9634D" w:rsidRDefault="008C0FD5" w:rsidP="0097144F">
                  <w:pPr>
                    <w:jc w:val="center"/>
                    <w:rPr>
                      <w:rFonts w:cs="Arial"/>
                      <w:color w:val="000000"/>
                      <w:sz w:val="22"/>
                      <w:szCs w:val="22"/>
                      <w:lang w:eastAsia="en-GB"/>
                    </w:rPr>
                  </w:pP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197152A5" w14:textId="77777777" w:rsidR="008C0FD5" w:rsidRPr="00F9634D" w:rsidRDefault="008C0FD5" w:rsidP="008C0FD5">
                  <w:pPr>
                    <w:rPr>
                      <w:rFonts w:cs="Arial"/>
                      <w:b/>
                      <w:bCs/>
                      <w:color w:val="000000"/>
                      <w:lang w:eastAsia="en-GB"/>
                    </w:rPr>
                  </w:pPr>
                  <w:r w:rsidRPr="00F9634D">
                    <w:rPr>
                      <w:rFonts w:cs="Arial"/>
                      <w:b/>
                      <w:bCs/>
                      <w:color w:val="000000"/>
                      <w:lang w:eastAsia="en-GB"/>
                    </w:rPr>
                    <w:t> </w:t>
                  </w:r>
                </w:p>
              </w:tc>
            </w:tr>
            <w:tr w:rsidR="008C0FD5" w:rsidRPr="007C0D7C" w14:paraId="7B370537"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59FBF7CC"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Judicial lead</w:t>
                  </w:r>
                </w:p>
              </w:tc>
              <w:tc>
                <w:tcPr>
                  <w:tcW w:w="1440" w:type="dxa"/>
                  <w:tcBorders>
                    <w:top w:val="nil"/>
                    <w:left w:val="nil"/>
                    <w:bottom w:val="single" w:sz="4" w:space="0" w:color="auto"/>
                    <w:right w:val="single" w:sz="4" w:space="0" w:color="auto"/>
                  </w:tcBorders>
                  <w:shd w:val="clear" w:color="auto" w:fill="auto"/>
                  <w:noWrap/>
                  <w:vAlign w:val="bottom"/>
                </w:tcPr>
                <w:p w14:paraId="325E31BD" w14:textId="4E077D93"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£603</w:t>
                  </w:r>
                </w:p>
              </w:tc>
              <w:tc>
                <w:tcPr>
                  <w:tcW w:w="1562" w:type="dxa"/>
                  <w:tcBorders>
                    <w:top w:val="nil"/>
                    <w:left w:val="nil"/>
                    <w:bottom w:val="single" w:sz="4" w:space="0" w:color="auto"/>
                    <w:right w:val="single" w:sz="4" w:space="0" w:color="auto"/>
                  </w:tcBorders>
                  <w:shd w:val="clear" w:color="auto" w:fill="auto"/>
                  <w:noWrap/>
                  <w:vAlign w:val="bottom"/>
                </w:tcPr>
                <w:p w14:paraId="62A6F753" w14:textId="10694633"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£615</w:t>
                  </w:r>
                </w:p>
              </w:tc>
              <w:tc>
                <w:tcPr>
                  <w:tcW w:w="1440" w:type="dxa"/>
                  <w:tcBorders>
                    <w:top w:val="nil"/>
                    <w:left w:val="nil"/>
                    <w:bottom w:val="single" w:sz="4" w:space="0" w:color="auto"/>
                    <w:right w:val="single" w:sz="4" w:space="0" w:color="auto"/>
                  </w:tcBorders>
                  <w:shd w:val="clear" w:color="auto" w:fill="auto"/>
                  <w:noWrap/>
                  <w:vAlign w:val="bottom"/>
                  <w:hideMark/>
                </w:tcPr>
                <w:p w14:paraId="3A6B18EC" w14:textId="49604B0C"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£615</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39A7F38C" w14:textId="31B6C52E" w:rsidR="008C0FD5" w:rsidRPr="00F9634D" w:rsidRDefault="008C0FD5" w:rsidP="008C0FD5">
                  <w:pPr>
                    <w:jc w:val="right"/>
                    <w:rPr>
                      <w:rFonts w:cs="Arial"/>
                      <w:b/>
                      <w:bCs/>
                      <w:color w:val="000000"/>
                      <w:lang w:eastAsia="en-GB"/>
                    </w:rPr>
                  </w:pPr>
                  <w:r w:rsidRPr="00F9634D">
                    <w:rPr>
                      <w:rFonts w:cs="Arial"/>
                      <w:b/>
                      <w:bCs/>
                      <w:color w:val="000000"/>
                      <w:lang w:eastAsia="en-GB"/>
                    </w:rPr>
                    <w:t>£6</w:t>
                  </w:r>
                  <w:r>
                    <w:rPr>
                      <w:rFonts w:cs="Arial"/>
                      <w:b/>
                      <w:bCs/>
                      <w:color w:val="000000"/>
                      <w:lang w:eastAsia="en-GB"/>
                    </w:rPr>
                    <w:t>11</w:t>
                  </w:r>
                </w:p>
              </w:tc>
            </w:tr>
            <w:tr w:rsidR="008C0FD5" w:rsidRPr="007C0D7C" w14:paraId="53A5AD20" w14:textId="77777777" w:rsidTr="0097144F">
              <w:trPr>
                <w:trHeight w:val="315"/>
              </w:trPr>
              <w:tc>
                <w:tcPr>
                  <w:tcW w:w="4587" w:type="dxa"/>
                  <w:tcBorders>
                    <w:top w:val="nil"/>
                    <w:left w:val="single" w:sz="8" w:space="0" w:color="auto"/>
                    <w:bottom w:val="single" w:sz="4" w:space="0" w:color="auto"/>
                    <w:right w:val="single" w:sz="4" w:space="0" w:color="auto"/>
                  </w:tcBorders>
                  <w:shd w:val="clear" w:color="auto" w:fill="auto"/>
                  <w:vAlign w:val="bottom"/>
                  <w:hideMark/>
                </w:tcPr>
                <w:p w14:paraId="08D01A80"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Legal Chair</w:t>
                  </w:r>
                </w:p>
              </w:tc>
              <w:tc>
                <w:tcPr>
                  <w:tcW w:w="1440" w:type="dxa"/>
                  <w:tcBorders>
                    <w:top w:val="nil"/>
                    <w:left w:val="nil"/>
                    <w:bottom w:val="single" w:sz="4" w:space="0" w:color="auto"/>
                    <w:right w:val="single" w:sz="4" w:space="0" w:color="auto"/>
                  </w:tcBorders>
                  <w:shd w:val="clear" w:color="auto" w:fill="auto"/>
                  <w:noWrap/>
                  <w:vAlign w:val="bottom"/>
                </w:tcPr>
                <w:p w14:paraId="32955C5E" w14:textId="4BB74775"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£513</w:t>
                  </w:r>
                </w:p>
              </w:tc>
              <w:tc>
                <w:tcPr>
                  <w:tcW w:w="1562" w:type="dxa"/>
                  <w:tcBorders>
                    <w:top w:val="nil"/>
                    <w:left w:val="nil"/>
                    <w:bottom w:val="single" w:sz="4" w:space="0" w:color="auto"/>
                    <w:right w:val="single" w:sz="4" w:space="0" w:color="auto"/>
                  </w:tcBorders>
                  <w:shd w:val="clear" w:color="auto" w:fill="auto"/>
                  <w:noWrap/>
                  <w:vAlign w:val="bottom"/>
                </w:tcPr>
                <w:p w14:paraId="27056102" w14:textId="513D33DC"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£523</w:t>
                  </w:r>
                </w:p>
              </w:tc>
              <w:tc>
                <w:tcPr>
                  <w:tcW w:w="1440" w:type="dxa"/>
                  <w:tcBorders>
                    <w:top w:val="nil"/>
                    <w:left w:val="nil"/>
                    <w:bottom w:val="single" w:sz="4" w:space="0" w:color="auto"/>
                    <w:right w:val="single" w:sz="4" w:space="0" w:color="auto"/>
                  </w:tcBorders>
                  <w:shd w:val="clear" w:color="auto" w:fill="auto"/>
                  <w:noWrap/>
                  <w:vAlign w:val="bottom"/>
                  <w:hideMark/>
                </w:tcPr>
                <w:p w14:paraId="146761EC" w14:textId="368F6B70"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£523</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5D244631" w14:textId="33FB6F64" w:rsidR="008C0FD5" w:rsidRPr="00F9634D" w:rsidRDefault="008C0FD5" w:rsidP="008C0FD5">
                  <w:pPr>
                    <w:jc w:val="right"/>
                    <w:rPr>
                      <w:rFonts w:cs="Arial"/>
                      <w:b/>
                      <w:bCs/>
                      <w:color w:val="000000"/>
                      <w:lang w:eastAsia="en-GB"/>
                    </w:rPr>
                  </w:pPr>
                  <w:r w:rsidRPr="00F9634D">
                    <w:rPr>
                      <w:rFonts w:cs="Arial"/>
                      <w:b/>
                      <w:bCs/>
                      <w:color w:val="000000"/>
                      <w:lang w:eastAsia="en-GB"/>
                    </w:rPr>
                    <w:t>£5</w:t>
                  </w:r>
                  <w:r>
                    <w:rPr>
                      <w:rFonts w:cs="Arial"/>
                      <w:b/>
                      <w:bCs/>
                      <w:color w:val="000000"/>
                      <w:lang w:eastAsia="en-GB"/>
                    </w:rPr>
                    <w:t>20</w:t>
                  </w:r>
                </w:p>
              </w:tc>
            </w:tr>
            <w:tr w:rsidR="008C0FD5" w:rsidRPr="007C0D7C" w14:paraId="1382DAF0" w14:textId="77777777" w:rsidTr="0097144F">
              <w:trPr>
                <w:trHeight w:val="330"/>
              </w:trPr>
              <w:tc>
                <w:tcPr>
                  <w:tcW w:w="4587" w:type="dxa"/>
                  <w:tcBorders>
                    <w:top w:val="nil"/>
                    <w:left w:val="single" w:sz="8" w:space="0" w:color="auto"/>
                    <w:bottom w:val="single" w:sz="8" w:space="0" w:color="auto"/>
                    <w:right w:val="single" w:sz="4" w:space="0" w:color="auto"/>
                  </w:tcBorders>
                  <w:shd w:val="clear" w:color="auto" w:fill="auto"/>
                  <w:vAlign w:val="bottom"/>
                  <w:hideMark/>
                </w:tcPr>
                <w:p w14:paraId="15EF90F9" w14:textId="77777777" w:rsidR="008C0FD5" w:rsidRPr="00F9634D" w:rsidRDefault="008C0FD5" w:rsidP="008C0FD5">
                  <w:pPr>
                    <w:rPr>
                      <w:rFonts w:cs="Arial"/>
                      <w:color w:val="000000"/>
                      <w:sz w:val="22"/>
                      <w:szCs w:val="22"/>
                      <w:lang w:eastAsia="en-GB"/>
                    </w:rPr>
                  </w:pPr>
                  <w:r w:rsidRPr="00F9634D">
                    <w:rPr>
                      <w:rFonts w:cs="Arial"/>
                      <w:color w:val="000000"/>
                      <w:sz w:val="22"/>
                      <w:szCs w:val="22"/>
                      <w:lang w:eastAsia="en-GB"/>
                    </w:rPr>
                    <w:t>Lay</w:t>
                  </w:r>
                </w:p>
              </w:tc>
              <w:tc>
                <w:tcPr>
                  <w:tcW w:w="1440" w:type="dxa"/>
                  <w:tcBorders>
                    <w:top w:val="nil"/>
                    <w:left w:val="nil"/>
                    <w:bottom w:val="single" w:sz="8" w:space="0" w:color="auto"/>
                    <w:right w:val="single" w:sz="4" w:space="0" w:color="auto"/>
                  </w:tcBorders>
                  <w:shd w:val="clear" w:color="auto" w:fill="auto"/>
                  <w:noWrap/>
                  <w:vAlign w:val="bottom"/>
                </w:tcPr>
                <w:p w14:paraId="22996CF6" w14:textId="4FED1B74"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£216</w:t>
                  </w:r>
                </w:p>
              </w:tc>
              <w:tc>
                <w:tcPr>
                  <w:tcW w:w="1562" w:type="dxa"/>
                  <w:tcBorders>
                    <w:top w:val="nil"/>
                    <w:left w:val="nil"/>
                    <w:bottom w:val="single" w:sz="8" w:space="0" w:color="auto"/>
                    <w:right w:val="single" w:sz="4" w:space="0" w:color="auto"/>
                  </w:tcBorders>
                  <w:shd w:val="clear" w:color="auto" w:fill="auto"/>
                  <w:noWrap/>
                  <w:vAlign w:val="bottom"/>
                </w:tcPr>
                <w:p w14:paraId="72F5DE4C" w14:textId="56431FF5"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£220</w:t>
                  </w:r>
                </w:p>
              </w:tc>
              <w:tc>
                <w:tcPr>
                  <w:tcW w:w="1440" w:type="dxa"/>
                  <w:tcBorders>
                    <w:top w:val="nil"/>
                    <w:left w:val="nil"/>
                    <w:bottom w:val="single" w:sz="8" w:space="0" w:color="auto"/>
                    <w:right w:val="single" w:sz="4" w:space="0" w:color="auto"/>
                  </w:tcBorders>
                  <w:shd w:val="clear" w:color="auto" w:fill="auto"/>
                  <w:noWrap/>
                  <w:vAlign w:val="bottom"/>
                  <w:hideMark/>
                </w:tcPr>
                <w:p w14:paraId="5D5E0E02" w14:textId="793F44E4" w:rsidR="008C0FD5" w:rsidRPr="00F9634D" w:rsidRDefault="008C0FD5" w:rsidP="0097144F">
                  <w:pPr>
                    <w:jc w:val="center"/>
                    <w:rPr>
                      <w:rFonts w:cs="Arial"/>
                      <w:color w:val="000000"/>
                      <w:sz w:val="22"/>
                      <w:szCs w:val="22"/>
                      <w:lang w:eastAsia="en-GB"/>
                    </w:rPr>
                  </w:pPr>
                  <w:r w:rsidRPr="00F9634D">
                    <w:rPr>
                      <w:rFonts w:cs="Arial"/>
                      <w:color w:val="000000"/>
                      <w:sz w:val="22"/>
                      <w:szCs w:val="22"/>
                      <w:lang w:eastAsia="en-GB"/>
                    </w:rPr>
                    <w:t>£220</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14:paraId="7C4C3B10" w14:textId="682DECA4" w:rsidR="008C0FD5" w:rsidRPr="00F9634D" w:rsidRDefault="008C0FD5" w:rsidP="008C0FD5">
                  <w:pPr>
                    <w:jc w:val="right"/>
                    <w:rPr>
                      <w:rFonts w:cs="Arial"/>
                      <w:b/>
                      <w:bCs/>
                      <w:color w:val="000000"/>
                      <w:lang w:eastAsia="en-GB"/>
                    </w:rPr>
                  </w:pPr>
                  <w:r w:rsidRPr="00F9634D">
                    <w:rPr>
                      <w:rFonts w:cs="Arial"/>
                      <w:b/>
                      <w:bCs/>
                      <w:color w:val="000000"/>
                      <w:lang w:eastAsia="en-GB"/>
                    </w:rPr>
                    <w:t>£21</w:t>
                  </w:r>
                  <w:r>
                    <w:rPr>
                      <w:rFonts w:cs="Arial"/>
                      <w:b/>
                      <w:bCs/>
                      <w:color w:val="000000"/>
                      <w:lang w:eastAsia="en-GB"/>
                    </w:rPr>
                    <w:t>9</w:t>
                  </w:r>
                </w:p>
              </w:tc>
            </w:tr>
            <w:tr w:rsidR="008C0FD5" w:rsidRPr="007C0D7C" w14:paraId="47F4E7A7" w14:textId="77777777" w:rsidTr="0097144F">
              <w:trPr>
                <w:trHeight w:val="300"/>
              </w:trPr>
              <w:tc>
                <w:tcPr>
                  <w:tcW w:w="4587" w:type="dxa"/>
                  <w:tcBorders>
                    <w:top w:val="nil"/>
                    <w:left w:val="single" w:sz="8" w:space="0" w:color="auto"/>
                    <w:bottom w:val="nil"/>
                    <w:right w:val="single" w:sz="4" w:space="0" w:color="auto"/>
                  </w:tcBorders>
                  <w:shd w:val="clear" w:color="auto" w:fill="auto"/>
                  <w:noWrap/>
                  <w:vAlign w:val="bottom"/>
                  <w:hideMark/>
                </w:tcPr>
                <w:p w14:paraId="59ECBC3B" w14:textId="77777777" w:rsidR="008C0FD5" w:rsidRPr="00D8157F" w:rsidRDefault="008C0FD5" w:rsidP="008C0FD5">
                  <w:pPr>
                    <w:rPr>
                      <w:rFonts w:cs="Arial"/>
                      <w:color w:val="000000"/>
                      <w:sz w:val="16"/>
                      <w:szCs w:val="16"/>
                      <w:lang w:eastAsia="en-GB"/>
                    </w:rPr>
                  </w:pPr>
                  <w:r w:rsidRPr="00D8157F">
                    <w:rPr>
                      <w:rFonts w:cs="Arial"/>
                      <w:color w:val="000000"/>
                      <w:sz w:val="16"/>
                      <w:szCs w:val="16"/>
                      <w:lang w:eastAsia="en-GB"/>
                    </w:rPr>
                    <w:t>*Excluded as position is salaried, rather than fee-paid.</w:t>
                  </w:r>
                </w:p>
                <w:p w14:paraId="1E15E20F" w14:textId="043CD5DA" w:rsidR="00FB20C3" w:rsidRPr="00F9634D" w:rsidRDefault="00FB20C3" w:rsidP="008C0FD5">
                  <w:pPr>
                    <w:rPr>
                      <w:rFonts w:cs="Arial"/>
                      <w:color w:val="000000"/>
                      <w:sz w:val="22"/>
                      <w:szCs w:val="22"/>
                      <w:lang w:eastAsia="en-GB"/>
                    </w:rPr>
                  </w:pPr>
                  <w:r w:rsidRPr="00D8157F">
                    <w:rPr>
                      <w:rFonts w:cs="Arial"/>
                      <w:color w:val="000000"/>
                      <w:sz w:val="16"/>
                      <w:szCs w:val="16"/>
                      <w:lang w:eastAsia="en-GB"/>
                    </w:rPr>
                    <w:t xml:space="preserve">**Taken as an average of the fee rates </w:t>
                  </w:r>
                  <w:r w:rsidR="0021033D" w:rsidRPr="00D8157F">
                    <w:rPr>
                      <w:rFonts w:cs="Arial"/>
                      <w:color w:val="000000"/>
                      <w:sz w:val="16"/>
                      <w:szCs w:val="16"/>
                      <w:lang w:eastAsia="en-GB"/>
                    </w:rPr>
                    <w:t>for th</w:t>
                  </w:r>
                  <w:r w:rsidR="003D6EC0" w:rsidRPr="00D8157F">
                    <w:rPr>
                      <w:rFonts w:cs="Arial"/>
                      <w:color w:val="000000"/>
                      <w:sz w:val="16"/>
                      <w:szCs w:val="16"/>
                      <w:lang w:eastAsia="en-GB"/>
                    </w:rPr>
                    <w:t>o</w:t>
                  </w:r>
                  <w:r w:rsidR="0021033D" w:rsidRPr="00D8157F">
                    <w:rPr>
                      <w:rFonts w:cs="Arial"/>
                      <w:color w:val="000000"/>
                      <w:sz w:val="16"/>
                      <w:szCs w:val="16"/>
                      <w:lang w:eastAsia="en-GB"/>
                    </w:rPr>
                    <w:t>s</w:t>
                  </w:r>
                  <w:r w:rsidR="003D6EC0" w:rsidRPr="00D8157F">
                    <w:rPr>
                      <w:rFonts w:cs="Arial"/>
                      <w:color w:val="000000"/>
                      <w:sz w:val="16"/>
                      <w:szCs w:val="16"/>
                      <w:lang w:eastAsia="en-GB"/>
                    </w:rPr>
                    <w:t>e</w:t>
                  </w:r>
                  <w:r w:rsidR="0021033D" w:rsidRPr="00D8157F">
                    <w:rPr>
                      <w:rFonts w:cs="Arial"/>
                      <w:color w:val="000000"/>
                      <w:sz w:val="16"/>
                      <w:szCs w:val="16"/>
                      <w:lang w:eastAsia="en-GB"/>
                    </w:rPr>
                    <w:t xml:space="preserve"> qualified to hear cases involving </w:t>
                  </w:r>
                  <w:r w:rsidR="003D6EC0" w:rsidRPr="00D8157F">
                    <w:rPr>
                      <w:rFonts w:cs="Arial"/>
                      <w:color w:val="000000"/>
                      <w:sz w:val="16"/>
                      <w:szCs w:val="16"/>
                      <w:lang w:eastAsia="en-GB"/>
                    </w:rPr>
                    <w:t>restricted and non-restricted patients</w:t>
                  </w:r>
                </w:p>
              </w:tc>
              <w:tc>
                <w:tcPr>
                  <w:tcW w:w="1440" w:type="dxa"/>
                  <w:tcBorders>
                    <w:top w:val="nil"/>
                    <w:left w:val="nil"/>
                    <w:bottom w:val="nil"/>
                    <w:right w:val="nil"/>
                  </w:tcBorders>
                  <w:shd w:val="clear" w:color="auto" w:fill="auto"/>
                  <w:noWrap/>
                  <w:vAlign w:val="bottom"/>
                  <w:hideMark/>
                </w:tcPr>
                <w:p w14:paraId="488E2E1E" w14:textId="77777777" w:rsidR="008C0FD5" w:rsidRPr="00F9634D" w:rsidRDefault="008C0FD5" w:rsidP="008C0FD5">
                  <w:pPr>
                    <w:rPr>
                      <w:rFonts w:cs="Arial"/>
                      <w:color w:val="000000"/>
                      <w:sz w:val="22"/>
                      <w:szCs w:val="22"/>
                      <w:lang w:eastAsia="en-GB"/>
                    </w:rPr>
                  </w:pPr>
                </w:p>
              </w:tc>
              <w:tc>
                <w:tcPr>
                  <w:tcW w:w="1562" w:type="dxa"/>
                  <w:tcBorders>
                    <w:top w:val="nil"/>
                    <w:left w:val="nil"/>
                    <w:bottom w:val="nil"/>
                    <w:right w:val="nil"/>
                  </w:tcBorders>
                  <w:shd w:val="clear" w:color="auto" w:fill="auto"/>
                  <w:noWrap/>
                  <w:vAlign w:val="bottom"/>
                  <w:hideMark/>
                </w:tcPr>
                <w:p w14:paraId="118C187B" w14:textId="77777777" w:rsidR="008C0FD5" w:rsidRPr="00F9634D" w:rsidRDefault="008C0FD5" w:rsidP="008C0FD5">
                  <w:pPr>
                    <w:rPr>
                      <w:rFonts w:cs="Arial"/>
                      <w:sz w:val="20"/>
                      <w:szCs w:val="20"/>
                      <w:lang w:eastAsia="en-GB"/>
                    </w:rPr>
                  </w:pPr>
                </w:p>
              </w:tc>
              <w:tc>
                <w:tcPr>
                  <w:tcW w:w="1440" w:type="dxa"/>
                  <w:tcBorders>
                    <w:top w:val="nil"/>
                    <w:left w:val="nil"/>
                    <w:bottom w:val="nil"/>
                    <w:right w:val="nil"/>
                  </w:tcBorders>
                  <w:shd w:val="clear" w:color="auto" w:fill="auto"/>
                  <w:noWrap/>
                  <w:vAlign w:val="bottom"/>
                  <w:hideMark/>
                </w:tcPr>
                <w:p w14:paraId="4693E985" w14:textId="7A5DD8FA" w:rsidR="008C0FD5" w:rsidRPr="00F9634D" w:rsidRDefault="008C0FD5" w:rsidP="008C0FD5">
                  <w:pPr>
                    <w:rPr>
                      <w:rFonts w:cs="Arial"/>
                      <w:sz w:val="20"/>
                      <w:szCs w:val="20"/>
                      <w:lang w:eastAsia="en-GB"/>
                    </w:rPr>
                  </w:pPr>
                </w:p>
              </w:tc>
              <w:tc>
                <w:tcPr>
                  <w:tcW w:w="1153" w:type="dxa"/>
                  <w:tcBorders>
                    <w:top w:val="nil"/>
                    <w:left w:val="nil"/>
                    <w:bottom w:val="nil"/>
                    <w:right w:val="nil"/>
                  </w:tcBorders>
                  <w:shd w:val="clear" w:color="auto" w:fill="auto"/>
                  <w:noWrap/>
                  <w:vAlign w:val="bottom"/>
                  <w:hideMark/>
                </w:tcPr>
                <w:p w14:paraId="33726E0E" w14:textId="77777777" w:rsidR="008C0FD5" w:rsidRPr="00F9634D" w:rsidRDefault="008C0FD5" w:rsidP="008C0FD5">
                  <w:pPr>
                    <w:rPr>
                      <w:rFonts w:cs="Arial"/>
                      <w:sz w:val="20"/>
                      <w:szCs w:val="20"/>
                      <w:lang w:eastAsia="en-GB"/>
                    </w:rPr>
                  </w:pPr>
                </w:p>
              </w:tc>
            </w:tr>
          </w:tbl>
          <w:p w14:paraId="1967BFF9" w14:textId="77777777" w:rsidR="00CC72D0" w:rsidRPr="007C0D7C" w:rsidRDefault="00CC72D0" w:rsidP="00BC00FA">
            <w:pPr>
              <w:rPr>
                <w:rFonts w:cs="Arial"/>
                <w:lang w:eastAsia="en-GB"/>
              </w:rPr>
            </w:pPr>
          </w:p>
          <w:p w14:paraId="3C3C5FD1" w14:textId="77777777" w:rsidR="00CC72D0" w:rsidRPr="007C0D7C" w:rsidRDefault="00CC72D0" w:rsidP="00BC00FA">
            <w:pPr>
              <w:rPr>
                <w:rFonts w:cs="Arial"/>
                <w:lang w:eastAsia="en-GB"/>
              </w:rPr>
            </w:pPr>
          </w:p>
          <w:p w14:paraId="73349CC7" w14:textId="77777777" w:rsidR="00CC72D0" w:rsidRPr="007C0D7C" w:rsidRDefault="00CC72D0" w:rsidP="00BC00FA">
            <w:pPr>
              <w:rPr>
                <w:rFonts w:cs="Arial"/>
                <w:lang w:eastAsia="en-GB"/>
              </w:rPr>
            </w:pPr>
          </w:p>
        </w:tc>
        <w:tc>
          <w:tcPr>
            <w:tcW w:w="2126" w:type="dxa"/>
            <w:tcBorders>
              <w:top w:val="nil"/>
              <w:left w:val="nil"/>
              <w:bottom w:val="nil"/>
              <w:right w:val="nil"/>
            </w:tcBorders>
            <w:shd w:val="clear" w:color="auto" w:fill="auto"/>
            <w:noWrap/>
            <w:vAlign w:val="bottom"/>
            <w:hideMark/>
          </w:tcPr>
          <w:p w14:paraId="446F85EA" w14:textId="77777777" w:rsidR="007F2CB7" w:rsidRPr="007C0D7C" w:rsidRDefault="007F2CB7" w:rsidP="00BC00FA">
            <w:pPr>
              <w:rPr>
                <w:rFonts w:cs="Arial"/>
                <w:lang w:eastAsia="en-GB"/>
              </w:rPr>
            </w:pPr>
          </w:p>
        </w:tc>
        <w:tc>
          <w:tcPr>
            <w:tcW w:w="2126" w:type="dxa"/>
            <w:tcBorders>
              <w:top w:val="nil"/>
              <w:left w:val="nil"/>
              <w:bottom w:val="nil"/>
              <w:right w:val="nil"/>
            </w:tcBorders>
            <w:shd w:val="clear" w:color="auto" w:fill="auto"/>
            <w:noWrap/>
            <w:vAlign w:val="bottom"/>
            <w:hideMark/>
          </w:tcPr>
          <w:p w14:paraId="05713329" w14:textId="77777777" w:rsidR="007F2CB7" w:rsidRPr="007C0D7C" w:rsidRDefault="007F2CB7" w:rsidP="00BC00FA">
            <w:pPr>
              <w:rPr>
                <w:rFonts w:cs="Arial"/>
                <w:lang w:eastAsia="en-GB"/>
              </w:rPr>
            </w:pPr>
          </w:p>
        </w:tc>
        <w:tc>
          <w:tcPr>
            <w:tcW w:w="2268" w:type="dxa"/>
            <w:tcBorders>
              <w:top w:val="nil"/>
              <w:left w:val="nil"/>
              <w:bottom w:val="nil"/>
              <w:right w:val="nil"/>
            </w:tcBorders>
            <w:shd w:val="clear" w:color="auto" w:fill="auto"/>
            <w:noWrap/>
            <w:vAlign w:val="bottom"/>
            <w:hideMark/>
          </w:tcPr>
          <w:p w14:paraId="62C45481" w14:textId="77777777" w:rsidR="007F2CB7" w:rsidRPr="007C0D7C" w:rsidRDefault="007F2CB7" w:rsidP="00BC00FA">
            <w:pPr>
              <w:rPr>
                <w:rFonts w:cs="Arial"/>
                <w:lang w:eastAsia="en-GB"/>
              </w:rPr>
            </w:pPr>
          </w:p>
        </w:tc>
      </w:tr>
    </w:tbl>
    <w:p w14:paraId="696B9751" w14:textId="77777777" w:rsidR="005349BB" w:rsidRPr="000B308F" w:rsidRDefault="000B74D9" w:rsidP="00D8157F">
      <w:pPr>
        <w:pStyle w:val="Text2"/>
        <w:keepNext/>
        <w:tabs>
          <w:tab w:val="clear" w:pos="624"/>
        </w:tabs>
        <w:rPr>
          <w:sz w:val="24"/>
          <w:szCs w:val="24"/>
          <w:u w:val="single"/>
        </w:rPr>
      </w:pPr>
      <w:r>
        <w:rPr>
          <w:sz w:val="24"/>
          <w:szCs w:val="24"/>
          <w:u w:val="single"/>
        </w:rPr>
        <w:t xml:space="preserve">New </w:t>
      </w:r>
      <w:r w:rsidR="005A0A96" w:rsidRPr="000B308F">
        <w:rPr>
          <w:sz w:val="24"/>
          <w:szCs w:val="24"/>
          <w:u w:val="single"/>
        </w:rPr>
        <w:t>Appeal routes</w:t>
      </w:r>
    </w:p>
    <w:p w14:paraId="5F98E30E" w14:textId="77777777" w:rsidR="000B74D9" w:rsidRPr="00323A42" w:rsidRDefault="005A0A96" w:rsidP="000B308F">
      <w:pPr>
        <w:pStyle w:val="NormalWeb"/>
        <w:numPr>
          <w:ilvl w:val="0"/>
          <w:numId w:val="28"/>
        </w:numPr>
        <w:spacing w:after="120" w:afterAutospacing="0"/>
        <w:ind w:left="357" w:hanging="357"/>
      </w:pPr>
      <w:r w:rsidRPr="000B308F">
        <w:rPr>
          <w:rFonts w:ascii="Arial" w:hAnsi="Arial" w:cs="Arial"/>
        </w:rPr>
        <w:t>Currently, if the Welsh Government wishes to create a new appeal</w:t>
      </w:r>
      <w:r>
        <w:rPr>
          <w:rFonts w:ascii="Arial" w:hAnsi="Arial" w:cs="Arial"/>
        </w:rPr>
        <w:t xml:space="preserve"> </w:t>
      </w:r>
      <w:r w:rsidR="00E541B4">
        <w:rPr>
          <w:rFonts w:ascii="Arial" w:hAnsi="Arial" w:cs="Arial"/>
        </w:rPr>
        <w:t>route to a tribunal</w:t>
      </w:r>
      <w:r w:rsidRPr="000B308F">
        <w:rPr>
          <w:rFonts w:ascii="Arial" w:hAnsi="Arial" w:cs="Arial"/>
        </w:rPr>
        <w:t xml:space="preserve"> </w:t>
      </w:r>
      <w:r w:rsidR="000B74D9" w:rsidRPr="000B308F">
        <w:rPr>
          <w:rFonts w:ascii="Arial" w:hAnsi="Arial" w:cs="Arial"/>
        </w:rPr>
        <w:t>there are t</w:t>
      </w:r>
      <w:r w:rsidR="00E541B4">
        <w:rPr>
          <w:rFonts w:ascii="Arial" w:hAnsi="Arial" w:cs="Arial"/>
        </w:rPr>
        <w:t>hree</w:t>
      </w:r>
      <w:r w:rsidR="000B74D9" w:rsidRPr="000B308F">
        <w:rPr>
          <w:rFonts w:ascii="Arial" w:hAnsi="Arial" w:cs="Arial"/>
        </w:rPr>
        <w:t xml:space="preserve"> routes available: </w:t>
      </w:r>
    </w:p>
    <w:p w14:paraId="074B67C1" w14:textId="77777777" w:rsidR="00E541B4" w:rsidRDefault="00E541B4" w:rsidP="000B308F">
      <w:pPr>
        <w:pStyle w:val="Text2"/>
        <w:numPr>
          <w:ilvl w:val="0"/>
          <w:numId w:val="44"/>
        </w:numPr>
        <w:rPr>
          <w:sz w:val="24"/>
          <w:szCs w:val="24"/>
        </w:rPr>
      </w:pPr>
      <w:r>
        <w:rPr>
          <w:sz w:val="24"/>
          <w:szCs w:val="24"/>
        </w:rPr>
        <w:t>identifying an existing tribunal which has sufficient expertise to hear the new appeal route;</w:t>
      </w:r>
    </w:p>
    <w:p w14:paraId="72D81E84" w14:textId="77777777" w:rsidR="000B74D9" w:rsidRPr="000B308F" w:rsidRDefault="000B74D9" w:rsidP="000B308F">
      <w:pPr>
        <w:pStyle w:val="Text2"/>
        <w:numPr>
          <w:ilvl w:val="0"/>
          <w:numId w:val="44"/>
        </w:numPr>
        <w:rPr>
          <w:sz w:val="24"/>
          <w:szCs w:val="24"/>
        </w:rPr>
      </w:pPr>
      <w:r w:rsidRPr="000B308F">
        <w:rPr>
          <w:sz w:val="24"/>
          <w:szCs w:val="24"/>
        </w:rPr>
        <w:t xml:space="preserve">creating a new tribunal or </w:t>
      </w:r>
    </w:p>
    <w:p w14:paraId="6817B220" w14:textId="77777777" w:rsidR="005A0A96" w:rsidRDefault="00691916" w:rsidP="000B308F">
      <w:pPr>
        <w:pStyle w:val="Text2"/>
        <w:numPr>
          <w:ilvl w:val="0"/>
          <w:numId w:val="44"/>
        </w:numPr>
        <w:rPr>
          <w:sz w:val="24"/>
          <w:szCs w:val="24"/>
        </w:rPr>
      </w:pPr>
      <w:r>
        <w:rPr>
          <w:sz w:val="24"/>
          <w:szCs w:val="24"/>
        </w:rPr>
        <w:t>direct</w:t>
      </w:r>
      <w:r w:rsidRPr="000B308F">
        <w:rPr>
          <w:sz w:val="24"/>
          <w:szCs w:val="24"/>
        </w:rPr>
        <w:t xml:space="preserve">ing </w:t>
      </w:r>
      <w:r w:rsidR="000B74D9" w:rsidRPr="000B308F">
        <w:rPr>
          <w:sz w:val="24"/>
          <w:szCs w:val="24"/>
        </w:rPr>
        <w:t>appeals to the</w:t>
      </w:r>
      <w:r w:rsidR="005A0A96" w:rsidRPr="000B308F">
        <w:rPr>
          <w:sz w:val="24"/>
          <w:szCs w:val="24"/>
        </w:rPr>
        <w:t xml:space="preserve"> First-tier Tribunal</w:t>
      </w:r>
      <w:r w:rsidR="000B74D9" w:rsidRPr="000B308F">
        <w:rPr>
          <w:sz w:val="24"/>
          <w:szCs w:val="24"/>
        </w:rPr>
        <w:t>.</w:t>
      </w:r>
    </w:p>
    <w:p w14:paraId="70195F59" w14:textId="77777777" w:rsidR="000B74D9" w:rsidRPr="00323A42" w:rsidRDefault="00E541B4" w:rsidP="000B308F">
      <w:pPr>
        <w:pStyle w:val="NormalWeb"/>
        <w:numPr>
          <w:ilvl w:val="0"/>
          <w:numId w:val="28"/>
        </w:numPr>
        <w:spacing w:after="120" w:afterAutospacing="0"/>
        <w:ind w:left="357" w:hanging="357"/>
      </w:pPr>
      <w:r>
        <w:rPr>
          <w:rFonts w:ascii="Arial" w:hAnsi="Arial" w:cs="Arial"/>
        </w:rPr>
        <w:t xml:space="preserve">In many cases, there will be no suitable existing tribunal. </w:t>
      </w:r>
      <w:r w:rsidR="00517D22">
        <w:rPr>
          <w:rFonts w:ascii="Arial" w:hAnsi="Arial" w:cs="Arial"/>
        </w:rPr>
        <w:t>The most recent tribunals which</w:t>
      </w:r>
      <w:r w:rsidR="000B74D9" w:rsidRPr="000B308F">
        <w:rPr>
          <w:rFonts w:ascii="Arial" w:hAnsi="Arial" w:cs="Arial"/>
        </w:rPr>
        <w:t xml:space="preserve"> have been set up </w:t>
      </w:r>
      <w:r w:rsidR="00517D22">
        <w:rPr>
          <w:rFonts w:ascii="Arial" w:hAnsi="Arial" w:cs="Arial"/>
        </w:rPr>
        <w:t xml:space="preserve">in Wales </w:t>
      </w:r>
      <w:r w:rsidR="000B74D9" w:rsidRPr="000B308F">
        <w:rPr>
          <w:rFonts w:ascii="Arial" w:hAnsi="Arial" w:cs="Arial"/>
        </w:rPr>
        <w:t xml:space="preserve">were the Adjudication Panel for Wales in 2002, and the Welsh Language Tribunal in 2015, which suggests about one per decade. This </w:t>
      </w:r>
      <w:r w:rsidR="00517D22">
        <w:rPr>
          <w:rFonts w:ascii="Arial" w:hAnsi="Arial" w:cs="Arial"/>
        </w:rPr>
        <w:t>could</w:t>
      </w:r>
      <w:r w:rsidR="000B74D9" w:rsidRPr="000B308F">
        <w:rPr>
          <w:rFonts w:ascii="Arial" w:hAnsi="Arial" w:cs="Arial"/>
        </w:rPr>
        <w:t xml:space="preserve"> rise to </w:t>
      </w:r>
      <w:r w:rsidRPr="000B308F">
        <w:rPr>
          <w:rFonts w:ascii="Arial" w:hAnsi="Arial" w:cs="Arial"/>
        </w:rPr>
        <w:t>two</w:t>
      </w:r>
      <w:r w:rsidR="000B74D9" w:rsidRPr="000B308F">
        <w:rPr>
          <w:rFonts w:ascii="Arial" w:hAnsi="Arial" w:cs="Arial"/>
        </w:rPr>
        <w:t xml:space="preserve"> per decade reflecting the increase in the Senedd’s powers and responsibilities following (a) greater devolution, in the form of the Government of Wales Act 2006 and the Wales Act 2017, and (b) </w:t>
      </w:r>
      <w:r>
        <w:rPr>
          <w:rFonts w:ascii="Arial" w:hAnsi="Arial" w:cs="Arial"/>
        </w:rPr>
        <w:t>UK exit from the EU</w:t>
      </w:r>
      <w:r w:rsidR="000B74D9" w:rsidRPr="000B308F">
        <w:rPr>
          <w:rFonts w:ascii="Arial" w:hAnsi="Arial" w:cs="Arial"/>
        </w:rPr>
        <w:t xml:space="preserve">. </w:t>
      </w:r>
    </w:p>
    <w:p w14:paraId="186BBE7D" w14:textId="44DC4C55" w:rsidR="000B74D9" w:rsidRPr="00F9788B" w:rsidRDefault="000B74D9" w:rsidP="000B308F">
      <w:pPr>
        <w:pStyle w:val="NormalWeb"/>
        <w:numPr>
          <w:ilvl w:val="0"/>
          <w:numId w:val="28"/>
        </w:numPr>
        <w:spacing w:after="120"/>
        <w:rPr>
          <w:rFonts w:ascii="Arial" w:hAnsi="Arial" w:cs="Arial"/>
        </w:rPr>
      </w:pPr>
      <w:r w:rsidRPr="000B308F">
        <w:rPr>
          <w:rFonts w:ascii="Arial" w:hAnsi="Arial" w:cs="Arial"/>
        </w:rPr>
        <w:t xml:space="preserve">Far more frequent are appeals </w:t>
      </w:r>
      <w:r w:rsidR="00517D22">
        <w:rPr>
          <w:rFonts w:ascii="Arial" w:hAnsi="Arial" w:cs="Arial"/>
        </w:rPr>
        <w:t>created</w:t>
      </w:r>
      <w:r w:rsidRPr="000B308F">
        <w:rPr>
          <w:rFonts w:ascii="Arial" w:hAnsi="Arial" w:cs="Arial"/>
        </w:rPr>
        <w:t xml:space="preserve"> by the Senedd to the First-tier Tribunal (instead of creating a Welsh tribunal). </w:t>
      </w:r>
      <w:r w:rsidR="00E541B4">
        <w:rPr>
          <w:rFonts w:ascii="Arial" w:hAnsi="Arial" w:cs="Arial"/>
        </w:rPr>
        <w:t>Approximately twenty</w:t>
      </w:r>
      <w:r w:rsidRPr="000B308F">
        <w:rPr>
          <w:rFonts w:ascii="Arial" w:hAnsi="Arial" w:cs="Arial"/>
        </w:rPr>
        <w:t xml:space="preserve"> of these have </w:t>
      </w:r>
      <w:r w:rsidR="00517D22">
        <w:rPr>
          <w:rFonts w:ascii="Arial" w:hAnsi="Arial" w:cs="Arial"/>
        </w:rPr>
        <w:t>been created sin</w:t>
      </w:r>
      <w:r w:rsidRPr="000B308F">
        <w:rPr>
          <w:rFonts w:ascii="Arial" w:hAnsi="Arial" w:cs="Arial"/>
        </w:rPr>
        <w:t xml:space="preserve">ce 2010. It is unlikely that </w:t>
      </w:r>
      <w:r w:rsidR="00F535C1">
        <w:rPr>
          <w:rFonts w:ascii="Arial" w:hAnsi="Arial" w:cs="Arial"/>
        </w:rPr>
        <w:t>all of these could otherwise have justified the creation of a new tribunal</w:t>
      </w:r>
      <w:r w:rsidRPr="000B308F">
        <w:rPr>
          <w:rFonts w:ascii="Arial" w:hAnsi="Arial" w:cs="Arial"/>
        </w:rPr>
        <w:t xml:space="preserve"> (for example, many of them </w:t>
      </w:r>
      <w:r w:rsidR="00E541B4">
        <w:rPr>
          <w:rFonts w:ascii="Arial" w:hAnsi="Arial" w:cs="Arial"/>
        </w:rPr>
        <w:t>lie to</w:t>
      </w:r>
      <w:r w:rsidRPr="000B308F">
        <w:rPr>
          <w:rFonts w:ascii="Arial" w:hAnsi="Arial" w:cs="Arial"/>
        </w:rPr>
        <w:t xml:space="preserve"> the General Regulatory Chamber of the FTT: if a Welsh equivalent had been created, it would have absorbed </w:t>
      </w:r>
      <w:r w:rsidR="00E541B4">
        <w:rPr>
          <w:rFonts w:ascii="Arial" w:hAnsi="Arial" w:cs="Arial"/>
        </w:rPr>
        <w:t>many of these</w:t>
      </w:r>
      <w:r w:rsidRPr="000B308F">
        <w:rPr>
          <w:rFonts w:ascii="Arial" w:hAnsi="Arial" w:cs="Arial"/>
        </w:rPr>
        <w:t xml:space="preserve">). </w:t>
      </w:r>
      <w:r w:rsidR="00E541B4">
        <w:rPr>
          <w:rFonts w:ascii="Arial" w:hAnsi="Arial" w:cs="Arial"/>
        </w:rPr>
        <w:t xml:space="preserve">Other appeal </w:t>
      </w:r>
      <w:r w:rsidR="00517D22">
        <w:rPr>
          <w:rFonts w:ascii="Arial" w:hAnsi="Arial" w:cs="Arial"/>
        </w:rPr>
        <w:t>venues</w:t>
      </w:r>
      <w:r w:rsidR="00E541B4">
        <w:rPr>
          <w:rFonts w:ascii="Arial" w:hAnsi="Arial" w:cs="Arial"/>
        </w:rPr>
        <w:t xml:space="preserve"> have also been chosen on occasion. For example,</w:t>
      </w:r>
      <w:r w:rsidR="00E541B4">
        <w:t xml:space="preserve"> </w:t>
      </w:r>
      <w:r w:rsidR="00E541B4">
        <w:rPr>
          <w:rFonts w:ascii="Arial" w:hAnsi="Arial" w:cs="Arial"/>
        </w:rPr>
        <w:t>the R</w:t>
      </w:r>
      <w:r w:rsidR="00E541B4" w:rsidRPr="00E541B4">
        <w:rPr>
          <w:rFonts w:ascii="Arial" w:hAnsi="Arial" w:cs="Arial"/>
        </w:rPr>
        <w:t>e</w:t>
      </w:r>
      <w:r w:rsidR="00E541B4">
        <w:rPr>
          <w:rFonts w:ascii="Arial" w:hAnsi="Arial" w:cs="Arial"/>
        </w:rPr>
        <w:t xml:space="preserve">nting Homes (Wales) Act 2016 provides for </w:t>
      </w:r>
      <w:r w:rsidR="00E541B4" w:rsidRPr="00F9788B">
        <w:rPr>
          <w:rFonts w:ascii="Arial" w:hAnsi="Arial" w:cs="Arial"/>
        </w:rPr>
        <w:t xml:space="preserve">disputes to be </w:t>
      </w:r>
      <w:r w:rsidR="00E541B4" w:rsidRPr="00735B64">
        <w:rPr>
          <w:rFonts w:ascii="Arial" w:hAnsi="Arial" w:cs="Arial"/>
        </w:rPr>
        <w:t xml:space="preserve">determined by the County Court. </w:t>
      </w:r>
      <w:r w:rsidR="00E541B4" w:rsidRPr="00E541B4">
        <w:rPr>
          <w:rFonts w:ascii="Arial" w:hAnsi="Arial" w:cs="Arial"/>
        </w:rPr>
        <w:t xml:space="preserve"> </w:t>
      </w:r>
      <w:r w:rsidRPr="00E541B4">
        <w:rPr>
          <w:rFonts w:ascii="Arial" w:hAnsi="Arial" w:cs="Arial"/>
        </w:rPr>
        <w:t xml:space="preserve"> </w:t>
      </w:r>
    </w:p>
    <w:p w14:paraId="78777D46" w14:textId="7A096477" w:rsidR="00FD6984" w:rsidRDefault="00FD6984" w:rsidP="000B308F">
      <w:pPr>
        <w:pStyle w:val="NormalWeb"/>
        <w:spacing w:after="120" w:afterAutospacing="0"/>
        <w:ind w:left="357"/>
        <w:rPr>
          <w:rFonts w:ascii="Arial" w:hAnsi="Arial" w:cs="Arial"/>
          <w:b/>
        </w:rPr>
      </w:pPr>
      <w:r w:rsidRPr="000B308F">
        <w:rPr>
          <w:rFonts w:ascii="Arial" w:hAnsi="Arial" w:cs="Arial"/>
          <w:i/>
        </w:rPr>
        <w:t>Costs</w:t>
      </w:r>
    </w:p>
    <w:p w14:paraId="1B0DEBA8" w14:textId="2B46D1F0" w:rsidR="00FD6984" w:rsidRDefault="00FD6984" w:rsidP="000B308F">
      <w:pPr>
        <w:pStyle w:val="NormalWeb"/>
        <w:numPr>
          <w:ilvl w:val="0"/>
          <w:numId w:val="28"/>
        </w:numPr>
        <w:spacing w:after="120" w:afterAutospacing="0"/>
        <w:ind w:left="357" w:hanging="357"/>
        <w:rPr>
          <w:rFonts w:cs="Arial"/>
        </w:rPr>
      </w:pPr>
      <w:r>
        <w:rPr>
          <w:rFonts w:ascii="Arial" w:hAnsi="Arial" w:cs="Arial"/>
        </w:rPr>
        <w:t>The</w:t>
      </w:r>
      <w:r w:rsidR="006F259E">
        <w:rPr>
          <w:rFonts w:ascii="Arial" w:hAnsi="Arial" w:cs="Arial"/>
        </w:rPr>
        <w:t>re is a cost to the Welsh Government of directing appeal routes to the First-tier Tribunal. The</w:t>
      </w:r>
      <w:r>
        <w:rPr>
          <w:rFonts w:ascii="Arial" w:hAnsi="Arial" w:cs="Arial"/>
        </w:rPr>
        <w:t xml:space="preserve"> </w:t>
      </w:r>
      <w:r w:rsidR="00B34CBE">
        <w:rPr>
          <w:rFonts w:ascii="Arial" w:hAnsi="Arial" w:cs="Arial"/>
        </w:rPr>
        <w:t>Welsh Government ha</w:t>
      </w:r>
      <w:r w:rsidR="006F259E">
        <w:rPr>
          <w:rFonts w:ascii="Arial" w:hAnsi="Arial" w:cs="Arial"/>
        </w:rPr>
        <w:t xml:space="preserve">s been advised, in relation to appeals under the </w:t>
      </w:r>
      <w:r>
        <w:rPr>
          <w:rFonts w:ascii="Arial" w:hAnsi="Arial" w:cs="Arial"/>
        </w:rPr>
        <w:t>R</w:t>
      </w:r>
      <w:r w:rsidR="006F259E">
        <w:rPr>
          <w:rFonts w:ascii="Arial" w:hAnsi="Arial" w:cs="Arial"/>
        </w:rPr>
        <w:t>egulation and Inspection of Social Care Act 2016, that appeals</w:t>
      </w:r>
      <w:r>
        <w:rPr>
          <w:rFonts w:ascii="Arial" w:hAnsi="Arial" w:cs="Arial"/>
        </w:rPr>
        <w:t xml:space="preserve"> would be invoiced at £3,355 per case</w:t>
      </w:r>
      <w:r w:rsidR="00B34CBE">
        <w:rPr>
          <w:rFonts w:ascii="Arial" w:hAnsi="Arial" w:cs="Arial"/>
        </w:rPr>
        <w:t xml:space="preserve"> (though</w:t>
      </w:r>
      <w:r w:rsidR="006F259E">
        <w:rPr>
          <w:rFonts w:ascii="Arial" w:hAnsi="Arial" w:cs="Arial"/>
        </w:rPr>
        <w:t xml:space="preserve"> </w:t>
      </w:r>
      <w:r>
        <w:rPr>
          <w:rFonts w:ascii="Arial" w:hAnsi="Arial" w:cs="Arial"/>
        </w:rPr>
        <w:t>HMCTS reserve</w:t>
      </w:r>
      <w:r w:rsidR="00B34CBE">
        <w:rPr>
          <w:rFonts w:ascii="Arial" w:hAnsi="Arial" w:cs="Arial"/>
        </w:rPr>
        <w:t>d</w:t>
      </w:r>
      <w:r>
        <w:rPr>
          <w:rFonts w:ascii="Arial" w:hAnsi="Arial" w:cs="Arial"/>
        </w:rPr>
        <w:t xml:space="preserve"> the right to agree an amended cost structure in instances where additional judicial time </w:t>
      </w:r>
      <w:r w:rsidR="00B34CBE">
        <w:rPr>
          <w:rFonts w:ascii="Arial" w:hAnsi="Arial" w:cs="Arial"/>
        </w:rPr>
        <w:t>was</w:t>
      </w:r>
      <w:r>
        <w:rPr>
          <w:rFonts w:ascii="Arial" w:hAnsi="Arial" w:cs="Arial"/>
        </w:rPr>
        <w:t xml:space="preserve"> required to deal with an appeal</w:t>
      </w:r>
      <w:r w:rsidR="00B34CBE">
        <w:rPr>
          <w:rFonts w:ascii="Arial" w:hAnsi="Arial" w:cs="Arial"/>
        </w:rPr>
        <w:t>)</w:t>
      </w:r>
      <w:r>
        <w:rPr>
          <w:rFonts w:ascii="Arial" w:hAnsi="Arial" w:cs="Arial"/>
        </w:rPr>
        <w:t xml:space="preserve">. </w:t>
      </w:r>
    </w:p>
    <w:p w14:paraId="00163E03" w14:textId="77777777" w:rsidR="00FD6984" w:rsidRPr="00323A42" w:rsidRDefault="00FD6984" w:rsidP="000B308F">
      <w:pPr>
        <w:pStyle w:val="NormalWeb"/>
        <w:numPr>
          <w:ilvl w:val="0"/>
          <w:numId w:val="28"/>
        </w:numPr>
        <w:spacing w:after="120" w:afterAutospacing="0"/>
        <w:ind w:left="357" w:hanging="357"/>
      </w:pPr>
      <w:r>
        <w:rPr>
          <w:rFonts w:ascii="Arial" w:hAnsi="Arial" w:cs="Arial"/>
        </w:rPr>
        <w:t>H</w:t>
      </w:r>
      <w:r w:rsidR="00475082">
        <w:rPr>
          <w:rFonts w:ascii="Arial" w:hAnsi="Arial" w:cs="Arial"/>
        </w:rPr>
        <w:t>i</w:t>
      </w:r>
      <w:r>
        <w:rPr>
          <w:rFonts w:ascii="Arial" w:hAnsi="Arial" w:cs="Arial"/>
        </w:rPr>
        <w:t xml:space="preserve">storically, </w:t>
      </w:r>
      <w:r w:rsidR="00475082">
        <w:rPr>
          <w:rFonts w:ascii="Arial" w:hAnsi="Arial" w:cs="Arial"/>
        </w:rPr>
        <w:t>t</w:t>
      </w:r>
      <w:r w:rsidR="00B34CBE">
        <w:rPr>
          <w:rFonts w:ascii="Arial" w:hAnsi="Arial" w:cs="Arial"/>
        </w:rPr>
        <w:t xml:space="preserve">he Welsh Government has also been quoted a figure of </w:t>
      </w:r>
      <w:r w:rsidR="00475082">
        <w:rPr>
          <w:rFonts w:ascii="Arial" w:hAnsi="Arial" w:cs="Arial"/>
        </w:rPr>
        <w:t xml:space="preserve">an additional </w:t>
      </w:r>
      <w:r w:rsidRPr="00C614E1">
        <w:rPr>
          <w:rFonts w:ascii="Arial" w:hAnsi="Arial" w:cs="Arial"/>
        </w:rPr>
        <w:t>£35-40</w:t>
      </w:r>
      <w:r w:rsidR="00B34CBE" w:rsidRPr="00C614E1">
        <w:rPr>
          <w:rFonts w:ascii="Arial" w:hAnsi="Arial" w:cs="Arial"/>
        </w:rPr>
        <w:t>,000</w:t>
      </w:r>
      <w:r>
        <w:rPr>
          <w:rFonts w:ascii="Arial" w:hAnsi="Arial" w:cs="Arial"/>
        </w:rPr>
        <w:t xml:space="preserve"> for set up costs for each new regime, which includes the administration and judicial costs of setting up the new right of appeal to the First-tier Tribunal and Upper Tribunal, including training. However, this does not include the cost of necessary IT changes or a judicial recruitment trawl, which would be the subject of a separate financial agreemen</w:t>
      </w:r>
      <w:r w:rsidR="00475082">
        <w:rPr>
          <w:rFonts w:ascii="Arial" w:hAnsi="Arial" w:cs="Arial"/>
        </w:rPr>
        <w:t>t.</w:t>
      </w:r>
    </w:p>
    <w:p w14:paraId="7055B27B" w14:textId="77777777" w:rsidR="00704046" w:rsidRDefault="00704046" w:rsidP="005349BB">
      <w:pPr>
        <w:pStyle w:val="Text2"/>
        <w:tabs>
          <w:tab w:val="clear" w:pos="624"/>
        </w:tabs>
        <w:rPr>
          <w:sz w:val="24"/>
          <w:szCs w:val="24"/>
          <w:u w:val="single"/>
        </w:rPr>
      </w:pPr>
    </w:p>
    <w:p w14:paraId="22AD1E22" w14:textId="56F0A12E" w:rsidR="005349BB" w:rsidRDefault="005349BB" w:rsidP="005349BB">
      <w:pPr>
        <w:pStyle w:val="Text2"/>
        <w:tabs>
          <w:tab w:val="clear" w:pos="624"/>
        </w:tabs>
        <w:rPr>
          <w:sz w:val="24"/>
          <w:szCs w:val="24"/>
          <w:u w:val="single"/>
        </w:rPr>
      </w:pPr>
      <w:r w:rsidRPr="000B308F">
        <w:rPr>
          <w:sz w:val="24"/>
          <w:szCs w:val="24"/>
          <w:u w:val="single"/>
        </w:rPr>
        <w:t xml:space="preserve">Alternative approach to </w:t>
      </w:r>
      <w:r w:rsidR="00FB30BE">
        <w:rPr>
          <w:sz w:val="24"/>
          <w:szCs w:val="24"/>
          <w:u w:val="single"/>
        </w:rPr>
        <w:t>tribunals administration</w:t>
      </w:r>
    </w:p>
    <w:p w14:paraId="6669D2CB" w14:textId="68643601" w:rsidR="00B3499D" w:rsidRPr="00B3499D" w:rsidRDefault="00FB30BE" w:rsidP="00B3499D">
      <w:pPr>
        <w:pStyle w:val="NormalWeb"/>
        <w:numPr>
          <w:ilvl w:val="0"/>
          <w:numId w:val="28"/>
        </w:numPr>
        <w:autoSpaceDE w:val="0"/>
        <w:autoSpaceDN w:val="0"/>
        <w:adjustRightInd w:val="0"/>
        <w:spacing w:after="120" w:afterAutospacing="0"/>
        <w:ind w:left="357" w:hanging="357"/>
        <w:rPr>
          <w:rFonts w:ascii="Arial" w:hAnsi="Arial" w:cs="Arial"/>
        </w:rPr>
      </w:pPr>
      <w:r>
        <w:rPr>
          <w:rFonts w:ascii="Arial" w:hAnsi="Arial" w:cs="Arial"/>
        </w:rPr>
        <w:t>At present t</w:t>
      </w:r>
      <w:r w:rsidR="00B3499D" w:rsidRPr="00B3499D">
        <w:rPr>
          <w:rFonts w:ascii="Arial" w:hAnsi="Arial" w:cs="Arial"/>
        </w:rPr>
        <w:t xml:space="preserve">he </w:t>
      </w:r>
      <w:r w:rsidR="00B3499D">
        <w:rPr>
          <w:rFonts w:ascii="Arial" w:hAnsi="Arial" w:cs="Arial"/>
        </w:rPr>
        <w:t>WTU is</w:t>
      </w:r>
      <w:r>
        <w:rPr>
          <w:rFonts w:ascii="Arial" w:hAnsi="Arial" w:cs="Arial"/>
        </w:rPr>
        <w:t xml:space="preserve"> responsible for the majority of tribunals administration. It is</w:t>
      </w:r>
      <w:r w:rsidR="00B3499D">
        <w:rPr>
          <w:rFonts w:ascii="Arial" w:hAnsi="Arial" w:cs="Arial"/>
        </w:rPr>
        <w:t xml:space="preserve"> a unit of the Welsh Government, and is staffed by civil servants. There is some concern that it is not sufficiently independent from Welsh Government, </w:t>
      </w:r>
      <w:r w:rsidR="00AF45CD">
        <w:rPr>
          <w:rFonts w:ascii="Arial" w:hAnsi="Arial" w:cs="Arial"/>
        </w:rPr>
        <w:t xml:space="preserve">which is in many cases responsible for policy decisions enforced through the devolved </w:t>
      </w:r>
      <w:r w:rsidR="00F9634D">
        <w:rPr>
          <w:rFonts w:ascii="Arial" w:hAnsi="Arial" w:cs="Arial"/>
        </w:rPr>
        <w:t>tribunals.</w:t>
      </w:r>
      <w:r w:rsidR="00B3499D">
        <w:rPr>
          <w:rFonts w:ascii="Arial" w:hAnsi="Arial" w:cs="Arial"/>
        </w:rPr>
        <w:t xml:space="preserve"> In other jurisdictions a different model is adopted: Her Majesty’s Courts and Tribunals Service is an executive agency of the Ministry of Justice, while the Scottish Courts and Tribunal Service is a non-ministerial department.</w:t>
      </w:r>
      <w:r>
        <w:rPr>
          <w:rFonts w:ascii="Arial" w:hAnsi="Arial" w:cs="Arial"/>
        </w:rPr>
        <w:t xml:space="preserve"> The Valuation Tribunal for Wales is a Welsh Government Sponsored Body.</w:t>
      </w:r>
    </w:p>
    <w:p w14:paraId="04C8AACA" w14:textId="77777777" w:rsidR="005349BB" w:rsidRPr="00F9788B" w:rsidRDefault="005349BB" w:rsidP="000B308F">
      <w:pPr>
        <w:spacing w:after="160" w:line="259" w:lineRule="auto"/>
        <w:rPr>
          <w:rFonts w:cs="Arial"/>
        </w:rPr>
      </w:pPr>
      <w:r w:rsidRPr="000B308F">
        <w:rPr>
          <w:rFonts w:cs="Arial"/>
          <w:i/>
        </w:rPr>
        <w:t>Welsh Revenue Authority</w:t>
      </w:r>
      <w:r w:rsidRPr="00323A42">
        <w:rPr>
          <w:rStyle w:val="FootnoteReference"/>
          <w:rFonts w:cs="Arial"/>
          <w:sz w:val="24"/>
        </w:rPr>
        <w:footnoteReference w:id="14"/>
      </w:r>
      <w:r w:rsidRPr="00323A42">
        <w:rPr>
          <w:rFonts w:cs="Arial"/>
        </w:rPr>
        <w:t xml:space="preserve"> </w:t>
      </w:r>
    </w:p>
    <w:p w14:paraId="16112DF6" w14:textId="6778AB76" w:rsidR="003D42B8" w:rsidRPr="000B308F" w:rsidRDefault="00F535C1" w:rsidP="000B308F">
      <w:pPr>
        <w:pStyle w:val="NormalWeb"/>
        <w:numPr>
          <w:ilvl w:val="0"/>
          <w:numId w:val="28"/>
        </w:numPr>
        <w:autoSpaceDE w:val="0"/>
        <w:autoSpaceDN w:val="0"/>
        <w:adjustRightInd w:val="0"/>
        <w:spacing w:after="120" w:afterAutospacing="0"/>
        <w:ind w:left="357" w:hanging="357"/>
        <w:rPr>
          <w:rFonts w:ascii="Arial" w:hAnsi="Arial" w:cs="Arial"/>
          <w:color w:val="000000"/>
        </w:rPr>
      </w:pPr>
      <w:r>
        <w:rPr>
          <w:rFonts w:ascii="Arial" w:hAnsi="Arial" w:cs="Arial"/>
        </w:rPr>
        <w:t xml:space="preserve">We </w:t>
      </w:r>
      <w:r w:rsidR="00AC2262">
        <w:rPr>
          <w:rFonts w:ascii="Arial" w:hAnsi="Arial" w:cs="Arial"/>
        </w:rPr>
        <w:t>recommend</w:t>
      </w:r>
      <w:r>
        <w:rPr>
          <w:rFonts w:ascii="Arial" w:hAnsi="Arial" w:cs="Arial"/>
        </w:rPr>
        <w:t xml:space="preserve"> that </w:t>
      </w:r>
      <w:r w:rsidR="00FB30BE">
        <w:rPr>
          <w:rFonts w:ascii="Arial" w:hAnsi="Arial" w:cs="Arial"/>
        </w:rPr>
        <w:t>tribunals administration be the responsibility of</w:t>
      </w:r>
      <w:r w:rsidR="005349BB" w:rsidRPr="000B308F">
        <w:rPr>
          <w:rFonts w:ascii="Arial" w:hAnsi="Arial" w:cs="Arial"/>
        </w:rPr>
        <w:t xml:space="preserve"> a</w:t>
      </w:r>
      <w:r w:rsidR="005349BB">
        <w:rPr>
          <w:rFonts w:ascii="Arial" w:hAnsi="Arial" w:cs="Arial"/>
        </w:rPr>
        <w:t xml:space="preserve"> </w:t>
      </w:r>
      <w:r w:rsidR="00B34CBE">
        <w:rPr>
          <w:rFonts w:ascii="Arial" w:hAnsi="Arial" w:cs="Arial"/>
        </w:rPr>
        <w:t>non-</w:t>
      </w:r>
      <w:r w:rsidR="00B3499D">
        <w:rPr>
          <w:rFonts w:ascii="Arial" w:hAnsi="Arial" w:cs="Arial"/>
        </w:rPr>
        <w:t>ministerial department</w:t>
      </w:r>
      <w:r w:rsidR="00B34CBE">
        <w:rPr>
          <w:rFonts w:ascii="Arial" w:hAnsi="Arial" w:cs="Arial"/>
        </w:rPr>
        <w:t>,</w:t>
      </w:r>
      <w:r w:rsidR="005349BB" w:rsidRPr="000B308F">
        <w:rPr>
          <w:rFonts w:ascii="Arial" w:hAnsi="Arial" w:cs="Arial"/>
        </w:rPr>
        <w:t xml:space="preserve"> </w:t>
      </w:r>
      <w:r w:rsidR="00AC2262">
        <w:rPr>
          <w:rFonts w:ascii="Arial" w:hAnsi="Arial" w:cs="Arial"/>
        </w:rPr>
        <w:t>following the model of</w:t>
      </w:r>
      <w:r w:rsidR="005349BB" w:rsidRPr="000B308F">
        <w:rPr>
          <w:rFonts w:ascii="Arial" w:hAnsi="Arial" w:cs="Arial"/>
        </w:rPr>
        <w:t xml:space="preserve"> the Welsh Revenue Authority</w:t>
      </w:r>
      <w:r w:rsidR="003D42B8" w:rsidRPr="000B308F">
        <w:rPr>
          <w:rFonts w:ascii="Arial" w:hAnsi="Arial" w:cs="Arial"/>
        </w:rPr>
        <w:t xml:space="preserve"> [WRA]. The Tax Collec</w:t>
      </w:r>
      <w:r w:rsidR="001158FA">
        <w:rPr>
          <w:rFonts w:ascii="Arial" w:hAnsi="Arial" w:cs="Arial"/>
        </w:rPr>
        <w:t>tion and Management (Wales) Act 2016</w:t>
      </w:r>
      <w:r w:rsidR="003D42B8" w:rsidRPr="000B308F">
        <w:rPr>
          <w:rFonts w:ascii="Arial" w:hAnsi="Arial" w:cs="Arial"/>
        </w:rPr>
        <w:t xml:space="preserve"> put in place the legal framework necessary for the future collection and management of devolved taxes in Wales. </w:t>
      </w:r>
      <w:r w:rsidR="001158FA">
        <w:rPr>
          <w:rFonts w:ascii="Arial" w:hAnsi="Arial" w:cs="Arial"/>
        </w:rPr>
        <w:t xml:space="preserve">Amongst other reforms, the Bill </w:t>
      </w:r>
      <w:r w:rsidR="003D42B8" w:rsidRPr="000B308F">
        <w:rPr>
          <w:rFonts w:ascii="Arial" w:hAnsi="Arial" w:cs="Arial"/>
        </w:rPr>
        <w:t>provided for the establishment of the WRA</w:t>
      </w:r>
      <w:r w:rsidR="001158FA">
        <w:rPr>
          <w:rFonts w:ascii="Arial" w:hAnsi="Arial" w:cs="Arial"/>
        </w:rPr>
        <w:t>,</w:t>
      </w:r>
      <w:r w:rsidR="003D42B8" w:rsidRPr="000B308F">
        <w:rPr>
          <w:rFonts w:ascii="Arial" w:hAnsi="Arial" w:cs="Arial"/>
        </w:rPr>
        <w:t xml:space="preserve"> whose main function is the collection and management of devolved taxes. The WRA</w:t>
      </w:r>
      <w:r w:rsidR="0045548E" w:rsidRPr="000B308F">
        <w:rPr>
          <w:rFonts w:ascii="Arial" w:hAnsi="Arial" w:cs="Arial"/>
        </w:rPr>
        <w:t xml:space="preserve"> w</w:t>
      </w:r>
      <w:r w:rsidR="003D42B8" w:rsidRPr="000B308F">
        <w:rPr>
          <w:rFonts w:ascii="Arial" w:hAnsi="Arial" w:cs="Arial"/>
        </w:rPr>
        <w:t xml:space="preserve">as modelled on the previous </w:t>
      </w:r>
      <w:r w:rsidR="0045548E" w:rsidRPr="000B308F">
        <w:rPr>
          <w:rFonts w:ascii="Arial" w:hAnsi="Arial" w:cs="Arial"/>
        </w:rPr>
        <w:t>experience of HMRC and Scotland</w:t>
      </w:r>
      <w:r w:rsidR="003D42B8" w:rsidRPr="000B308F">
        <w:rPr>
          <w:rFonts w:ascii="Arial" w:hAnsi="Arial" w:cs="Arial"/>
        </w:rPr>
        <w:t>.</w:t>
      </w:r>
    </w:p>
    <w:p w14:paraId="2C1CF323" w14:textId="77777777" w:rsidR="008967F0" w:rsidRPr="000B308F" w:rsidRDefault="0045548E" w:rsidP="000B308F">
      <w:pPr>
        <w:pStyle w:val="NormalWeb"/>
        <w:numPr>
          <w:ilvl w:val="0"/>
          <w:numId w:val="28"/>
        </w:numPr>
        <w:autoSpaceDE w:val="0"/>
        <w:autoSpaceDN w:val="0"/>
        <w:adjustRightInd w:val="0"/>
        <w:spacing w:after="120" w:afterAutospacing="0"/>
        <w:ind w:left="357" w:hanging="357"/>
        <w:rPr>
          <w:rFonts w:cs="Arial"/>
        </w:rPr>
      </w:pPr>
      <w:r w:rsidRPr="000B308F">
        <w:rPr>
          <w:rFonts w:ascii="Arial" w:hAnsi="Arial" w:cs="Arial"/>
        </w:rPr>
        <w:t xml:space="preserve">The newly created </w:t>
      </w:r>
      <w:r w:rsidR="003D42B8" w:rsidRPr="000B308F">
        <w:rPr>
          <w:rFonts w:ascii="Arial" w:hAnsi="Arial" w:cs="Arial"/>
        </w:rPr>
        <w:t xml:space="preserve">WRA </w:t>
      </w:r>
      <w:r w:rsidRPr="000B308F">
        <w:rPr>
          <w:rFonts w:ascii="Arial" w:hAnsi="Arial" w:cs="Arial"/>
        </w:rPr>
        <w:t xml:space="preserve">is operationally separate from the Welsh Ministers. </w:t>
      </w:r>
      <w:r w:rsidR="00B34CBE">
        <w:rPr>
          <w:rFonts w:ascii="Arial" w:hAnsi="Arial" w:cs="Arial"/>
        </w:rPr>
        <w:t>While its policy objectives are agreed with Welsh Ministers, it has</w:t>
      </w:r>
      <w:r w:rsidR="003D42B8" w:rsidRPr="000B308F">
        <w:rPr>
          <w:rFonts w:ascii="Arial" w:hAnsi="Arial" w:cs="Arial"/>
        </w:rPr>
        <w:t xml:space="preserve"> </w:t>
      </w:r>
      <w:r w:rsidR="00097880" w:rsidRPr="000B308F">
        <w:rPr>
          <w:rFonts w:ascii="Arial" w:hAnsi="Arial" w:cs="Arial"/>
        </w:rPr>
        <w:t xml:space="preserve">ultimate responsibility for </w:t>
      </w:r>
      <w:r w:rsidR="00B34CBE">
        <w:rPr>
          <w:rFonts w:ascii="Arial" w:hAnsi="Arial" w:cs="Arial"/>
        </w:rPr>
        <w:t>its operations</w:t>
      </w:r>
      <w:r w:rsidR="003D42B8" w:rsidRPr="000B308F">
        <w:rPr>
          <w:rFonts w:ascii="Arial" w:hAnsi="Arial" w:cs="Arial"/>
        </w:rPr>
        <w:t xml:space="preserve">. </w:t>
      </w:r>
      <w:r w:rsidR="008967F0" w:rsidRPr="000B308F">
        <w:rPr>
          <w:rFonts w:ascii="Arial" w:hAnsi="Arial" w:cs="Arial"/>
        </w:rPr>
        <w:t>The decision to establish a separate corporate entity to collect and manage</w:t>
      </w:r>
      <w:r w:rsidR="001158FA">
        <w:rPr>
          <w:rFonts w:ascii="Arial" w:hAnsi="Arial" w:cs="Arial"/>
        </w:rPr>
        <w:t xml:space="preserve"> devolved Welsh taxes reflects </w:t>
      </w:r>
      <w:r w:rsidR="008967F0" w:rsidRPr="000B308F">
        <w:rPr>
          <w:rFonts w:ascii="Arial" w:hAnsi="Arial" w:cs="Arial"/>
        </w:rPr>
        <w:t xml:space="preserve">international best practice </w:t>
      </w:r>
      <w:r w:rsidR="001158FA">
        <w:rPr>
          <w:rFonts w:ascii="Arial" w:hAnsi="Arial" w:cs="Arial"/>
        </w:rPr>
        <w:t>and ensures</w:t>
      </w:r>
      <w:r w:rsidR="008967F0" w:rsidRPr="000B308F">
        <w:rPr>
          <w:rFonts w:ascii="Arial" w:hAnsi="Arial" w:cs="Arial"/>
        </w:rPr>
        <w:t xml:space="preserve"> that the tax body can exercise its functions without political interference in taxpayers’ affairs. The accountability arrangements reflect the need for a clear separation between the corporate body and the Welsh Ministers. </w:t>
      </w:r>
      <w:r w:rsidR="003D42B8" w:rsidRPr="000B308F">
        <w:rPr>
          <w:rFonts w:ascii="Arial" w:hAnsi="Arial" w:cs="Arial"/>
        </w:rPr>
        <w:t xml:space="preserve">A similar sentiment underpins </w:t>
      </w:r>
      <w:r w:rsidR="00B3499D">
        <w:rPr>
          <w:rFonts w:ascii="Arial" w:hAnsi="Arial" w:cs="Arial"/>
        </w:rPr>
        <w:t xml:space="preserve">provisional </w:t>
      </w:r>
      <w:r w:rsidR="003D42B8" w:rsidRPr="000B308F">
        <w:rPr>
          <w:rFonts w:ascii="Arial" w:hAnsi="Arial" w:cs="Arial"/>
        </w:rPr>
        <w:t xml:space="preserve">proposals </w:t>
      </w:r>
      <w:r w:rsidR="003A5C47" w:rsidRPr="000B308F">
        <w:rPr>
          <w:rFonts w:ascii="Arial" w:hAnsi="Arial" w:cs="Arial"/>
        </w:rPr>
        <w:t>for an alternative approach to the WTU</w:t>
      </w:r>
      <w:r w:rsidR="00B34CBE">
        <w:rPr>
          <w:rFonts w:ascii="Arial" w:hAnsi="Arial" w:cs="Arial"/>
        </w:rPr>
        <w:t>, where the principle of judicial independence calls for a similar separation.</w:t>
      </w:r>
    </w:p>
    <w:p w14:paraId="6DA8451A" w14:textId="77777777" w:rsidR="005349BB" w:rsidRPr="000B308F" w:rsidRDefault="003A5C47" w:rsidP="005C5AAA">
      <w:pPr>
        <w:pStyle w:val="NormalWeb"/>
        <w:numPr>
          <w:ilvl w:val="0"/>
          <w:numId w:val="28"/>
        </w:numPr>
        <w:spacing w:after="120" w:afterAutospacing="0"/>
        <w:ind w:left="357" w:hanging="357"/>
      </w:pPr>
      <w:r w:rsidRPr="003A5C47">
        <w:rPr>
          <w:rFonts w:ascii="Arial" w:hAnsi="Arial" w:cs="Arial"/>
        </w:rPr>
        <w:t xml:space="preserve">The </w:t>
      </w:r>
      <w:r w:rsidR="000642CA">
        <w:rPr>
          <w:rFonts w:ascii="Arial" w:hAnsi="Arial" w:cs="Arial"/>
        </w:rPr>
        <w:t xml:space="preserve">2019 </w:t>
      </w:r>
      <w:r w:rsidR="005349BB" w:rsidRPr="000B308F">
        <w:rPr>
          <w:rFonts w:ascii="Arial" w:hAnsi="Arial" w:cs="Arial"/>
        </w:rPr>
        <w:t xml:space="preserve">report </w:t>
      </w:r>
      <w:r w:rsidR="000642CA">
        <w:rPr>
          <w:rFonts w:ascii="Arial" w:hAnsi="Arial" w:cs="Arial"/>
        </w:rPr>
        <w:t xml:space="preserve">from the Finance Committee [National Assembly for Wales] </w:t>
      </w:r>
      <w:r w:rsidR="005349BB" w:rsidRPr="000B308F">
        <w:rPr>
          <w:rFonts w:ascii="Arial" w:hAnsi="Arial" w:cs="Arial"/>
        </w:rPr>
        <w:t xml:space="preserve">indicated a smooth transition </w:t>
      </w:r>
      <w:r w:rsidRPr="003A5C47">
        <w:rPr>
          <w:rFonts w:ascii="Arial" w:hAnsi="Arial" w:cs="Arial"/>
        </w:rPr>
        <w:t xml:space="preserve">towards the creation of the WRA </w:t>
      </w:r>
      <w:r w:rsidR="005349BB" w:rsidRPr="000B308F">
        <w:rPr>
          <w:rFonts w:ascii="Arial" w:hAnsi="Arial" w:cs="Arial"/>
        </w:rPr>
        <w:t xml:space="preserve">with final implementation costs of £6.3 million over the </w:t>
      </w:r>
      <w:r w:rsidR="00F9634D" w:rsidRPr="000B308F">
        <w:rPr>
          <w:rFonts w:ascii="Arial" w:hAnsi="Arial" w:cs="Arial"/>
        </w:rPr>
        <w:t>two-year</w:t>
      </w:r>
      <w:r w:rsidR="005349BB" w:rsidRPr="000B308F">
        <w:rPr>
          <w:rFonts w:ascii="Arial" w:hAnsi="Arial" w:cs="Arial"/>
        </w:rPr>
        <w:t xml:space="preserve"> period 2016/17 to 2017/18. The Welsh Government </w:t>
      </w:r>
      <w:r w:rsidRPr="000B308F">
        <w:rPr>
          <w:rFonts w:ascii="Arial" w:hAnsi="Arial" w:cs="Arial"/>
        </w:rPr>
        <w:t xml:space="preserve">had </w:t>
      </w:r>
      <w:r w:rsidR="005349BB" w:rsidRPr="000B308F">
        <w:rPr>
          <w:rFonts w:ascii="Arial" w:hAnsi="Arial" w:cs="Arial"/>
        </w:rPr>
        <w:t xml:space="preserve">initially estimated the implementation costs of the WRA at between £4.9 million and £6.4 million for the three-year period 2016-17 to 2018-19. </w:t>
      </w:r>
    </w:p>
    <w:p w14:paraId="6B6FE9E8" w14:textId="77777777" w:rsidR="005349BB" w:rsidRPr="000B308F" w:rsidRDefault="003A5C47" w:rsidP="000B308F">
      <w:pPr>
        <w:pStyle w:val="Text2"/>
        <w:tabs>
          <w:tab w:val="clear" w:pos="624"/>
        </w:tabs>
        <w:ind w:hanging="267"/>
        <w:rPr>
          <w:sz w:val="24"/>
          <w:szCs w:val="24"/>
          <w:u w:val="single"/>
        </w:rPr>
      </w:pPr>
      <w:r>
        <w:rPr>
          <w:sz w:val="24"/>
          <w:szCs w:val="24"/>
          <w:u w:val="single"/>
        </w:rPr>
        <w:t>D</w:t>
      </w:r>
      <w:r w:rsidR="005349BB" w:rsidRPr="000B308F">
        <w:rPr>
          <w:sz w:val="24"/>
          <w:szCs w:val="24"/>
          <w:u w:val="single"/>
        </w:rPr>
        <w:t>evolved Tribunals</w:t>
      </w:r>
    </w:p>
    <w:p w14:paraId="3F6D660A" w14:textId="3B22701D" w:rsidR="005349BB" w:rsidRPr="00323A42" w:rsidRDefault="005349BB" w:rsidP="000B308F">
      <w:pPr>
        <w:pStyle w:val="NormalWeb"/>
        <w:numPr>
          <w:ilvl w:val="0"/>
          <w:numId w:val="28"/>
        </w:numPr>
        <w:spacing w:after="120" w:afterAutospacing="0"/>
        <w:ind w:left="357" w:hanging="357"/>
      </w:pPr>
      <w:r w:rsidRPr="000B308F">
        <w:rPr>
          <w:rFonts w:ascii="Arial" w:hAnsi="Arial" w:cs="Arial"/>
        </w:rPr>
        <w:t xml:space="preserve">In addition to the Welsh tribunals indicated above, there </w:t>
      </w:r>
      <w:r w:rsidR="00F9634D">
        <w:rPr>
          <w:rFonts w:ascii="Arial" w:hAnsi="Arial" w:cs="Arial"/>
        </w:rPr>
        <w:t xml:space="preserve">is </w:t>
      </w:r>
      <w:r w:rsidRPr="000B308F">
        <w:rPr>
          <w:rFonts w:ascii="Arial" w:hAnsi="Arial" w:cs="Arial"/>
        </w:rPr>
        <w:t xml:space="preserve">also </w:t>
      </w:r>
      <w:r w:rsidR="00B34CBE">
        <w:rPr>
          <w:rFonts w:ascii="Arial" w:hAnsi="Arial" w:cs="Arial"/>
        </w:rPr>
        <w:t xml:space="preserve">a broader definition in the </w:t>
      </w:r>
      <w:r w:rsidR="00F9634D">
        <w:rPr>
          <w:rFonts w:ascii="Arial" w:hAnsi="Arial" w:cs="Arial"/>
        </w:rPr>
        <w:t>Government of Wales Act</w:t>
      </w:r>
      <w:r w:rsidRPr="000B308F">
        <w:rPr>
          <w:rFonts w:ascii="Arial" w:hAnsi="Arial" w:cs="Arial"/>
        </w:rPr>
        <w:t xml:space="preserve"> 2006 </w:t>
      </w:r>
      <w:r w:rsidR="00B34CBE">
        <w:rPr>
          <w:rFonts w:ascii="Arial" w:hAnsi="Arial" w:cs="Arial"/>
        </w:rPr>
        <w:t>of</w:t>
      </w:r>
      <w:r w:rsidRPr="000B308F">
        <w:rPr>
          <w:rFonts w:ascii="Arial" w:hAnsi="Arial" w:cs="Arial"/>
        </w:rPr>
        <w:t xml:space="preserve"> a “devolved tribunal”.</w:t>
      </w:r>
      <w:r w:rsidRPr="000B308F">
        <w:rPr>
          <w:rStyle w:val="FootnoteReference"/>
          <w:rFonts w:ascii="Arial" w:hAnsi="Arial" w:cs="Arial"/>
          <w:sz w:val="24"/>
        </w:rPr>
        <w:footnoteReference w:id="15"/>
      </w:r>
      <w:r w:rsidRPr="000B308F">
        <w:rPr>
          <w:rFonts w:ascii="Arial" w:hAnsi="Arial" w:cs="Arial"/>
        </w:rPr>
        <w:t xml:space="preserve"> Some devolved tribunals </w:t>
      </w:r>
      <w:r w:rsidR="00C952AD">
        <w:rPr>
          <w:rFonts w:ascii="Arial" w:hAnsi="Arial" w:cs="Arial"/>
        </w:rPr>
        <w:t xml:space="preserve">that </w:t>
      </w:r>
      <w:r w:rsidR="00C952AD" w:rsidRPr="000B308F">
        <w:rPr>
          <w:rFonts w:ascii="Arial" w:hAnsi="Arial" w:cs="Arial"/>
        </w:rPr>
        <w:t>are not adminis</w:t>
      </w:r>
      <w:r w:rsidR="00C952AD">
        <w:rPr>
          <w:rFonts w:ascii="Arial" w:hAnsi="Arial" w:cs="Arial"/>
        </w:rPr>
        <w:t>te</w:t>
      </w:r>
      <w:r w:rsidR="00C952AD" w:rsidRPr="000B308F">
        <w:rPr>
          <w:rFonts w:ascii="Arial" w:hAnsi="Arial" w:cs="Arial"/>
        </w:rPr>
        <w:t xml:space="preserve">red by the WTU </w:t>
      </w:r>
      <w:r w:rsidRPr="000B308F">
        <w:rPr>
          <w:rFonts w:ascii="Arial" w:hAnsi="Arial" w:cs="Arial"/>
        </w:rPr>
        <w:t>are not listed in the Wales Act 2017 and so are not subject to the supervision of the President of Welsh Tribunals</w:t>
      </w:r>
      <w:r w:rsidR="00481432">
        <w:rPr>
          <w:rFonts w:ascii="Arial" w:hAnsi="Arial" w:cs="Arial"/>
        </w:rPr>
        <w:t>; they are</w:t>
      </w:r>
      <w:r w:rsidRPr="000B308F">
        <w:rPr>
          <w:rFonts w:ascii="Arial" w:hAnsi="Arial" w:cs="Arial"/>
        </w:rPr>
        <w:t>:</w:t>
      </w:r>
    </w:p>
    <w:p w14:paraId="387CC422" w14:textId="5FCB05D9" w:rsidR="005349BB" w:rsidRPr="000B308F" w:rsidRDefault="005349BB" w:rsidP="005349BB">
      <w:pPr>
        <w:pStyle w:val="Text2"/>
        <w:numPr>
          <w:ilvl w:val="0"/>
          <w:numId w:val="36"/>
        </w:numPr>
        <w:rPr>
          <w:sz w:val="24"/>
          <w:szCs w:val="24"/>
        </w:rPr>
      </w:pPr>
      <w:r w:rsidRPr="000B308F">
        <w:rPr>
          <w:sz w:val="24"/>
          <w:szCs w:val="24"/>
        </w:rPr>
        <w:t>school admission</w:t>
      </w:r>
      <w:r w:rsidR="00FB2F90">
        <w:rPr>
          <w:sz w:val="24"/>
          <w:szCs w:val="24"/>
        </w:rPr>
        <w:t>s</w:t>
      </w:r>
      <w:r w:rsidRPr="000B308F">
        <w:rPr>
          <w:sz w:val="24"/>
          <w:szCs w:val="24"/>
        </w:rPr>
        <w:t xml:space="preserve"> and </w:t>
      </w:r>
      <w:r w:rsidR="00FB2F90">
        <w:rPr>
          <w:sz w:val="24"/>
          <w:szCs w:val="24"/>
        </w:rPr>
        <w:t xml:space="preserve">exclusion </w:t>
      </w:r>
      <w:r w:rsidRPr="000B308F">
        <w:rPr>
          <w:sz w:val="24"/>
          <w:szCs w:val="24"/>
        </w:rPr>
        <w:t>appeal</w:t>
      </w:r>
      <w:r w:rsidR="006373BF">
        <w:rPr>
          <w:sz w:val="24"/>
          <w:szCs w:val="24"/>
        </w:rPr>
        <w:t>s</w:t>
      </w:r>
      <w:r w:rsidRPr="000B308F">
        <w:rPr>
          <w:sz w:val="24"/>
          <w:szCs w:val="24"/>
        </w:rPr>
        <w:t xml:space="preserve"> panels, which are currently administered by local authorities;</w:t>
      </w:r>
      <w:r w:rsidR="00B34CBE">
        <w:rPr>
          <w:sz w:val="24"/>
          <w:szCs w:val="24"/>
        </w:rPr>
        <w:t xml:space="preserve"> </w:t>
      </w:r>
    </w:p>
    <w:p w14:paraId="77614094" w14:textId="77777777" w:rsidR="00FB30BE" w:rsidRDefault="00B34CBE" w:rsidP="005349BB">
      <w:pPr>
        <w:pStyle w:val="Text2"/>
        <w:numPr>
          <w:ilvl w:val="0"/>
          <w:numId w:val="36"/>
        </w:numPr>
        <w:rPr>
          <w:sz w:val="24"/>
          <w:szCs w:val="24"/>
        </w:rPr>
      </w:pPr>
      <w:r>
        <w:rPr>
          <w:sz w:val="24"/>
          <w:szCs w:val="24"/>
        </w:rPr>
        <w:t xml:space="preserve">the </w:t>
      </w:r>
      <w:r w:rsidR="00C25BE0">
        <w:rPr>
          <w:sz w:val="24"/>
          <w:szCs w:val="24"/>
        </w:rPr>
        <w:t>Valuation Tribunal for Wales</w:t>
      </w:r>
      <w:r w:rsidR="00FB30BE">
        <w:rPr>
          <w:sz w:val="24"/>
          <w:szCs w:val="24"/>
        </w:rPr>
        <w:t>; and</w:t>
      </w:r>
    </w:p>
    <w:p w14:paraId="257D2B96" w14:textId="09965755" w:rsidR="005349BB" w:rsidRDefault="00FB30BE" w:rsidP="005349BB">
      <w:pPr>
        <w:pStyle w:val="Text2"/>
        <w:numPr>
          <w:ilvl w:val="0"/>
          <w:numId w:val="36"/>
        </w:numPr>
        <w:rPr>
          <w:sz w:val="24"/>
          <w:szCs w:val="24"/>
        </w:rPr>
      </w:pPr>
      <w:r>
        <w:rPr>
          <w:sz w:val="24"/>
          <w:szCs w:val="24"/>
        </w:rPr>
        <w:t>Social Care Wales panels</w:t>
      </w:r>
      <w:r w:rsidR="00B34CBE">
        <w:rPr>
          <w:sz w:val="24"/>
          <w:szCs w:val="24"/>
        </w:rPr>
        <w:t>.</w:t>
      </w:r>
      <w:r w:rsidR="005349BB" w:rsidRPr="000B308F">
        <w:rPr>
          <w:sz w:val="24"/>
          <w:szCs w:val="24"/>
        </w:rPr>
        <w:t xml:space="preserve"> </w:t>
      </w:r>
    </w:p>
    <w:p w14:paraId="67A1147E" w14:textId="3A64E4F8" w:rsidR="007060E4" w:rsidRPr="00255E4C" w:rsidRDefault="007060E4" w:rsidP="0097144F">
      <w:pPr>
        <w:pStyle w:val="NormalWeb"/>
        <w:numPr>
          <w:ilvl w:val="0"/>
          <w:numId w:val="28"/>
        </w:numPr>
        <w:spacing w:after="120" w:afterAutospacing="0"/>
        <w:ind w:left="357" w:hanging="357"/>
      </w:pPr>
      <w:r w:rsidRPr="0097144F">
        <w:rPr>
          <w:rFonts w:ascii="Arial" w:hAnsi="Arial" w:cs="Arial"/>
        </w:rPr>
        <w:t>For the reason</w:t>
      </w:r>
      <w:r>
        <w:rPr>
          <w:rFonts w:ascii="Arial" w:hAnsi="Arial" w:cs="Arial"/>
        </w:rPr>
        <w:t xml:space="preserve">s explained in </w:t>
      </w:r>
      <w:r w:rsidR="006373BF">
        <w:rPr>
          <w:rFonts w:ascii="Arial" w:hAnsi="Arial" w:cs="Arial"/>
        </w:rPr>
        <w:t xml:space="preserve">the </w:t>
      </w:r>
      <w:r>
        <w:rPr>
          <w:rFonts w:ascii="Arial" w:hAnsi="Arial" w:cs="Arial"/>
        </w:rPr>
        <w:t xml:space="preserve">report, </w:t>
      </w:r>
      <w:r w:rsidR="006373BF">
        <w:rPr>
          <w:rFonts w:ascii="Arial" w:hAnsi="Arial" w:cs="Arial"/>
        </w:rPr>
        <w:t xml:space="preserve">it does </w:t>
      </w:r>
      <w:r>
        <w:rPr>
          <w:rFonts w:ascii="Arial" w:hAnsi="Arial" w:cs="Arial"/>
        </w:rPr>
        <w:t>not make any recommendations about Social Care Wales panels.</w:t>
      </w:r>
    </w:p>
    <w:p w14:paraId="4DFDEE29" w14:textId="77777777" w:rsidR="005349BB" w:rsidRPr="00F9788B" w:rsidRDefault="005349BB" w:rsidP="005349BB">
      <w:pPr>
        <w:pStyle w:val="Text3"/>
        <w:tabs>
          <w:tab w:val="clear" w:pos="1247"/>
        </w:tabs>
        <w:ind w:left="0" w:firstLine="0"/>
        <w:rPr>
          <w:i/>
          <w:sz w:val="24"/>
          <w:szCs w:val="24"/>
        </w:rPr>
      </w:pPr>
      <w:r w:rsidRPr="000B308F">
        <w:rPr>
          <w:i/>
          <w:sz w:val="24"/>
          <w:szCs w:val="24"/>
        </w:rPr>
        <w:t xml:space="preserve">School </w:t>
      </w:r>
      <w:r w:rsidR="00CB4835" w:rsidRPr="000B308F">
        <w:rPr>
          <w:i/>
          <w:sz w:val="24"/>
          <w:szCs w:val="24"/>
        </w:rPr>
        <w:t>exclusion appeals panel</w:t>
      </w:r>
      <w:r w:rsidR="00CB4835">
        <w:rPr>
          <w:i/>
          <w:sz w:val="24"/>
          <w:szCs w:val="24"/>
        </w:rPr>
        <w:t>s</w:t>
      </w:r>
    </w:p>
    <w:p w14:paraId="21A67E7A" w14:textId="77777777" w:rsidR="005349BB" w:rsidRPr="00323A42" w:rsidRDefault="00B34CBE" w:rsidP="00F9788B">
      <w:pPr>
        <w:pStyle w:val="NormalWeb"/>
        <w:numPr>
          <w:ilvl w:val="0"/>
          <w:numId w:val="28"/>
        </w:numPr>
        <w:spacing w:after="120" w:afterAutospacing="0"/>
        <w:ind w:left="357" w:hanging="357"/>
      </w:pPr>
      <w:r>
        <w:rPr>
          <w:rFonts w:ascii="Arial" w:hAnsi="Arial" w:cs="Arial"/>
        </w:rPr>
        <w:t>S</w:t>
      </w:r>
      <w:r w:rsidRPr="00F9788B">
        <w:rPr>
          <w:rFonts w:ascii="Arial" w:hAnsi="Arial" w:cs="Arial"/>
        </w:rPr>
        <w:t xml:space="preserve">chool exclusion appeals panels </w:t>
      </w:r>
      <w:r w:rsidR="005349BB" w:rsidRPr="00F9788B">
        <w:rPr>
          <w:rFonts w:ascii="Arial" w:hAnsi="Arial" w:cs="Arial"/>
        </w:rPr>
        <w:t>are administered locally, by local authorities. An appeal can currently be lodged by a parent/carer or child over the age of 11 where a school discipline committee has upheld the school’s decision to permanently exclude a pupil. The LA is responsible for arrangements enabl</w:t>
      </w:r>
      <w:r w:rsidR="000642CA">
        <w:rPr>
          <w:rFonts w:ascii="Arial" w:hAnsi="Arial" w:cs="Arial"/>
        </w:rPr>
        <w:t>ing</w:t>
      </w:r>
      <w:r w:rsidR="005349BB" w:rsidRPr="00F9788B">
        <w:rPr>
          <w:rFonts w:ascii="Arial" w:hAnsi="Arial" w:cs="Arial"/>
        </w:rPr>
        <w:t xml:space="preserve"> appeals against permanent exclusions to be heard. The Welsh </w:t>
      </w:r>
      <w:r w:rsidR="009F586F">
        <w:rPr>
          <w:rFonts w:ascii="Arial" w:hAnsi="Arial" w:cs="Arial"/>
        </w:rPr>
        <w:t>G</w:t>
      </w:r>
      <w:r w:rsidR="005349BB" w:rsidRPr="00F9788B">
        <w:rPr>
          <w:rFonts w:ascii="Arial" w:hAnsi="Arial" w:cs="Arial"/>
        </w:rPr>
        <w:t xml:space="preserve">overnment does not routinely collect data on the number of school expulsion panels </w:t>
      </w:r>
      <w:r w:rsidR="005349BB" w:rsidRPr="00CB4835">
        <w:rPr>
          <w:rFonts w:ascii="Arial" w:hAnsi="Arial" w:cs="Arial"/>
        </w:rPr>
        <w:t>that have been convened. A recent report</w:t>
      </w:r>
      <w:r w:rsidR="005349BB" w:rsidRPr="00CB4835">
        <w:rPr>
          <w:rStyle w:val="FootnoteReference"/>
          <w:rFonts w:ascii="Arial" w:hAnsi="Arial"/>
        </w:rPr>
        <w:footnoteReference w:id="16"/>
      </w:r>
      <w:r w:rsidR="005349BB" w:rsidRPr="00CB4835">
        <w:rPr>
          <w:rFonts w:ascii="Arial" w:hAnsi="Arial" w:cs="Arial"/>
        </w:rPr>
        <w:t xml:space="preserve"> suggests on average there are between </w:t>
      </w:r>
      <w:r w:rsidR="00EB0A53" w:rsidRPr="00CB4835">
        <w:rPr>
          <w:rFonts w:ascii="Arial" w:hAnsi="Arial" w:cs="Arial"/>
        </w:rPr>
        <w:t>1</w:t>
      </w:r>
      <w:r w:rsidR="005349BB" w:rsidRPr="00CB4835">
        <w:rPr>
          <w:rFonts w:ascii="Arial" w:hAnsi="Arial" w:cs="Arial"/>
        </w:rPr>
        <w:t>-</w:t>
      </w:r>
      <w:r w:rsidR="00EB0A53" w:rsidRPr="00CB4835">
        <w:rPr>
          <w:rFonts w:ascii="Arial" w:hAnsi="Arial" w:cs="Arial"/>
        </w:rPr>
        <w:t>2</w:t>
      </w:r>
      <w:r w:rsidR="005349BB" w:rsidRPr="00CB4835">
        <w:rPr>
          <w:rFonts w:ascii="Arial" w:hAnsi="Arial" w:cs="Arial"/>
        </w:rPr>
        <w:t xml:space="preserve"> appeals per local authority</w:t>
      </w:r>
      <w:r w:rsidR="005349BB" w:rsidRPr="00F9788B">
        <w:rPr>
          <w:rStyle w:val="FootnoteReference"/>
          <w:rFonts w:ascii="Arial" w:hAnsi="Arial" w:cs="Arial"/>
          <w:sz w:val="24"/>
        </w:rPr>
        <w:footnoteReference w:id="17"/>
      </w:r>
      <w:r w:rsidR="005349BB" w:rsidRPr="00F9788B">
        <w:rPr>
          <w:rFonts w:ascii="Arial" w:hAnsi="Arial" w:cs="Arial"/>
        </w:rPr>
        <w:t xml:space="preserve"> but this outcome is based on a small sample and might not be representative of what occurs in general across other areas. </w:t>
      </w:r>
    </w:p>
    <w:p w14:paraId="3D551DA2" w14:textId="77294B89" w:rsidR="005349BB" w:rsidRPr="00323A42" w:rsidRDefault="005349BB" w:rsidP="00F9788B">
      <w:pPr>
        <w:pStyle w:val="NormalWeb"/>
        <w:numPr>
          <w:ilvl w:val="0"/>
          <w:numId w:val="28"/>
        </w:numPr>
        <w:spacing w:after="120" w:afterAutospacing="0"/>
        <w:ind w:left="357" w:hanging="357"/>
      </w:pPr>
      <w:r w:rsidRPr="00F9788B">
        <w:rPr>
          <w:rFonts w:ascii="Arial" w:hAnsi="Arial" w:cs="Arial"/>
        </w:rPr>
        <w:t xml:space="preserve">Information provided by those LAs who completed and returned </w:t>
      </w:r>
      <w:r w:rsidR="00CB4835">
        <w:rPr>
          <w:rFonts w:ascii="Arial" w:hAnsi="Arial" w:cs="Arial"/>
        </w:rPr>
        <w:t>a questionnaire in 2014</w:t>
      </w:r>
      <w:r w:rsidRPr="00F9788B">
        <w:rPr>
          <w:rStyle w:val="FootnoteReference"/>
          <w:rFonts w:ascii="Arial" w:hAnsi="Arial" w:cs="Arial"/>
          <w:sz w:val="24"/>
        </w:rPr>
        <w:footnoteReference w:id="18"/>
      </w:r>
      <w:r w:rsidRPr="00F9788B">
        <w:rPr>
          <w:rFonts w:ascii="Arial" w:hAnsi="Arial" w:cs="Arial"/>
        </w:rPr>
        <w:t xml:space="preserve"> in relation to school exclusion appeals showed that the amount of time staff spend processing a school exclusion appeal varies between LAs.  For example, 4</w:t>
      </w:r>
      <w:r w:rsidR="009F586F">
        <w:rPr>
          <w:rFonts w:ascii="Arial" w:hAnsi="Arial" w:cs="Arial"/>
        </w:rPr>
        <w:t xml:space="preserve"> hours </w:t>
      </w:r>
      <w:r w:rsidR="00431B38">
        <w:rPr>
          <w:rFonts w:ascii="Arial" w:hAnsi="Arial" w:cs="Arial"/>
        </w:rPr>
        <w:t xml:space="preserve">were </w:t>
      </w:r>
      <w:r w:rsidR="009F586F">
        <w:rPr>
          <w:rFonts w:ascii="Arial" w:hAnsi="Arial" w:cs="Arial"/>
        </w:rPr>
        <w:t>spent</w:t>
      </w:r>
      <w:r w:rsidRPr="00F9788B">
        <w:rPr>
          <w:rFonts w:ascii="Arial" w:hAnsi="Arial" w:cs="Arial"/>
        </w:rPr>
        <w:t xml:space="preserve"> per appeal in Carmarthen</w:t>
      </w:r>
      <w:r w:rsidR="006E04FD">
        <w:rPr>
          <w:rFonts w:ascii="Arial" w:hAnsi="Arial" w:cs="Arial"/>
        </w:rPr>
        <w:t xml:space="preserve"> and Monmouthshire</w:t>
      </w:r>
      <w:r w:rsidRPr="00F9788B">
        <w:rPr>
          <w:rFonts w:ascii="Arial" w:hAnsi="Arial" w:cs="Arial"/>
        </w:rPr>
        <w:t>; one day per appeal in Denbighshire and 10 hours per appeal in Swansea</w:t>
      </w:r>
      <w:r w:rsidR="009F586F">
        <w:rPr>
          <w:rFonts w:ascii="Arial" w:hAnsi="Arial" w:cs="Arial"/>
        </w:rPr>
        <w:t>.</w:t>
      </w:r>
      <w:r w:rsidR="00AF45CD">
        <w:rPr>
          <w:rFonts w:ascii="Arial" w:hAnsi="Arial" w:cs="Arial"/>
        </w:rPr>
        <w:t xml:space="preserve"> Appeals are heard in private. </w:t>
      </w:r>
    </w:p>
    <w:p w14:paraId="19E610E4" w14:textId="3D1BF0F6" w:rsidR="005349BB" w:rsidRPr="00F9788B" w:rsidRDefault="005349BB" w:rsidP="005349BB">
      <w:pPr>
        <w:pStyle w:val="Text2"/>
        <w:tabs>
          <w:tab w:val="clear" w:pos="624"/>
        </w:tabs>
        <w:ind w:left="0" w:firstLine="0"/>
        <w:rPr>
          <w:i/>
          <w:sz w:val="24"/>
          <w:szCs w:val="24"/>
        </w:rPr>
      </w:pPr>
      <w:r w:rsidRPr="00F9788B">
        <w:rPr>
          <w:i/>
          <w:sz w:val="24"/>
          <w:szCs w:val="24"/>
        </w:rPr>
        <w:t xml:space="preserve">School </w:t>
      </w:r>
      <w:r w:rsidR="00867942">
        <w:rPr>
          <w:i/>
          <w:sz w:val="24"/>
          <w:szCs w:val="24"/>
        </w:rPr>
        <w:t>a</w:t>
      </w:r>
      <w:r w:rsidR="00867942" w:rsidRPr="00F9788B">
        <w:rPr>
          <w:i/>
          <w:sz w:val="24"/>
          <w:szCs w:val="24"/>
        </w:rPr>
        <w:t xml:space="preserve">dmissions </w:t>
      </w:r>
      <w:r w:rsidR="00867942">
        <w:rPr>
          <w:i/>
          <w:sz w:val="24"/>
          <w:szCs w:val="24"/>
        </w:rPr>
        <w:t>a</w:t>
      </w:r>
      <w:r w:rsidR="00867942" w:rsidRPr="00F9788B">
        <w:rPr>
          <w:i/>
          <w:sz w:val="24"/>
          <w:szCs w:val="24"/>
        </w:rPr>
        <w:t xml:space="preserve">ppeal </w:t>
      </w:r>
      <w:r w:rsidR="00867942">
        <w:rPr>
          <w:i/>
          <w:sz w:val="24"/>
          <w:szCs w:val="24"/>
        </w:rPr>
        <w:t>p</w:t>
      </w:r>
      <w:r w:rsidRPr="00F9788B">
        <w:rPr>
          <w:i/>
          <w:sz w:val="24"/>
          <w:szCs w:val="24"/>
        </w:rPr>
        <w:t>anel</w:t>
      </w:r>
      <w:r w:rsidR="009F586F">
        <w:rPr>
          <w:i/>
          <w:sz w:val="24"/>
          <w:szCs w:val="24"/>
        </w:rPr>
        <w:t>s</w:t>
      </w:r>
    </w:p>
    <w:p w14:paraId="2A22C2B0" w14:textId="77777777" w:rsidR="009F586F" w:rsidRPr="00F9788B" w:rsidRDefault="005349BB" w:rsidP="000B308F">
      <w:pPr>
        <w:pStyle w:val="NormalWeb"/>
        <w:numPr>
          <w:ilvl w:val="0"/>
          <w:numId w:val="28"/>
        </w:numPr>
        <w:spacing w:after="120" w:afterAutospacing="0"/>
        <w:ind w:left="357" w:hanging="357"/>
        <w:rPr>
          <w:rFonts w:cs="Arial"/>
        </w:rPr>
      </w:pPr>
      <w:r w:rsidRPr="000B308F">
        <w:rPr>
          <w:rFonts w:ascii="Arial" w:hAnsi="Arial" w:cs="Arial"/>
        </w:rPr>
        <w:t>Parents and in the case of sixth form admissions young persons, have the right to appeal against a</w:t>
      </w:r>
      <w:r w:rsidR="009F586F">
        <w:rPr>
          <w:rFonts w:ascii="Arial" w:hAnsi="Arial" w:cs="Arial"/>
        </w:rPr>
        <w:t>n</w:t>
      </w:r>
      <w:r w:rsidRPr="000B308F">
        <w:rPr>
          <w:rFonts w:ascii="Arial" w:hAnsi="Arial" w:cs="Arial"/>
        </w:rPr>
        <w:t xml:space="preserve"> </w:t>
      </w:r>
      <w:r w:rsidR="009F586F">
        <w:rPr>
          <w:rFonts w:ascii="Arial" w:hAnsi="Arial" w:cs="Arial"/>
        </w:rPr>
        <w:t>admission authority’s</w:t>
      </w:r>
      <w:r w:rsidRPr="000B308F">
        <w:rPr>
          <w:rFonts w:ascii="Arial" w:hAnsi="Arial" w:cs="Arial"/>
        </w:rPr>
        <w:t xml:space="preserve"> decision refusing admission to a school. </w:t>
      </w:r>
      <w:r w:rsidR="009F586F">
        <w:rPr>
          <w:rFonts w:ascii="Arial" w:hAnsi="Arial" w:cs="Arial"/>
        </w:rPr>
        <w:t xml:space="preserve">Often admission authorities are local authorities, but for some types of school the governing body is the admission authority, and is responsible for the organisation of the panel. </w:t>
      </w:r>
    </w:p>
    <w:p w14:paraId="129394D6" w14:textId="77777777" w:rsidR="005349BB" w:rsidRPr="00BF5F48" w:rsidRDefault="009F586F" w:rsidP="000B308F">
      <w:pPr>
        <w:pStyle w:val="NormalWeb"/>
        <w:numPr>
          <w:ilvl w:val="0"/>
          <w:numId w:val="28"/>
        </w:numPr>
        <w:spacing w:after="120" w:afterAutospacing="0"/>
        <w:ind w:left="357" w:hanging="357"/>
        <w:rPr>
          <w:rFonts w:cs="Arial"/>
        </w:rPr>
      </w:pPr>
      <w:r>
        <w:rPr>
          <w:rFonts w:ascii="Arial" w:hAnsi="Arial" w:cs="Arial"/>
        </w:rPr>
        <w:t xml:space="preserve">Where appeal hearings are organised by the local authority, they may be arranged by the local authority’s legal department, so as to separate the appeals process from the admission function. </w:t>
      </w:r>
      <w:r w:rsidR="000642CA">
        <w:rPr>
          <w:rFonts w:ascii="Arial" w:hAnsi="Arial" w:cs="Arial"/>
        </w:rPr>
        <w:t>Most</w:t>
      </w:r>
      <w:r w:rsidR="005349BB" w:rsidRPr="000B308F">
        <w:rPr>
          <w:rFonts w:ascii="Arial" w:hAnsi="Arial" w:cs="Arial"/>
        </w:rPr>
        <w:t xml:space="preserve"> appeals are heard in a relatively short period </w:t>
      </w:r>
      <w:r w:rsidR="00987331">
        <w:rPr>
          <w:rFonts w:ascii="Arial" w:hAnsi="Arial" w:cs="Arial"/>
        </w:rPr>
        <w:t>in</w:t>
      </w:r>
      <w:r w:rsidR="003D26DE">
        <w:rPr>
          <w:rFonts w:ascii="Arial" w:hAnsi="Arial" w:cs="Arial"/>
        </w:rPr>
        <w:t xml:space="preserve"> </w:t>
      </w:r>
      <w:r w:rsidR="005349BB" w:rsidRPr="000B308F">
        <w:rPr>
          <w:rFonts w:ascii="Arial" w:hAnsi="Arial" w:cs="Arial"/>
        </w:rPr>
        <w:t>April and May and are normally heard in private.</w:t>
      </w:r>
      <w:r w:rsidR="00AF45CD">
        <w:rPr>
          <w:rFonts w:ascii="Arial" w:hAnsi="Arial" w:cs="Arial"/>
        </w:rPr>
        <w:t xml:space="preserve"> An estimate from 2013 suggests that at that time there were approximately 600 school admission appeals in Wales each year, though the volume varies according to the local authority</w:t>
      </w:r>
      <w:r w:rsidR="00DF5D94">
        <w:rPr>
          <w:rFonts w:ascii="Arial" w:hAnsi="Arial" w:cs="Arial"/>
        </w:rPr>
        <w:t>, ranging from as low as 54 appeals in Pembrokeshire in 2019/2020 to 457 appeals in the same year in Cardiff.</w:t>
      </w:r>
      <w:r w:rsidR="00AF45CD">
        <w:rPr>
          <w:rFonts w:ascii="Arial" w:hAnsi="Arial" w:cs="Arial"/>
        </w:rPr>
        <w:t xml:space="preserve"> Time taken also varies. Some appeals are concluded within hours, though more complicated appeals involving multiple applications to the same school may take longer.</w:t>
      </w:r>
    </w:p>
    <w:p w14:paraId="42C18060" w14:textId="77777777" w:rsidR="00454B0A" w:rsidRPr="00323A42" w:rsidRDefault="00454B0A" w:rsidP="000B308F">
      <w:pPr>
        <w:pStyle w:val="NormalWeb"/>
        <w:numPr>
          <w:ilvl w:val="0"/>
          <w:numId w:val="28"/>
        </w:numPr>
        <w:spacing w:after="120" w:afterAutospacing="0"/>
        <w:ind w:left="357" w:hanging="357"/>
        <w:rPr>
          <w:rFonts w:cs="Arial"/>
        </w:rPr>
      </w:pPr>
      <w:r>
        <w:rPr>
          <w:rFonts w:ascii="Arial" w:hAnsi="Arial" w:cs="Arial"/>
        </w:rPr>
        <w:t xml:space="preserve">In Cardiff, for example, </w:t>
      </w:r>
      <w:r w:rsidR="00183435">
        <w:rPr>
          <w:rFonts w:ascii="Arial" w:hAnsi="Arial" w:cs="Arial"/>
        </w:rPr>
        <w:t xml:space="preserve">some </w:t>
      </w:r>
      <w:r>
        <w:rPr>
          <w:rFonts w:ascii="Arial" w:hAnsi="Arial" w:cs="Arial"/>
        </w:rPr>
        <w:t xml:space="preserve">school admission appeal panels </w:t>
      </w:r>
      <w:r w:rsidR="00566729">
        <w:rPr>
          <w:rFonts w:ascii="Arial" w:hAnsi="Arial" w:cs="Arial"/>
        </w:rPr>
        <w:t>hearings, relating to multiple appeals from the same school, take place</w:t>
      </w:r>
      <w:r w:rsidR="00BF5F48">
        <w:rPr>
          <w:rFonts w:ascii="Arial" w:hAnsi="Arial" w:cs="Arial"/>
        </w:rPr>
        <w:t xml:space="preserve"> </w:t>
      </w:r>
      <w:r w:rsidR="00566729">
        <w:rPr>
          <w:rFonts w:ascii="Arial" w:hAnsi="Arial" w:cs="Arial"/>
        </w:rPr>
        <w:t>over</w:t>
      </w:r>
      <w:r>
        <w:rPr>
          <w:rFonts w:ascii="Arial" w:hAnsi="Arial" w:cs="Arial"/>
        </w:rPr>
        <w:t xml:space="preserve"> two stages. The first is held in a large venue with all the appellants in attendance where the local authority and school present their case. The second stage involves hearing all the individual appeals in private, which is estimated to take up to two weeks </w:t>
      </w:r>
      <w:r w:rsidR="00DF5D94">
        <w:rPr>
          <w:rFonts w:ascii="Arial" w:hAnsi="Arial" w:cs="Arial"/>
        </w:rPr>
        <w:t>to hear</w:t>
      </w:r>
      <w:r>
        <w:rPr>
          <w:rFonts w:ascii="Arial" w:hAnsi="Arial" w:cs="Arial"/>
        </w:rPr>
        <w:t xml:space="preserve"> 60 appeals.</w:t>
      </w:r>
      <w:r>
        <w:rPr>
          <w:rStyle w:val="FootnoteReference"/>
          <w:rFonts w:ascii="Arial" w:hAnsi="Arial"/>
        </w:rPr>
        <w:footnoteReference w:id="19"/>
      </w:r>
    </w:p>
    <w:p w14:paraId="466AD2BF" w14:textId="13600424" w:rsidR="005349BB" w:rsidRPr="000B308F" w:rsidRDefault="000F397E" w:rsidP="000B308F">
      <w:pPr>
        <w:pStyle w:val="Text3"/>
        <w:tabs>
          <w:tab w:val="clear" w:pos="1247"/>
        </w:tabs>
        <w:ind w:left="0" w:firstLine="357"/>
        <w:rPr>
          <w:i/>
          <w:sz w:val="24"/>
          <w:szCs w:val="24"/>
        </w:rPr>
      </w:pPr>
      <w:r>
        <w:rPr>
          <w:i/>
          <w:sz w:val="24"/>
          <w:szCs w:val="24"/>
        </w:rPr>
        <w:t xml:space="preserve">The </w:t>
      </w:r>
      <w:r w:rsidR="00C25BE0">
        <w:rPr>
          <w:i/>
          <w:sz w:val="24"/>
          <w:szCs w:val="24"/>
        </w:rPr>
        <w:t>Valuation Tribunal for Wales</w:t>
      </w:r>
    </w:p>
    <w:p w14:paraId="0B23B1C5" w14:textId="77777777" w:rsidR="005349BB" w:rsidRPr="00323A42" w:rsidRDefault="005349BB" w:rsidP="000B308F">
      <w:pPr>
        <w:pStyle w:val="NormalWeb"/>
        <w:numPr>
          <w:ilvl w:val="0"/>
          <w:numId w:val="28"/>
        </w:numPr>
        <w:spacing w:after="120" w:afterAutospacing="0"/>
        <w:ind w:left="357" w:hanging="357"/>
      </w:pPr>
      <w:r w:rsidRPr="000B308F">
        <w:rPr>
          <w:rFonts w:ascii="Arial" w:hAnsi="Arial" w:cs="Arial"/>
        </w:rPr>
        <w:t xml:space="preserve">The </w:t>
      </w:r>
      <w:r w:rsidR="00C25BE0">
        <w:rPr>
          <w:rFonts w:ascii="Arial" w:hAnsi="Arial" w:cs="Arial"/>
        </w:rPr>
        <w:t>Valuation Tribunal for Wales</w:t>
      </w:r>
      <w:r w:rsidRPr="000B308F">
        <w:rPr>
          <w:rFonts w:ascii="Arial" w:hAnsi="Arial" w:cs="Arial"/>
        </w:rPr>
        <w:t xml:space="preserve"> is sponsored </w:t>
      </w:r>
      <w:r w:rsidR="00AF45CD">
        <w:rPr>
          <w:rFonts w:ascii="Arial" w:hAnsi="Arial" w:cs="Arial"/>
        </w:rPr>
        <w:t xml:space="preserve">and funded </w:t>
      </w:r>
      <w:r w:rsidRPr="000B308F">
        <w:rPr>
          <w:rFonts w:ascii="Arial" w:hAnsi="Arial" w:cs="Arial"/>
        </w:rPr>
        <w:t xml:space="preserve">by the Welsh Government but governed by its own Governing Council, as well as a Chief Executive Office and a President. </w:t>
      </w:r>
      <w:r w:rsidR="009F586F">
        <w:rPr>
          <w:rFonts w:ascii="Arial" w:hAnsi="Arial" w:cs="Arial"/>
        </w:rPr>
        <w:t xml:space="preserve">It is responsible for its own administration. </w:t>
      </w:r>
      <w:r w:rsidRPr="000B308F">
        <w:rPr>
          <w:rFonts w:ascii="Arial" w:hAnsi="Arial" w:cs="Arial"/>
        </w:rPr>
        <w:t xml:space="preserve">The tribunal </w:t>
      </w:r>
      <w:r w:rsidR="00566729">
        <w:rPr>
          <w:rFonts w:ascii="Arial" w:hAnsi="Arial" w:cs="Arial"/>
        </w:rPr>
        <w:t>primarily</w:t>
      </w:r>
      <w:r w:rsidRPr="000B308F">
        <w:rPr>
          <w:rFonts w:ascii="Arial" w:hAnsi="Arial" w:cs="Arial"/>
        </w:rPr>
        <w:t xml:space="preserve"> </w:t>
      </w:r>
      <w:r w:rsidR="009F586F">
        <w:rPr>
          <w:rFonts w:ascii="Arial" w:hAnsi="Arial" w:cs="Arial"/>
        </w:rPr>
        <w:t>hears cases relating to</w:t>
      </w:r>
      <w:r w:rsidRPr="000B308F">
        <w:rPr>
          <w:rFonts w:ascii="Arial" w:hAnsi="Arial" w:cs="Arial"/>
        </w:rPr>
        <w:t xml:space="preserve"> </w:t>
      </w:r>
      <w:r w:rsidR="00566729">
        <w:rPr>
          <w:rFonts w:ascii="Arial" w:hAnsi="Arial" w:cs="Arial"/>
        </w:rPr>
        <w:t>non-domestic rates</w:t>
      </w:r>
      <w:r w:rsidRPr="000B308F">
        <w:rPr>
          <w:rFonts w:ascii="Arial" w:hAnsi="Arial" w:cs="Arial"/>
        </w:rPr>
        <w:t xml:space="preserve"> and council tax</w:t>
      </w:r>
      <w:r w:rsidR="009F586F">
        <w:rPr>
          <w:rFonts w:ascii="Arial" w:hAnsi="Arial" w:cs="Arial"/>
        </w:rPr>
        <w:t xml:space="preserve">. </w:t>
      </w:r>
      <w:r w:rsidRPr="000B308F">
        <w:rPr>
          <w:rFonts w:ascii="Arial" w:hAnsi="Arial" w:cs="Arial"/>
        </w:rPr>
        <w:t>These aspects are principally:</w:t>
      </w:r>
    </w:p>
    <w:p w14:paraId="736797DF" w14:textId="77777777" w:rsidR="005349BB" w:rsidRPr="000B308F" w:rsidRDefault="005349BB" w:rsidP="00A85145">
      <w:pPr>
        <w:pStyle w:val="Text3"/>
        <w:numPr>
          <w:ilvl w:val="0"/>
          <w:numId w:val="46"/>
        </w:numPr>
        <w:rPr>
          <w:sz w:val="24"/>
          <w:szCs w:val="24"/>
        </w:rPr>
      </w:pPr>
      <w:r w:rsidRPr="000B308F">
        <w:rPr>
          <w:sz w:val="24"/>
          <w:szCs w:val="24"/>
        </w:rPr>
        <w:t>The valuation of the property which is used to calculate the rate or council tax liability;</w:t>
      </w:r>
    </w:p>
    <w:p w14:paraId="683A46E3" w14:textId="77777777" w:rsidR="005349BB" w:rsidRPr="000B308F" w:rsidRDefault="005349BB" w:rsidP="00A85145">
      <w:pPr>
        <w:pStyle w:val="Text3"/>
        <w:numPr>
          <w:ilvl w:val="0"/>
          <w:numId w:val="46"/>
        </w:numPr>
        <w:rPr>
          <w:sz w:val="24"/>
          <w:szCs w:val="24"/>
        </w:rPr>
      </w:pPr>
      <w:r w:rsidRPr="000B308F">
        <w:rPr>
          <w:sz w:val="24"/>
          <w:szCs w:val="24"/>
        </w:rPr>
        <w:t xml:space="preserve">Whether a person is liable </w:t>
      </w:r>
      <w:r w:rsidR="00D53CEB">
        <w:rPr>
          <w:sz w:val="24"/>
          <w:szCs w:val="24"/>
        </w:rPr>
        <w:t xml:space="preserve">for </w:t>
      </w:r>
      <w:r w:rsidRPr="000B308F">
        <w:rPr>
          <w:sz w:val="24"/>
          <w:szCs w:val="24"/>
        </w:rPr>
        <w:t>council tax; and</w:t>
      </w:r>
    </w:p>
    <w:p w14:paraId="1EBE5C7E" w14:textId="77777777" w:rsidR="005349BB" w:rsidRPr="000B308F" w:rsidRDefault="005349BB" w:rsidP="00A85145">
      <w:pPr>
        <w:pStyle w:val="Text3"/>
        <w:numPr>
          <w:ilvl w:val="0"/>
          <w:numId w:val="46"/>
        </w:numPr>
        <w:rPr>
          <w:sz w:val="24"/>
          <w:szCs w:val="24"/>
        </w:rPr>
      </w:pPr>
      <w:r w:rsidRPr="000B308F">
        <w:rPr>
          <w:sz w:val="24"/>
          <w:szCs w:val="24"/>
        </w:rPr>
        <w:t xml:space="preserve">Whether the calculated council tax liability is correct, taking into account the various discounts, exemptions, reductions and premiums which apply in certain circumstances. </w:t>
      </w:r>
    </w:p>
    <w:p w14:paraId="07EF0214" w14:textId="77777777" w:rsidR="005349BB" w:rsidRPr="00323A42" w:rsidRDefault="005349BB" w:rsidP="000B308F">
      <w:pPr>
        <w:pStyle w:val="NormalWeb"/>
        <w:numPr>
          <w:ilvl w:val="0"/>
          <w:numId w:val="28"/>
        </w:numPr>
        <w:spacing w:after="120" w:afterAutospacing="0"/>
        <w:ind w:left="357" w:hanging="357"/>
      </w:pPr>
      <w:r w:rsidRPr="000B308F">
        <w:rPr>
          <w:rFonts w:ascii="Arial" w:hAnsi="Arial" w:cs="Arial"/>
        </w:rPr>
        <w:t xml:space="preserve">The tribunal has a significant workload as indicated in table </w:t>
      </w:r>
      <w:r w:rsidR="00EB0A53">
        <w:rPr>
          <w:rFonts w:ascii="Arial" w:hAnsi="Arial" w:cs="Arial"/>
        </w:rPr>
        <w:t>4</w:t>
      </w:r>
      <w:r w:rsidRPr="000B308F">
        <w:rPr>
          <w:rFonts w:ascii="Arial" w:hAnsi="Arial" w:cs="Arial"/>
        </w:rPr>
        <w:t xml:space="preserve"> below.</w:t>
      </w:r>
    </w:p>
    <w:p w14:paraId="772F647F" w14:textId="4603FBEF" w:rsidR="005349BB" w:rsidRPr="0097144F" w:rsidRDefault="005349BB" w:rsidP="000B308F">
      <w:pPr>
        <w:pStyle w:val="Text3"/>
        <w:tabs>
          <w:tab w:val="clear" w:pos="1247"/>
        </w:tabs>
        <w:ind w:left="0" w:firstLine="720"/>
        <w:rPr>
          <w:b/>
          <w:bCs/>
          <w:sz w:val="24"/>
          <w:szCs w:val="24"/>
        </w:rPr>
      </w:pPr>
      <w:r w:rsidRPr="000B308F">
        <w:rPr>
          <w:sz w:val="24"/>
          <w:szCs w:val="24"/>
        </w:rPr>
        <w:t xml:space="preserve">Table </w:t>
      </w:r>
      <w:r w:rsidR="00EB0A53">
        <w:rPr>
          <w:sz w:val="24"/>
          <w:szCs w:val="24"/>
        </w:rPr>
        <w:t>4</w:t>
      </w:r>
      <w:r w:rsidRPr="000B308F">
        <w:rPr>
          <w:sz w:val="24"/>
          <w:szCs w:val="24"/>
        </w:rPr>
        <w:t xml:space="preserve">: Number of cases received and decided by the </w:t>
      </w:r>
      <w:r w:rsidR="00C25BE0">
        <w:rPr>
          <w:sz w:val="24"/>
          <w:szCs w:val="24"/>
        </w:rPr>
        <w:t>Valuation Tribunal for Wales</w:t>
      </w:r>
      <w:r w:rsidRPr="000B308F">
        <w:rPr>
          <w:rStyle w:val="FootnoteReference"/>
          <w:rFonts w:cs="Arial"/>
          <w:sz w:val="24"/>
          <w:szCs w:val="24"/>
        </w:rPr>
        <w:footnoteReference w:id="20"/>
      </w:r>
      <w:r w:rsidR="00B705AC">
        <w:rPr>
          <w:sz w:val="24"/>
          <w:szCs w:val="24"/>
        </w:rPr>
        <w:t xml:space="preserve"> </w:t>
      </w:r>
    </w:p>
    <w:tbl>
      <w:tblPr>
        <w:tblStyle w:val="TableGrid"/>
        <w:tblW w:w="0" w:type="auto"/>
        <w:tblInd w:w="1184" w:type="dxa"/>
        <w:tblLook w:val="04A0" w:firstRow="1" w:lastRow="0" w:firstColumn="1" w:lastColumn="0" w:noHBand="0" w:noVBand="1"/>
      </w:tblPr>
      <w:tblGrid>
        <w:gridCol w:w="2355"/>
        <w:gridCol w:w="1084"/>
        <w:gridCol w:w="1417"/>
        <w:gridCol w:w="1418"/>
        <w:gridCol w:w="1701"/>
      </w:tblGrid>
      <w:tr w:rsidR="005349BB" w:rsidRPr="006977F9" w14:paraId="564A24B1" w14:textId="77777777" w:rsidTr="000B308F">
        <w:tc>
          <w:tcPr>
            <w:tcW w:w="2355" w:type="dxa"/>
            <w:shd w:val="clear" w:color="auto" w:fill="D9D9D9" w:themeFill="background1" w:themeFillShade="D9"/>
          </w:tcPr>
          <w:p w14:paraId="62D9B414" w14:textId="77777777" w:rsidR="005349BB" w:rsidRPr="000B308F" w:rsidRDefault="005349BB" w:rsidP="00BC00FA">
            <w:pPr>
              <w:pStyle w:val="Text3"/>
              <w:tabs>
                <w:tab w:val="clear" w:pos="1247"/>
              </w:tabs>
              <w:ind w:left="0" w:firstLine="0"/>
              <w:rPr>
                <w:sz w:val="24"/>
                <w:szCs w:val="24"/>
              </w:rPr>
            </w:pPr>
          </w:p>
        </w:tc>
        <w:tc>
          <w:tcPr>
            <w:tcW w:w="759" w:type="dxa"/>
            <w:shd w:val="clear" w:color="auto" w:fill="D9D9D9" w:themeFill="background1" w:themeFillShade="D9"/>
          </w:tcPr>
          <w:p w14:paraId="54DE5515" w14:textId="77777777" w:rsidR="005349BB" w:rsidRPr="000B308F" w:rsidRDefault="005349BB" w:rsidP="00BC00FA">
            <w:pPr>
              <w:pStyle w:val="Text3"/>
              <w:tabs>
                <w:tab w:val="clear" w:pos="1247"/>
              </w:tabs>
              <w:ind w:left="0" w:firstLine="0"/>
              <w:rPr>
                <w:sz w:val="24"/>
                <w:szCs w:val="24"/>
              </w:rPr>
            </w:pPr>
            <w:r w:rsidRPr="000B308F">
              <w:rPr>
                <w:sz w:val="24"/>
                <w:szCs w:val="24"/>
              </w:rPr>
              <w:t>2017/18</w:t>
            </w:r>
          </w:p>
        </w:tc>
        <w:tc>
          <w:tcPr>
            <w:tcW w:w="1417" w:type="dxa"/>
            <w:shd w:val="clear" w:color="auto" w:fill="D9D9D9" w:themeFill="background1" w:themeFillShade="D9"/>
          </w:tcPr>
          <w:p w14:paraId="7072DD18" w14:textId="77777777" w:rsidR="005349BB" w:rsidRPr="000B308F" w:rsidRDefault="005349BB" w:rsidP="00BC00FA">
            <w:pPr>
              <w:pStyle w:val="Text3"/>
              <w:tabs>
                <w:tab w:val="clear" w:pos="1247"/>
              </w:tabs>
              <w:ind w:left="0" w:firstLine="0"/>
              <w:rPr>
                <w:sz w:val="24"/>
                <w:szCs w:val="24"/>
              </w:rPr>
            </w:pPr>
            <w:r w:rsidRPr="000B308F">
              <w:rPr>
                <w:sz w:val="24"/>
                <w:szCs w:val="24"/>
              </w:rPr>
              <w:t>2018/19</w:t>
            </w:r>
          </w:p>
        </w:tc>
        <w:tc>
          <w:tcPr>
            <w:tcW w:w="1418" w:type="dxa"/>
            <w:shd w:val="clear" w:color="auto" w:fill="D9D9D9" w:themeFill="background1" w:themeFillShade="D9"/>
          </w:tcPr>
          <w:p w14:paraId="0198D317" w14:textId="77777777" w:rsidR="005349BB" w:rsidRPr="000B308F" w:rsidRDefault="005349BB" w:rsidP="00BC00FA">
            <w:pPr>
              <w:pStyle w:val="Text3"/>
              <w:tabs>
                <w:tab w:val="clear" w:pos="1247"/>
              </w:tabs>
              <w:ind w:left="0" w:firstLine="0"/>
              <w:rPr>
                <w:sz w:val="24"/>
                <w:szCs w:val="24"/>
              </w:rPr>
            </w:pPr>
            <w:r w:rsidRPr="000B308F">
              <w:rPr>
                <w:sz w:val="24"/>
                <w:szCs w:val="24"/>
              </w:rPr>
              <w:t>2019/20</w:t>
            </w:r>
          </w:p>
        </w:tc>
        <w:tc>
          <w:tcPr>
            <w:tcW w:w="1701" w:type="dxa"/>
            <w:shd w:val="clear" w:color="auto" w:fill="D9D9D9" w:themeFill="background1" w:themeFillShade="D9"/>
          </w:tcPr>
          <w:p w14:paraId="5EE6C616" w14:textId="77777777" w:rsidR="005349BB" w:rsidRPr="000B308F" w:rsidRDefault="005349BB" w:rsidP="00BC00FA">
            <w:pPr>
              <w:pStyle w:val="Text3"/>
              <w:tabs>
                <w:tab w:val="clear" w:pos="1247"/>
              </w:tabs>
              <w:ind w:left="0" w:firstLine="0"/>
              <w:rPr>
                <w:sz w:val="24"/>
                <w:szCs w:val="24"/>
              </w:rPr>
            </w:pPr>
            <w:r w:rsidRPr="000B308F">
              <w:rPr>
                <w:sz w:val="24"/>
                <w:szCs w:val="24"/>
              </w:rPr>
              <w:t>Average</w:t>
            </w:r>
          </w:p>
        </w:tc>
      </w:tr>
      <w:tr w:rsidR="005349BB" w:rsidRPr="006977F9" w14:paraId="60713393" w14:textId="77777777" w:rsidTr="000B308F">
        <w:tc>
          <w:tcPr>
            <w:tcW w:w="2355" w:type="dxa"/>
          </w:tcPr>
          <w:p w14:paraId="756E726A" w14:textId="77777777" w:rsidR="005349BB" w:rsidRPr="000B308F" w:rsidRDefault="00FF2603" w:rsidP="00BC00FA">
            <w:pPr>
              <w:pStyle w:val="Text3"/>
              <w:tabs>
                <w:tab w:val="clear" w:pos="1247"/>
              </w:tabs>
              <w:ind w:left="0" w:firstLine="0"/>
              <w:rPr>
                <w:sz w:val="24"/>
                <w:szCs w:val="24"/>
              </w:rPr>
            </w:pPr>
            <w:r>
              <w:rPr>
                <w:sz w:val="24"/>
                <w:szCs w:val="24"/>
              </w:rPr>
              <w:t>Applications</w:t>
            </w:r>
            <w:r w:rsidR="005349BB" w:rsidRPr="000B308F">
              <w:rPr>
                <w:sz w:val="24"/>
                <w:szCs w:val="24"/>
              </w:rPr>
              <w:t xml:space="preserve"> received</w:t>
            </w:r>
          </w:p>
        </w:tc>
        <w:tc>
          <w:tcPr>
            <w:tcW w:w="759" w:type="dxa"/>
          </w:tcPr>
          <w:p w14:paraId="29283DBA" w14:textId="77777777" w:rsidR="005349BB" w:rsidRPr="000B308F" w:rsidRDefault="00125FE3" w:rsidP="00BC00FA">
            <w:pPr>
              <w:pStyle w:val="Text3"/>
              <w:tabs>
                <w:tab w:val="clear" w:pos="1247"/>
              </w:tabs>
              <w:ind w:left="0" w:firstLine="0"/>
              <w:rPr>
                <w:sz w:val="24"/>
                <w:szCs w:val="24"/>
              </w:rPr>
            </w:pPr>
            <w:r>
              <w:rPr>
                <w:sz w:val="24"/>
                <w:szCs w:val="24"/>
              </w:rPr>
              <w:t>8,</w:t>
            </w:r>
            <w:r w:rsidR="00AB317F">
              <w:rPr>
                <w:sz w:val="24"/>
                <w:szCs w:val="24"/>
              </w:rPr>
              <w:t>519</w:t>
            </w:r>
          </w:p>
        </w:tc>
        <w:tc>
          <w:tcPr>
            <w:tcW w:w="1417" w:type="dxa"/>
          </w:tcPr>
          <w:p w14:paraId="07D4CDBC" w14:textId="77777777" w:rsidR="005349BB" w:rsidRPr="000B308F" w:rsidRDefault="00AB317F" w:rsidP="00BC00FA">
            <w:pPr>
              <w:pStyle w:val="Text3"/>
              <w:tabs>
                <w:tab w:val="clear" w:pos="1247"/>
              </w:tabs>
              <w:ind w:left="0" w:firstLine="0"/>
              <w:rPr>
                <w:sz w:val="24"/>
                <w:szCs w:val="24"/>
              </w:rPr>
            </w:pPr>
            <w:r>
              <w:rPr>
                <w:sz w:val="24"/>
                <w:szCs w:val="24"/>
              </w:rPr>
              <w:t>7,602</w:t>
            </w:r>
          </w:p>
        </w:tc>
        <w:tc>
          <w:tcPr>
            <w:tcW w:w="1418" w:type="dxa"/>
          </w:tcPr>
          <w:p w14:paraId="09E54B84" w14:textId="77777777" w:rsidR="005349BB" w:rsidRPr="000B308F" w:rsidRDefault="00AB317F" w:rsidP="00BC00FA">
            <w:pPr>
              <w:pStyle w:val="Text3"/>
              <w:tabs>
                <w:tab w:val="clear" w:pos="1247"/>
              </w:tabs>
              <w:ind w:left="0" w:firstLine="0"/>
              <w:rPr>
                <w:sz w:val="24"/>
                <w:szCs w:val="24"/>
              </w:rPr>
            </w:pPr>
            <w:r>
              <w:rPr>
                <w:sz w:val="24"/>
                <w:szCs w:val="24"/>
              </w:rPr>
              <w:t>5,116</w:t>
            </w:r>
            <w:r w:rsidR="00FF2603">
              <w:rPr>
                <w:rStyle w:val="FootnoteReference"/>
                <w:szCs w:val="24"/>
              </w:rPr>
              <w:footnoteReference w:id="21"/>
            </w:r>
          </w:p>
        </w:tc>
        <w:tc>
          <w:tcPr>
            <w:tcW w:w="1701" w:type="dxa"/>
          </w:tcPr>
          <w:p w14:paraId="487C37B0" w14:textId="77777777" w:rsidR="005349BB" w:rsidRPr="000B308F" w:rsidRDefault="00735B64" w:rsidP="00BC00FA">
            <w:pPr>
              <w:pStyle w:val="Text3"/>
              <w:tabs>
                <w:tab w:val="clear" w:pos="1247"/>
              </w:tabs>
              <w:ind w:left="0" w:firstLine="0"/>
              <w:rPr>
                <w:sz w:val="24"/>
                <w:szCs w:val="24"/>
              </w:rPr>
            </w:pPr>
            <w:r>
              <w:rPr>
                <w:sz w:val="24"/>
                <w:szCs w:val="24"/>
              </w:rPr>
              <w:t>7,079</w:t>
            </w:r>
          </w:p>
        </w:tc>
      </w:tr>
      <w:tr w:rsidR="005349BB" w:rsidRPr="006977F9" w14:paraId="6698A5B5" w14:textId="77777777" w:rsidTr="000B308F">
        <w:trPr>
          <w:trHeight w:val="664"/>
        </w:trPr>
        <w:tc>
          <w:tcPr>
            <w:tcW w:w="2355" w:type="dxa"/>
          </w:tcPr>
          <w:p w14:paraId="71D48A08" w14:textId="77777777" w:rsidR="005349BB" w:rsidRPr="000B308F" w:rsidRDefault="005349BB" w:rsidP="00BC00FA">
            <w:pPr>
              <w:pStyle w:val="Text3"/>
              <w:tabs>
                <w:tab w:val="clear" w:pos="1247"/>
              </w:tabs>
              <w:ind w:left="0" w:firstLine="0"/>
              <w:rPr>
                <w:sz w:val="24"/>
                <w:szCs w:val="24"/>
              </w:rPr>
            </w:pPr>
            <w:r w:rsidRPr="000B308F">
              <w:rPr>
                <w:sz w:val="24"/>
                <w:szCs w:val="24"/>
              </w:rPr>
              <w:t>Cases decided by the Tribunal</w:t>
            </w:r>
          </w:p>
        </w:tc>
        <w:tc>
          <w:tcPr>
            <w:tcW w:w="759" w:type="dxa"/>
          </w:tcPr>
          <w:p w14:paraId="01C049E0" w14:textId="275CDCB9" w:rsidR="005349BB" w:rsidRPr="000B308F" w:rsidRDefault="00735B64" w:rsidP="00BC00FA">
            <w:pPr>
              <w:pStyle w:val="Text3"/>
              <w:tabs>
                <w:tab w:val="clear" w:pos="1247"/>
              </w:tabs>
              <w:ind w:left="0" w:firstLine="0"/>
              <w:rPr>
                <w:sz w:val="24"/>
                <w:szCs w:val="24"/>
              </w:rPr>
            </w:pPr>
            <w:r>
              <w:rPr>
                <w:sz w:val="24"/>
                <w:szCs w:val="24"/>
              </w:rPr>
              <w:t>1</w:t>
            </w:r>
            <w:r w:rsidR="00695ADD">
              <w:rPr>
                <w:sz w:val="24"/>
                <w:szCs w:val="24"/>
              </w:rPr>
              <w:t>,</w:t>
            </w:r>
            <w:r>
              <w:rPr>
                <w:sz w:val="24"/>
                <w:szCs w:val="24"/>
              </w:rPr>
              <w:t>685</w:t>
            </w:r>
          </w:p>
        </w:tc>
        <w:tc>
          <w:tcPr>
            <w:tcW w:w="1417" w:type="dxa"/>
          </w:tcPr>
          <w:p w14:paraId="48DEB851" w14:textId="308C7B13" w:rsidR="005349BB" w:rsidRPr="000B308F" w:rsidRDefault="00735B64" w:rsidP="00BC00FA">
            <w:pPr>
              <w:pStyle w:val="Text3"/>
              <w:tabs>
                <w:tab w:val="clear" w:pos="1247"/>
              </w:tabs>
              <w:ind w:left="0" w:firstLine="0"/>
              <w:rPr>
                <w:sz w:val="24"/>
                <w:szCs w:val="24"/>
              </w:rPr>
            </w:pPr>
            <w:r>
              <w:rPr>
                <w:sz w:val="24"/>
                <w:szCs w:val="24"/>
              </w:rPr>
              <w:t>1</w:t>
            </w:r>
            <w:r w:rsidR="00695ADD">
              <w:rPr>
                <w:sz w:val="24"/>
                <w:szCs w:val="24"/>
              </w:rPr>
              <w:t>,</w:t>
            </w:r>
            <w:r>
              <w:rPr>
                <w:sz w:val="24"/>
                <w:szCs w:val="24"/>
              </w:rPr>
              <w:t>880</w:t>
            </w:r>
          </w:p>
        </w:tc>
        <w:tc>
          <w:tcPr>
            <w:tcW w:w="1418" w:type="dxa"/>
          </w:tcPr>
          <w:p w14:paraId="2351E022" w14:textId="77777777" w:rsidR="005349BB" w:rsidRPr="000B308F" w:rsidRDefault="00735B64" w:rsidP="00BC00FA">
            <w:pPr>
              <w:pStyle w:val="Text3"/>
              <w:tabs>
                <w:tab w:val="clear" w:pos="1247"/>
              </w:tabs>
              <w:ind w:left="0" w:firstLine="0"/>
              <w:rPr>
                <w:sz w:val="24"/>
                <w:szCs w:val="24"/>
              </w:rPr>
            </w:pPr>
            <w:r>
              <w:rPr>
                <w:sz w:val="24"/>
                <w:szCs w:val="24"/>
              </w:rPr>
              <w:t>879</w:t>
            </w:r>
          </w:p>
        </w:tc>
        <w:tc>
          <w:tcPr>
            <w:tcW w:w="1701" w:type="dxa"/>
          </w:tcPr>
          <w:p w14:paraId="171047A1" w14:textId="77777777" w:rsidR="005349BB" w:rsidRPr="000B308F" w:rsidRDefault="00735B64" w:rsidP="00BC00FA">
            <w:pPr>
              <w:pStyle w:val="Text3"/>
              <w:tabs>
                <w:tab w:val="clear" w:pos="1247"/>
              </w:tabs>
              <w:ind w:left="0" w:firstLine="0"/>
              <w:rPr>
                <w:sz w:val="24"/>
                <w:szCs w:val="24"/>
              </w:rPr>
            </w:pPr>
            <w:r>
              <w:rPr>
                <w:sz w:val="24"/>
                <w:szCs w:val="24"/>
              </w:rPr>
              <w:t>1,481</w:t>
            </w:r>
          </w:p>
        </w:tc>
      </w:tr>
    </w:tbl>
    <w:p w14:paraId="0919EFC4" w14:textId="77777777" w:rsidR="005349BB" w:rsidRPr="000B308F" w:rsidRDefault="005349BB" w:rsidP="005349BB">
      <w:pPr>
        <w:pStyle w:val="Text3"/>
        <w:tabs>
          <w:tab w:val="clear" w:pos="1247"/>
        </w:tabs>
        <w:ind w:left="0" w:firstLine="0"/>
        <w:rPr>
          <w:sz w:val="24"/>
          <w:szCs w:val="24"/>
        </w:rPr>
      </w:pPr>
    </w:p>
    <w:p w14:paraId="430FF1F8" w14:textId="063B504B" w:rsidR="005349BB" w:rsidRDefault="005349BB" w:rsidP="005349BB">
      <w:pPr>
        <w:pStyle w:val="Text3"/>
        <w:tabs>
          <w:tab w:val="clear" w:pos="1247"/>
        </w:tabs>
        <w:ind w:left="0" w:firstLine="0"/>
        <w:rPr>
          <w:sz w:val="24"/>
          <w:szCs w:val="24"/>
        </w:rPr>
      </w:pPr>
      <w:r w:rsidRPr="000B308F">
        <w:rPr>
          <w:sz w:val="24"/>
          <w:szCs w:val="24"/>
        </w:rPr>
        <w:t>Unlike other tribunals the members are unpaid volunteers</w:t>
      </w:r>
      <w:r w:rsidR="009F586F">
        <w:rPr>
          <w:sz w:val="24"/>
          <w:szCs w:val="24"/>
        </w:rPr>
        <w:t>, who are advised by a specialist clerk, employed by the tribunal</w:t>
      </w:r>
      <w:r w:rsidRPr="000B308F">
        <w:rPr>
          <w:sz w:val="24"/>
          <w:szCs w:val="24"/>
        </w:rPr>
        <w:t>. The tribunal has its own budget set by the Local Government Finance Division of the Welsh Government. Total expenditure for</w:t>
      </w:r>
      <w:r>
        <w:rPr>
          <w:sz w:val="24"/>
          <w:szCs w:val="24"/>
        </w:rPr>
        <w:t xml:space="preserve"> </w:t>
      </w:r>
      <w:r w:rsidR="009F586F">
        <w:rPr>
          <w:sz w:val="24"/>
          <w:szCs w:val="24"/>
        </w:rPr>
        <w:t>each of</w:t>
      </w:r>
      <w:r w:rsidRPr="000B308F">
        <w:rPr>
          <w:sz w:val="24"/>
          <w:szCs w:val="24"/>
        </w:rPr>
        <w:t xml:space="preserve"> the last three years has been just over £1 million.</w:t>
      </w:r>
    </w:p>
    <w:p w14:paraId="55C280AC" w14:textId="77777777" w:rsidR="00CC19FB" w:rsidRDefault="00CC19FB" w:rsidP="0016193F">
      <w:pPr>
        <w:pStyle w:val="NormalWeb"/>
        <w:rPr>
          <w:rFonts w:ascii="Arial" w:hAnsi="Arial" w:cs="Arial"/>
          <w:b/>
          <w:sz w:val="32"/>
          <w:szCs w:val="32"/>
        </w:rPr>
      </w:pPr>
      <w:r>
        <w:rPr>
          <w:rFonts w:ascii="Arial" w:hAnsi="Arial" w:cs="Arial"/>
          <w:b/>
          <w:sz w:val="32"/>
          <w:szCs w:val="32"/>
        </w:rPr>
        <w:t>Main stakeholders</w:t>
      </w:r>
    </w:p>
    <w:p w14:paraId="21CF2E90" w14:textId="77777777" w:rsidR="00145399" w:rsidRDefault="00145399" w:rsidP="00145399">
      <w:pPr>
        <w:pStyle w:val="NormalWeb"/>
        <w:numPr>
          <w:ilvl w:val="0"/>
          <w:numId w:val="28"/>
        </w:numPr>
        <w:spacing w:after="120" w:afterAutospacing="0"/>
        <w:ind w:left="357" w:hanging="357"/>
        <w:rPr>
          <w:rFonts w:ascii="Arial" w:hAnsi="Arial" w:cs="Arial"/>
        </w:rPr>
      </w:pPr>
      <w:r w:rsidRPr="00145399">
        <w:rPr>
          <w:rFonts w:ascii="Arial" w:hAnsi="Arial" w:cs="Arial"/>
        </w:rPr>
        <w:t>The main affected groups are:</w:t>
      </w:r>
    </w:p>
    <w:p w14:paraId="243A0941" w14:textId="77777777" w:rsidR="00145399" w:rsidRDefault="00145399" w:rsidP="00145399">
      <w:pPr>
        <w:pStyle w:val="NormalWeb"/>
        <w:numPr>
          <w:ilvl w:val="0"/>
          <w:numId w:val="33"/>
        </w:numPr>
        <w:spacing w:after="120" w:afterAutospacing="0"/>
        <w:rPr>
          <w:rFonts w:ascii="Arial" w:hAnsi="Arial" w:cs="Arial"/>
        </w:rPr>
      </w:pPr>
      <w:r>
        <w:rPr>
          <w:rFonts w:ascii="Arial" w:hAnsi="Arial" w:cs="Arial"/>
        </w:rPr>
        <w:t>The Welsh Government;</w:t>
      </w:r>
    </w:p>
    <w:p w14:paraId="6181CC44" w14:textId="77777777" w:rsidR="00E00D4B" w:rsidRDefault="00E00D4B" w:rsidP="00145399">
      <w:pPr>
        <w:pStyle w:val="NormalWeb"/>
        <w:numPr>
          <w:ilvl w:val="0"/>
          <w:numId w:val="33"/>
        </w:numPr>
        <w:spacing w:after="120" w:afterAutospacing="0"/>
        <w:rPr>
          <w:rFonts w:ascii="Arial" w:hAnsi="Arial" w:cs="Arial"/>
        </w:rPr>
      </w:pPr>
      <w:r>
        <w:rPr>
          <w:rFonts w:ascii="Arial" w:hAnsi="Arial" w:cs="Arial"/>
        </w:rPr>
        <w:t>Local authorities in Wales;</w:t>
      </w:r>
    </w:p>
    <w:p w14:paraId="4B863BBF" w14:textId="77777777" w:rsidR="00145399" w:rsidRDefault="00145399" w:rsidP="00145399">
      <w:pPr>
        <w:pStyle w:val="NormalWeb"/>
        <w:numPr>
          <w:ilvl w:val="0"/>
          <w:numId w:val="33"/>
        </w:numPr>
        <w:spacing w:after="120" w:afterAutospacing="0"/>
        <w:rPr>
          <w:rFonts w:ascii="Arial" w:hAnsi="Arial" w:cs="Arial"/>
        </w:rPr>
      </w:pPr>
      <w:r>
        <w:rPr>
          <w:rFonts w:ascii="Arial" w:hAnsi="Arial" w:cs="Arial"/>
        </w:rPr>
        <w:t>Ministry of Justice;</w:t>
      </w:r>
    </w:p>
    <w:p w14:paraId="77AEEF91" w14:textId="77777777" w:rsidR="00145399" w:rsidRDefault="00145399" w:rsidP="00145399">
      <w:pPr>
        <w:pStyle w:val="NormalWeb"/>
        <w:numPr>
          <w:ilvl w:val="0"/>
          <w:numId w:val="33"/>
        </w:numPr>
        <w:spacing w:after="120" w:afterAutospacing="0"/>
        <w:rPr>
          <w:rFonts w:ascii="Arial" w:hAnsi="Arial" w:cs="Arial"/>
        </w:rPr>
      </w:pPr>
      <w:r>
        <w:rPr>
          <w:rFonts w:ascii="Arial" w:hAnsi="Arial" w:cs="Arial"/>
        </w:rPr>
        <w:t>Tribunal judges</w:t>
      </w:r>
      <w:r w:rsidR="00780C8A">
        <w:rPr>
          <w:rFonts w:ascii="Arial" w:hAnsi="Arial" w:cs="Arial"/>
        </w:rPr>
        <w:t xml:space="preserve"> and </w:t>
      </w:r>
      <w:r w:rsidR="000D0568">
        <w:rPr>
          <w:rFonts w:ascii="Arial" w:hAnsi="Arial" w:cs="Arial"/>
        </w:rPr>
        <w:t xml:space="preserve">other </w:t>
      </w:r>
      <w:r w:rsidR="00780C8A">
        <w:rPr>
          <w:rFonts w:ascii="Arial" w:hAnsi="Arial" w:cs="Arial"/>
        </w:rPr>
        <w:t>members</w:t>
      </w:r>
      <w:r>
        <w:rPr>
          <w:rFonts w:ascii="Arial" w:hAnsi="Arial" w:cs="Arial"/>
        </w:rPr>
        <w:t>;</w:t>
      </w:r>
    </w:p>
    <w:p w14:paraId="0D297E12" w14:textId="77777777" w:rsidR="00145399" w:rsidRDefault="00145399" w:rsidP="00145399">
      <w:pPr>
        <w:pStyle w:val="NormalWeb"/>
        <w:numPr>
          <w:ilvl w:val="0"/>
          <w:numId w:val="33"/>
        </w:numPr>
        <w:spacing w:after="120" w:afterAutospacing="0"/>
        <w:rPr>
          <w:rFonts w:ascii="Arial" w:hAnsi="Arial" w:cs="Arial"/>
        </w:rPr>
      </w:pPr>
      <w:r>
        <w:rPr>
          <w:rFonts w:ascii="Arial" w:hAnsi="Arial" w:cs="Arial"/>
        </w:rPr>
        <w:t>Chairs and Presidents of the Welsh Tribunals;</w:t>
      </w:r>
    </w:p>
    <w:p w14:paraId="0BD63DB4" w14:textId="77777777" w:rsidR="00780C8A" w:rsidRDefault="00780C8A" w:rsidP="00145399">
      <w:pPr>
        <w:pStyle w:val="NormalWeb"/>
        <w:numPr>
          <w:ilvl w:val="0"/>
          <w:numId w:val="33"/>
        </w:numPr>
        <w:spacing w:after="120" w:afterAutospacing="0"/>
        <w:rPr>
          <w:rFonts w:ascii="Arial" w:hAnsi="Arial" w:cs="Arial"/>
        </w:rPr>
      </w:pPr>
      <w:r>
        <w:rPr>
          <w:rFonts w:ascii="Arial" w:hAnsi="Arial" w:cs="Arial"/>
        </w:rPr>
        <w:t>Tribunal users;</w:t>
      </w:r>
    </w:p>
    <w:p w14:paraId="3509C89B" w14:textId="77777777" w:rsidR="00145399" w:rsidRDefault="00145399" w:rsidP="00145399">
      <w:pPr>
        <w:pStyle w:val="NormalWeb"/>
        <w:numPr>
          <w:ilvl w:val="0"/>
          <w:numId w:val="33"/>
        </w:numPr>
        <w:spacing w:after="120" w:afterAutospacing="0"/>
        <w:rPr>
          <w:rFonts w:ascii="Arial" w:hAnsi="Arial" w:cs="Arial"/>
        </w:rPr>
      </w:pPr>
      <w:r>
        <w:rPr>
          <w:rFonts w:ascii="Arial" w:hAnsi="Arial" w:cs="Arial"/>
        </w:rPr>
        <w:t>The Law Society;</w:t>
      </w:r>
    </w:p>
    <w:p w14:paraId="5361AE36" w14:textId="77777777" w:rsidR="00145399" w:rsidRDefault="00145399" w:rsidP="00145399">
      <w:pPr>
        <w:pStyle w:val="NormalWeb"/>
        <w:numPr>
          <w:ilvl w:val="0"/>
          <w:numId w:val="33"/>
        </w:numPr>
        <w:spacing w:after="120" w:afterAutospacing="0"/>
        <w:rPr>
          <w:rFonts w:ascii="Arial" w:hAnsi="Arial" w:cs="Arial"/>
        </w:rPr>
      </w:pPr>
      <w:r>
        <w:rPr>
          <w:rFonts w:ascii="Arial" w:hAnsi="Arial" w:cs="Arial"/>
        </w:rPr>
        <w:t>The Public Services Ombudsman for Wales;</w:t>
      </w:r>
    </w:p>
    <w:p w14:paraId="65652787" w14:textId="73F7D080" w:rsidR="00145399" w:rsidRDefault="00145399" w:rsidP="00145399">
      <w:pPr>
        <w:pStyle w:val="NormalWeb"/>
        <w:numPr>
          <w:ilvl w:val="0"/>
          <w:numId w:val="33"/>
        </w:numPr>
        <w:spacing w:after="120" w:afterAutospacing="0"/>
        <w:rPr>
          <w:rFonts w:ascii="Arial" w:hAnsi="Arial" w:cs="Arial"/>
        </w:rPr>
      </w:pPr>
      <w:r>
        <w:rPr>
          <w:rFonts w:ascii="Arial" w:hAnsi="Arial" w:cs="Arial"/>
        </w:rPr>
        <w:t>Judicial Appointments Commi</w:t>
      </w:r>
      <w:r w:rsidR="00C73E7E">
        <w:rPr>
          <w:rFonts w:ascii="Arial" w:hAnsi="Arial" w:cs="Arial"/>
        </w:rPr>
        <w:t>ssion</w:t>
      </w:r>
      <w:r>
        <w:rPr>
          <w:rFonts w:ascii="Arial" w:hAnsi="Arial" w:cs="Arial"/>
        </w:rPr>
        <w:t>;</w:t>
      </w:r>
    </w:p>
    <w:p w14:paraId="74AA650B" w14:textId="77777777" w:rsidR="00145399" w:rsidRDefault="00145399" w:rsidP="00145399">
      <w:pPr>
        <w:pStyle w:val="NormalWeb"/>
        <w:numPr>
          <w:ilvl w:val="0"/>
          <w:numId w:val="33"/>
        </w:numPr>
        <w:spacing w:after="120" w:afterAutospacing="0"/>
        <w:rPr>
          <w:rFonts w:ascii="Arial" w:hAnsi="Arial" w:cs="Arial"/>
        </w:rPr>
      </w:pPr>
      <w:r>
        <w:rPr>
          <w:rFonts w:ascii="Arial" w:hAnsi="Arial" w:cs="Arial"/>
        </w:rPr>
        <w:t>Judicial Conduct and Investigations Office;</w:t>
      </w:r>
    </w:p>
    <w:p w14:paraId="47F352A1" w14:textId="77777777" w:rsidR="00145399" w:rsidRPr="00145399" w:rsidRDefault="00145399" w:rsidP="00145399">
      <w:pPr>
        <w:pStyle w:val="NormalWeb"/>
        <w:numPr>
          <w:ilvl w:val="0"/>
          <w:numId w:val="33"/>
        </w:numPr>
        <w:spacing w:after="120" w:afterAutospacing="0"/>
        <w:rPr>
          <w:rFonts w:ascii="Arial" w:hAnsi="Arial" w:cs="Arial"/>
        </w:rPr>
      </w:pPr>
      <w:r>
        <w:rPr>
          <w:rFonts w:ascii="Arial" w:hAnsi="Arial" w:cs="Arial"/>
        </w:rPr>
        <w:t>Sectoral groups in the mental health, housing and education sectors.</w:t>
      </w:r>
    </w:p>
    <w:p w14:paraId="5CB5B93D" w14:textId="77777777" w:rsidR="00CC19FB" w:rsidRDefault="00CC19FB" w:rsidP="00004BFD">
      <w:pPr>
        <w:pStyle w:val="NormalWeb"/>
        <w:ind w:firstLine="360"/>
        <w:rPr>
          <w:rFonts w:ascii="Arial" w:hAnsi="Arial" w:cs="Arial"/>
          <w:b/>
          <w:sz w:val="32"/>
          <w:szCs w:val="32"/>
        </w:rPr>
      </w:pPr>
      <w:r>
        <w:rPr>
          <w:rFonts w:ascii="Arial" w:hAnsi="Arial" w:cs="Arial"/>
          <w:b/>
          <w:sz w:val="32"/>
          <w:szCs w:val="32"/>
        </w:rPr>
        <w:t>Option description</w:t>
      </w:r>
    </w:p>
    <w:p w14:paraId="42902F54" w14:textId="77777777" w:rsidR="00145399" w:rsidRPr="000B308F" w:rsidRDefault="00145399" w:rsidP="00145399">
      <w:pPr>
        <w:pStyle w:val="ListParagraph"/>
        <w:numPr>
          <w:ilvl w:val="0"/>
          <w:numId w:val="32"/>
        </w:numPr>
        <w:spacing w:after="120"/>
        <w:rPr>
          <w:rFonts w:cs="Arial"/>
          <w:bCs/>
          <w:color w:val="000000"/>
          <w:lang w:eastAsia="en-GB"/>
        </w:rPr>
      </w:pPr>
      <w:r w:rsidRPr="000B308F">
        <w:rPr>
          <w:rFonts w:cs="Arial"/>
          <w:bCs/>
          <w:color w:val="000000"/>
          <w:lang w:eastAsia="en-GB"/>
        </w:rPr>
        <w:t xml:space="preserve">This impact assessment compares </w:t>
      </w:r>
      <w:r w:rsidR="00B00177">
        <w:rPr>
          <w:rFonts w:cs="Arial"/>
          <w:bCs/>
          <w:color w:val="000000"/>
          <w:lang w:eastAsia="en-GB"/>
        </w:rPr>
        <w:t xml:space="preserve">three </w:t>
      </w:r>
      <w:r w:rsidRPr="000B308F">
        <w:rPr>
          <w:rFonts w:cs="Arial"/>
          <w:bCs/>
          <w:color w:val="000000"/>
          <w:lang w:eastAsia="en-GB"/>
        </w:rPr>
        <w:t>Options 1</w:t>
      </w:r>
      <w:r w:rsidR="00B00177">
        <w:rPr>
          <w:rFonts w:cs="Arial"/>
          <w:bCs/>
          <w:color w:val="000000"/>
          <w:lang w:eastAsia="en-GB"/>
        </w:rPr>
        <w:t>-</w:t>
      </w:r>
      <w:r w:rsidR="00F9634D">
        <w:rPr>
          <w:rFonts w:cs="Arial"/>
          <w:bCs/>
          <w:color w:val="000000"/>
          <w:lang w:eastAsia="en-GB"/>
        </w:rPr>
        <w:t xml:space="preserve">3 </w:t>
      </w:r>
      <w:r w:rsidR="00F9634D" w:rsidRPr="000B308F">
        <w:rPr>
          <w:rFonts w:cs="Arial"/>
          <w:bCs/>
          <w:color w:val="000000"/>
          <w:lang w:eastAsia="en-GB"/>
        </w:rPr>
        <w:t>against</w:t>
      </w:r>
      <w:r w:rsidRPr="000B308F">
        <w:rPr>
          <w:rFonts w:cs="Arial"/>
          <w:bCs/>
          <w:color w:val="000000"/>
          <w:lang w:eastAsia="en-GB"/>
        </w:rPr>
        <w:t xml:space="preserve"> the do nothing [option 0]:</w:t>
      </w:r>
    </w:p>
    <w:p w14:paraId="30747F03" w14:textId="77777777" w:rsidR="00145399" w:rsidRPr="000B308F" w:rsidRDefault="00145399" w:rsidP="00145399">
      <w:pPr>
        <w:pStyle w:val="ListParagraph"/>
        <w:spacing w:after="120"/>
        <w:rPr>
          <w:rFonts w:cs="Arial"/>
          <w:bCs/>
          <w:color w:val="000000"/>
          <w:lang w:eastAsia="en-GB"/>
        </w:rPr>
      </w:pPr>
    </w:p>
    <w:p w14:paraId="0039533C" w14:textId="77777777" w:rsidR="00145399" w:rsidRDefault="00145399" w:rsidP="00145399">
      <w:pPr>
        <w:pStyle w:val="ListParagraph"/>
        <w:keepLines/>
        <w:numPr>
          <w:ilvl w:val="0"/>
          <w:numId w:val="31"/>
        </w:numPr>
        <w:spacing w:after="240" w:line="264" w:lineRule="auto"/>
        <w:ind w:left="1080" w:right="567"/>
        <w:jc w:val="both"/>
        <w:outlineLvl w:val="0"/>
        <w:rPr>
          <w:rFonts w:cs="Arial"/>
        </w:rPr>
      </w:pPr>
      <w:r w:rsidRPr="000B308F">
        <w:rPr>
          <w:rFonts w:cs="Arial"/>
        </w:rPr>
        <w:t>Option 0 – Do nothing</w:t>
      </w:r>
      <w:r w:rsidR="000315EF" w:rsidRPr="000B308F">
        <w:rPr>
          <w:rFonts w:cs="Arial"/>
        </w:rPr>
        <w:t>. Under this option the pro</w:t>
      </w:r>
      <w:r w:rsidR="000C2E3E" w:rsidRPr="000B308F">
        <w:rPr>
          <w:rFonts w:cs="Arial"/>
        </w:rPr>
        <w:t>blems outline</w:t>
      </w:r>
      <w:r w:rsidR="0033238B" w:rsidRPr="000B308F">
        <w:rPr>
          <w:rFonts w:cs="Arial"/>
        </w:rPr>
        <w:t>d</w:t>
      </w:r>
      <w:r w:rsidR="000C2E3E" w:rsidRPr="000B308F">
        <w:rPr>
          <w:rFonts w:cs="Arial"/>
        </w:rPr>
        <w:t xml:space="preserve"> above would persist</w:t>
      </w:r>
      <w:r w:rsidR="00FB2F17">
        <w:rPr>
          <w:rFonts w:cs="Arial"/>
        </w:rPr>
        <w:t>;</w:t>
      </w:r>
    </w:p>
    <w:p w14:paraId="323AE0AA" w14:textId="77777777" w:rsidR="00FB2F17" w:rsidRDefault="00FB2F17" w:rsidP="000B308F">
      <w:pPr>
        <w:pStyle w:val="ListParagraph"/>
        <w:keepLines/>
        <w:spacing w:after="240" w:line="264" w:lineRule="auto"/>
        <w:ind w:left="1080" w:right="567"/>
        <w:jc w:val="both"/>
        <w:outlineLvl w:val="0"/>
        <w:rPr>
          <w:rFonts w:cs="Arial"/>
        </w:rPr>
      </w:pPr>
    </w:p>
    <w:p w14:paraId="17C9B89F" w14:textId="213CEC27" w:rsidR="00B00177" w:rsidRDefault="00B00177" w:rsidP="00145399">
      <w:pPr>
        <w:pStyle w:val="ListParagraph"/>
        <w:keepLines/>
        <w:numPr>
          <w:ilvl w:val="0"/>
          <w:numId w:val="31"/>
        </w:numPr>
        <w:spacing w:after="240" w:line="264" w:lineRule="auto"/>
        <w:ind w:left="1080" w:right="567"/>
        <w:jc w:val="both"/>
        <w:outlineLvl w:val="0"/>
        <w:rPr>
          <w:rFonts w:cs="Arial"/>
        </w:rPr>
      </w:pPr>
      <w:r w:rsidRPr="005F140B">
        <w:rPr>
          <w:rFonts w:cs="Arial"/>
        </w:rPr>
        <w:t xml:space="preserve">Option 1 – </w:t>
      </w:r>
      <w:r w:rsidR="002E797D">
        <w:rPr>
          <w:rFonts w:cs="Arial"/>
        </w:rPr>
        <w:t xml:space="preserve">Create a First-tier Tribunal </w:t>
      </w:r>
      <w:r w:rsidRPr="005F140B">
        <w:rPr>
          <w:rFonts w:cs="Arial"/>
        </w:rPr>
        <w:t>for Wales</w:t>
      </w:r>
      <w:r w:rsidR="002C5DF5">
        <w:rPr>
          <w:rFonts w:cs="Arial"/>
        </w:rPr>
        <w:t xml:space="preserve"> and Appeal Tribunal for Wales</w:t>
      </w:r>
      <w:r>
        <w:rPr>
          <w:rFonts w:cs="Arial"/>
        </w:rPr>
        <w:t>;</w:t>
      </w:r>
    </w:p>
    <w:p w14:paraId="30BC6BFA" w14:textId="77777777" w:rsidR="00FB2F17" w:rsidRPr="00323A42" w:rsidRDefault="00FB2F17" w:rsidP="000B308F">
      <w:pPr>
        <w:pStyle w:val="ListParagraph"/>
        <w:rPr>
          <w:rFonts w:cs="Arial"/>
        </w:rPr>
      </w:pPr>
    </w:p>
    <w:p w14:paraId="478722D9" w14:textId="77777777" w:rsidR="00B00177" w:rsidRDefault="00B00177" w:rsidP="00145399">
      <w:pPr>
        <w:pStyle w:val="ListParagraph"/>
        <w:keepLines/>
        <w:numPr>
          <w:ilvl w:val="0"/>
          <w:numId w:val="31"/>
        </w:numPr>
        <w:spacing w:after="240" w:line="264" w:lineRule="auto"/>
        <w:ind w:left="1080" w:right="567"/>
        <w:jc w:val="both"/>
        <w:outlineLvl w:val="0"/>
        <w:rPr>
          <w:rFonts w:cs="Arial"/>
        </w:rPr>
      </w:pPr>
      <w:r w:rsidRPr="005F140B">
        <w:rPr>
          <w:rFonts w:cs="Arial"/>
        </w:rPr>
        <w:t>Option 2 – Gradual unification of tribunal</w:t>
      </w:r>
      <w:r w:rsidR="002E797D">
        <w:rPr>
          <w:rFonts w:cs="Arial"/>
        </w:rPr>
        <w:t>s</w:t>
      </w:r>
      <w:r>
        <w:rPr>
          <w:rFonts w:cs="Arial"/>
        </w:rPr>
        <w:t>; and</w:t>
      </w:r>
    </w:p>
    <w:p w14:paraId="2650AE2F" w14:textId="77777777" w:rsidR="00FB2F17" w:rsidRPr="00323A42" w:rsidRDefault="00FB2F17" w:rsidP="000B308F">
      <w:pPr>
        <w:pStyle w:val="ListParagraph"/>
        <w:rPr>
          <w:rFonts w:cs="Arial"/>
        </w:rPr>
      </w:pPr>
    </w:p>
    <w:p w14:paraId="00370244" w14:textId="77777777" w:rsidR="00B00177" w:rsidRDefault="00B00177" w:rsidP="000D0568">
      <w:pPr>
        <w:pStyle w:val="ListParagraph"/>
        <w:keepLines/>
        <w:numPr>
          <w:ilvl w:val="0"/>
          <w:numId w:val="31"/>
        </w:numPr>
        <w:spacing w:after="240" w:line="264" w:lineRule="auto"/>
        <w:ind w:left="1080" w:right="567"/>
        <w:jc w:val="both"/>
        <w:outlineLvl w:val="0"/>
        <w:rPr>
          <w:rFonts w:cs="Arial"/>
        </w:rPr>
      </w:pPr>
      <w:r w:rsidRPr="005F140B">
        <w:rPr>
          <w:rFonts w:cs="Arial"/>
        </w:rPr>
        <w:t xml:space="preserve">Option 3 – </w:t>
      </w:r>
      <w:r w:rsidR="000D0568" w:rsidRPr="000D0568">
        <w:rPr>
          <w:rFonts w:cs="Arial"/>
        </w:rPr>
        <w:t xml:space="preserve">Use primary legislation to standardise current arrangements for the existing devolved Welsh tribunals in relation to </w:t>
      </w:r>
      <w:r w:rsidR="00817272">
        <w:rPr>
          <w:rFonts w:cs="Arial"/>
        </w:rPr>
        <w:t xml:space="preserve">procedural rules, </w:t>
      </w:r>
      <w:r w:rsidR="000D0568" w:rsidRPr="000D0568">
        <w:rPr>
          <w:rFonts w:cs="Arial"/>
        </w:rPr>
        <w:t>appointments and discipline without creating a unified first-tier tribunal</w:t>
      </w:r>
      <w:r w:rsidR="007B1B0E">
        <w:rPr>
          <w:rFonts w:cs="Arial"/>
        </w:rPr>
        <w:t>.</w:t>
      </w:r>
    </w:p>
    <w:p w14:paraId="595E9F3A" w14:textId="77777777" w:rsidR="00145399" w:rsidRPr="00F9788B" w:rsidRDefault="00145399" w:rsidP="00145399">
      <w:pPr>
        <w:pStyle w:val="ListParagraph"/>
        <w:keepLines/>
        <w:spacing w:after="240" w:line="264" w:lineRule="auto"/>
        <w:ind w:left="1080" w:right="567"/>
        <w:jc w:val="both"/>
        <w:outlineLvl w:val="0"/>
        <w:rPr>
          <w:rFonts w:cs="Arial"/>
        </w:rPr>
      </w:pPr>
    </w:p>
    <w:p w14:paraId="1E0F5A93" w14:textId="25292444" w:rsidR="00280B6C" w:rsidRPr="000B308F" w:rsidRDefault="00145399" w:rsidP="000B308F">
      <w:pPr>
        <w:pStyle w:val="ListParagraph"/>
        <w:numPr>
          <w:ilvl w:val="0"/>
          <w:numId w:val="32"/>
        </w:numPr>
        <w:spacing w:after="120"/>
        <w:rPr>
          <w:rFonts w:cs="Arial"/>
        </w:rPr>
      </w:pPr>
      <w:r w:rsidRPr="00F9788B">
        <w:rPr>
          <w:rFonts w:cs="Arial"/>
        </w:rPr>
        <w:t>Option 1 –</w:t>
      </w:r>
      <w:r w:rsidR="00614E86" w:rsidRPr="000B308F">
        <w:rPr>
          <w:rFonts w:cs="Arial"/>
        </w:rPr>
        <w:t xml:space="preserve"> </w:t>
      </w:r>
      <w:r w:rsidR="00783974">
        <w:rPr>
          <w:rFonts w:cs="Arial"/>
        </w:rPr>
        <w:t>Create a First-tier Tribunal</w:t>
      </w:r>
      <w:r w:rsidR="00614E86" w:rsidRPr="000B308F">
        <w:rPr>
          <w:rFonts w:cs="Arial"/>
        </w:rPr>
        <w:t xml:space="preserve"> for Wales</w:t>
      </w:r>
      <w:r w:rsidR="00913545">
        <w:rPr>
          <w:rFonts w:cs="Arial"/>
        </w:rPr>
        <w:t xml:space="preserve"> and Appeal Tribunal for Wales</w:t>
      </w:r>
      <w:r w:rsidR="00614E86" w:rsidRPr="000B308F">
        <w:rPr>
          <w:rFonts w:cs="Arial"/>
        </w:rPr>
        <w:t xml:space="preserve">. </w:t>
      </w:r>
      <w:r w:rsidR="005B508B" w:rsidRPr="000B308F">
        <w:rPr>
          <w:rFonts w:cs="Arial"/>
        </w:rPr>
        <w:t>At present</w:t>
      </w:r>
      <w:r w:rsidR="004B717E" w:rsidRPr="000B308F">
        <w:rPr>
          <w:rFonts w:cs="Arial"/>
        </w:rPr>
        <w:t xml:space="preserve"> each tribunal is established under a different piece of underlying legislation. </w:t>
      </w:r>
      <w:bookmarkStart w:id="42" w:name="_Hlk55299369"/>
      <w:r w:rsidR="004B717E" w:rsidRPr="000B308F">
        <w:rPr>
          <w:rFonts w:cs="Arial"/>
        </w:rPr>
        <w:t>The new Bill</w:t>
      </w:r>
      <w:r w:rsidR="00614E86" w:rsidRPr="000B308F">
        <w:rPr>
          <w:rFonts w:cs="Arial"/>
        </w:rPr>
        <w:t xml:space="preserve"> would replace the </w:t>
      </w:r>
      <w:r w:rsidR="004B717E" w:rsidRPr="000B308F">
        <w:rPr>
          <w:rFonts w:cs="Arial"/>
        </w:rPr>
        <w:t xml:space="preserve">separate pieces of </w:t>
      </w:r>
      <w:r w:rsidR="00614E86" w:rsidRPr="000B308F">
        <w:rPr>
          <w:rFonts w:cs="Arial"/>
        </w:rPr>
        <w:t>underlying existing legislation for each tribunal</w:t>
      </w:r>
      <w:r w:rsidR="004B717E" w:rsidRPr="000B308F">
        <w:rPr>
          <w:rFonts w:cs="Arial"/>
        </w:rPr>
        <w:t xml:space="preserve">, setting </w:t>
      </w:r>
      <w:r w:rsidR="00196DBB">
        <w:rPr>
          <w:rFonts w:cs="Arial"/>
        </w:rPr>
        <w:t xml:space="preserve">up </w:t>
      </w:r>
      <w:r w:rsidR="00614E86" w:rsidRPr="000B308F">
        <w:rPr>
          <w:rFonts w:cs="Arial"/>
        </w:rPr>
        <w:t>a unified first-tier tribunal, which could be subdivided into chambers through secondary legislation</w:t>
      </w:r>
      <w:bookmarkEnd w:id="42"/>
      <w:r w:rsidR="00614E86" w:rsidRPr="000B308F">
        <w:rPr>
          <w:rFonts w:cs="Arial"/>
        </w:rPr>
        <w:t xml:space="preserve">. </w:t>
      </w:r>
      <w:r w:rsidR="00A1543A" w:rsidRPr="000B308F">
        <w:rPr>
          <w:rFonts w:cs="Arial"/>
        </w:rPr>
        <w:t>Some e</w:t>
      </w:r>
      <w:r w:rsidR="00280B6C" w:rsidRPr="000B308F">
        <w:rPr>
          <w:rFonts w:cs="Arial"/>
        </w:rPr>
        <w:t xml:space="preserve">xisting tribunals </w:t>
      </w:r>
      <w:r w:rsidR="00A1543A" w:rsidRPr="000B308F">
        <w:rPr>
          <w:rFonts w:cs="Arial"/>
        </w:rPr>
        <w:t>w</w:t>
      </w:r>
      <w:r w:rsidR="00280B6C" w:rsidRPr="000B308F">
        <w:rPr>
          <w:rFonts w:cs="Arial"/>
        </w:rPr>
        <w:t>ould be amalgamated within a chamber</w:t>
      </w:r>
      <w:r w:rsidR="00A1543A" w:rsidRPr="000B308F">
        <w:rPr>
          <w:rFonts w:cs="Arial"/>
        </w:rPr>
        <w:t xml:space="preserve"> and others, such as the Mental Health Review Tribunal for Wales, would form </w:t>
      </w:r>
      <w:r w:rsidR="00C35266">
        <w:rPr>
          <w:rFonts w:cs="Arial"/>
        </w:rPr>
        <w:t xml:space="preserve">their </w:t>
      </w:r>
      <w:r w:rsidR="00A1543A" w:rsidRPr="000B308F">
        <w:rPr>
          <w:rFonts w:cs="Arial"/>
        </w:rPr>
        <w:t xml:space="preserve">own chamber. </w:t>
      </w:r>
    </w:p>
    <w:p w14:paraId="4E128DD9" w14:textId="77777777" w:rsidR="00A1543A" w:rsidRPr="000B308F" w:rsidRDefault="00A1543A" w:rsidP="00280B6C">
      <w:pPr>
        <w:pStyle w:val="ListParagraph"/>
        <w:keepLines/>
        <w:spacing w:after="240" w:line="264" w:lineRule="auto"/>
        <w:ind w:left="1080" w:right="567"/>
        <w:jc w:val="both"/>
        <w:outlineLvl w:val="0"/>
        <w:rPr>
          <w:rFonts w:cs="Arial"/>
        </w:rPr>
      </w:pPr>
    </w:p>
    <w:p w14:paraId="38D88C82" w14:textId="34F6CC71" w:rsidR="00294347" w:rsidRPr="000B308F" w:rsidRDefault="00A1543A" w:rsidP="000B308F">
      <w:pPr>
        <w:pStyle w:val="ListParagraph"/>
        <w:numPr>
          <w:ilvl w:val="0"/>
          <w:numId w:val="32"/>
        </w:numPr>
        <w:spacing w:after="120"/>
        <w:rPr>
          <w:rFonts w:cs="Arial"/>
        </w:rPr>
      </w:pPr>
      <w:r w:rsidRPr="000B308F">
        <w:rPr>
          <w:rFonts w:cs="Arial"/>
        </w:rPr>
        <w:t>At present there are approximately 2</w:t>
      </w:r>
      <w:r w:rsidR="00D17EF2" w:rsidRPr="000B308F">
        <w:rPr>
          <w:rFonts w:cs="Arial"/>
        </w:rPr>
        <w:t>0</w:t>
      </w:r>
      <w:r w:rsidRPr="000B308F">
        <w:rPr>
          <w:rFonts w:cs="Arial"/>
        </w:rPr>
        <w:t xml:space="preserve"> routes of appeal </w:t>
      </w:r>
      <w:r w:rsidR="008F705D">
        <w:rPr>
          <w:rFonts w:cs="Arial"/>
        </w:rPr>
        <w:t xml:space="preserve">provided by </w:t>
      </w:r>
      <w:r w:rsidRPr="000B308F">
        <w:rPr>
          <w:rFonts w:cs="Arial"/>
        </w:rPr>
        <w:t>Welsh legislation</w:t>
      </w:r>
      <w:r w:rsidR="00373A9D">
        <w:rPr>
          <w:rFonts w:cs="Arial"/>
        </w:rPr>
        <w:t xml:space="preserve"> to the </w:t>
      </w:r>
      <w:r w:rsidR="008F705D">
        <w:rPr>
          <w:rFonts w:cs="Arial"/>
        </w:rPr>
        <w:t>F</w:t>
      </w:r>
      <w:r w:rsidR="008F705D" w:rsidRPr="000B308F">
        <w:rPr>
          <w:rFonts w:cs="Arial"/>
        </w:rPr>
        <w:t xml:space="preserve">irst-tier </w:t>
      </w:r>
      <w:r w:rsidR="008F705D">
        <w:rPr>
          <w:rFonts w:cs="Arial"/>
        </w:rPr>
        <w:t>T</w:t>
      </w:r>
      <w:r w:rsidR="008F705D" w:rsidRPr="000B308F">
        <w:rPr>
          <w:rFonts w:cs="Arial"/>
        </w:rPr>
        <w:t>ribunal</w:t>
      </w:r>
      <w:r w:rsidR="008F705D">
        <w:rPr>
          <w:rFonts w:cs="Arial"/>
        </w:rPr>
        <w:t xml:space="preserve"> created by the </w:t>
      </w:r>
      <w:r w:rsidR="00373A9D">
        <w:rPr>
          <w:rFonts w:cs="Arial"/>
        </w:rPr>
        <w:t>Tribunals Courts and Enforcement Act 2007</w:t>
      </w:r>
      <w:r w:rsidRPr="000B308F">
        <w:rPr>
          <w:rFonts w:cs="Arial"/>
        </w:rPr>
        <w:t xml:space="preserve">. As </w:t>
      </w:r>
      <w:r w:rsidR="008E34BC" w:rsidRPr="000B308F">
        <w:rPr>
          <w:rFonts w:cs="Arial"/>
        </w:rPr>
        <w:t>the Senedd legislates in devolved policy areas</w:t>
      </w:r>
      <w:r w:rsidR="00D17EF2" w:rsidRPr="000B308F">
        <w:rPr>
          <w:rFonts w:cs="Arial"/>
        </w:rPr>
        <w:t>, and in particular as the UK’s exit from the EU opens up new areas to Senedd regulation,</w:t>
      </w:r>
      <w:r w:rsidR="008E34BC" w:rsidRPr="000B308F">
        <w:rPr>
          <w:rFonts w:cs="Arial"/>
        </w:rPr>
        <w:t xml:space="preserve"> </w:t>
      </w:r>
      <w:r w:rsidRPr="000B308F">
        <w:rPr>
          <w:rFonts w:cs="Arial"/>
        </w:rPr>
        <w:t xml:space="preserve">the number of appeal routes </w:t>
      </w:r>
      <w:r w:rsidR="00D3632A">
        <w:rPr>
          <w:rFonts w:cs="Arial"/>
        </w:rPr>
        <w:t xml:space="preserve">created by </w:t>
      </w:r>
      <w:r w:rsidRPr="000B308F">
        <w:rPr>
          <w:rFonts w:cs="Arial"/>
        </w:rPr>
        <w:t xml:space="preserve">Welsh legislation is likely to increase. A tribunals Bill would provide Welsh policy </w:t>
      </w:r>
      <w:r w:rsidR="005C668E">
        <w:rPr>
          <w:rFonts w:cs="Arial"/>
        </w:rPr>
        <w:t>officials</w:t>
      </w:r>
      <w:r w:rsidRPr="000B308F">
        <w:rPr>
          <w:rFonts w:cs="Arial"/>
        </w:rPr>
        <w:t xml:space="preserve"> with a flexible structure that would be responsive to future demands on the Welsh tribunals </w:t>
      </w:r>
      <w:r w:rsidR="009174F7" w:rsidRPr="000B308F">
        <w:rPr>
          <w:rFonts w:cs="Arial"/>
        </w:rPr>
        <w:t>system and enable newly created appeal routes to be incorporated within the</w:t>
      </w:r>
      <w:r w:rsidR="0008360B">
        <w:rPr>
          <w:rFonts w:cs="Arial"/>
        </w:rPr>
        <w:t xml:space="preserve"> new unified</w:t>
      </w:r>
      <w:r w:rsidR="009174F7" w:rsidRPr="000B308F">
        <w:rPr>
          <w:rFonts w:cs="Arial"/>
        </w:rPr>
        <w:t xml:space="preserve"> first-tier tribunal</w:t>
      </w:r>
      <w:r w:rsidRPr="000B308F">
        <w:rPr>
          <w:rFonts w:cs="Arial"/>
        </w:rPr>
        <w:t xml:space="preserve">. </w:t>
      </w:r>
      <w:r w:rsidR="00294347" w:rsidRPr="000B308F">
        <w:rPr>
          <w:rFonts w:cs="Arial"/>
        </w:rPr>
        <w:t xml:space="preserve"> </w:t>
      </w:r>
    </w:p>
    <w:p w14:paraId="6693266C" w14:textId="77777777" w:rsidR="00294347" w:rsidRPr="00323A42" w:rsidRDefault="00294347" w:rsidP="000B308F">
      <w:pPr>
        <w:pStyle w:val="ListParagraph"/>
        <w:rPr>
          <w:rFonts w:cs="Arial"/>
        </w:rPr>
      </w:pPr>
    </w:p>
    <w:p w14:paraId="3635FD36" w14:textId="5AD72141" w:rsidR="000C2E3E" w:rsidRPr="000B308F" w:rsidRDefault="000C2E3E" w:rsidP="000B308F">
      <w:pPr>
        <w:pStyle w:val="ListParagraph"/>
        <w:numPr>
          <w:ilvl w:val="0"/>
          <w:numId w:val="32"/>
        </w:numPr>
        <w:spacing w:after="120"/>
        <w:rPr>
          <w:rFonts w:cs="Arial"/>
        </w:rPr>
      </w:pPr>
      <w:r w:rsidRPr="000B308F">
        <w:rPr>
          <w:rFonts w:cs="Arial"/>
        </w:rPr>
        <w:t xml:space="preserve">As discussed above, a current weakness of the devolved tribunal system in Wales is a lack of consistency across the tribunals. If a new bill was introduced, we envisage </w:t>
      </w:r>
      <w:r w:rsidR="008E34BC" w:rsidRPr="000B308F">
        <w:rPr>
          <w:rFonts w:cs="Arial"/>
        </w:rPr>
        <w:t xml:space="preserve">that </w:t>
      </w:r>
      <w:r w:rsidRPr="000B308F">
        <w:rPr>
          <w:rFonts w:cs="Arial"/>
        </w:rPr>
        <w:t xml:space="preserve">all of the chambers within the first-tier tribunal </w:t>
      </w:r>
      <w:r w:rsidR="00614E86" w:rsidRPr="000B308F">
        <w:rPr>
          <w:rFonts w:cs="Arial"/>
        </w:rPr>
        <w:t xml:space="preserve">would have consistent methods of appointing and disciplining </w:t>
      </w:r>
      <w:r w:rsidR="00D419E4">
        <w:rPr>
          <w:rFonts w:cs="Arial"/>
        </w:rPr>
        <w:t xml:space="preserve">legal and lay </w:t>
      </w:r>
      <w:r w:rsidR="00614E86" w:rsidRPr="000B308F">
        <w:rPr>
          <w:rFonts w:cs="Arial"/>
        </w:rPr>
        <w:t>tribunal members and judicial leads</w:t>
      </w:r>
      <w:r w:rsidRPr="000B308F">
        <w:rPr>
          <w:rFonts w:cs="Arial"/>
        </w:rPr>
        <w:t xml:space="preserve">, and </w:t>
      </w:r>
      <w:r w:rsidR="00D17EF2" w:rsidRPr="000B308F">
        <w:rPr>
          <w:rFonts w:cs="Arial"/>
        </w:rPr>
        <w:t xml:space="preserve">a consistent approach to the drafting and updating of </w:t>
      </w:r>
      <w:r w:rsidRPr="000B308F">
        <w:rPr>
          <w:rFonts w:cs="Arial"/>
        </w:rPr>
        <w:t xml:space="preserve">procedural rules. The </w:t>
      </w:r>
      <w:r w:rsidR="00F13F0C">
        <w:rPr>
          <w:rFonts w:cs="Arial"/>
        </w:rPr>
        <w:t xml:space="preserve"> report makes the following recommendations</w:t>
      </w:r>
      <w:r w:rsidRPr="000B308F">
        <w:rPr>
          <w:rFonts w:cs="Arial"/>
        </w:rPr>
        <w:t>:</w:t>
      </w:r>
    </w:p>
    <w:p w14:paraId="503FE3BF" w14:textId="77777777" w:rsidR="000C2E3E" w:rsidRPr="000B308F" w:rsidRDefault="000C2E3E">
      <w:pPr>
        <w:pStyle w:val="ListParagraph"/>
        <w:keepLines/>
        <w:spacing w:after="240" w:line="264" w:lineRule="auto"/>
        <w:ind w:left="1080" w:right="567"/>
        <w:jc w:val="both"/>
        <w:outlineLvl w:val="0"/>
        <w:rPr>
          <w:rFonts w:cs="Arial"/>
        </w:rPr>
      </w:pPr>
    </w:p>
    <w:p w14:paraId="3E10FC24" w14:textId="297632F4" w:rsidR="000C2E3E" w:rsidRPr="000B308F" w:rsidRDefault="00583180" w:rsidP="000C2E3E">
      <w:pPr>
        <w:pStyle w:val="ListParagraph"/>
        <w:keepLines/>
        <w:numPr>
          <w:ilvl w:val="0"/>
          <w:numId w:val="35"/>
        </w:numPr>
        <w:spacing w:after="240" w:line="264" w:lineRule="auto"/>
        <w:ind w:right="567"/>
        <w:jc w:val="both"/>
        <w:outlineLvl w:val="0"/>
        <w:rPr>
          <w:rFonts w:cs="Arial"/>
        </w:rPr>
      </w:pPr>
      <w:r w:rsidRPr="000B308F">
        <w:rPr>
          <w:rFonts w:cs="Arial"/>
        </w:rPr>
        <w:t xml:space="preserve">that members of the </w:t>
      </w:r>
      <w:r w:rsidR="00010FC0">
        <w:rPr>
          <w:rFonts w:cs="Arial"/>
        </w:rPr>
        <w:t>First-tier Tribunal for Wales</w:t>
      </w:r>
      <w:r w:rsidRPr="000B308F">
        <w:rPr>
          <w:rFonts w:cs="Arial"/>
        </w:rPr>
        <w:t xml:space="preserve"> should be appointed by the President of Welsh Tribunals</w:t>
      </w:r>
      <w:r w:rsidR="005C668E">
        <w:rPr>
          <w:rFonts w:cs="Arial"/>
        </w:rPr>
        <w:t xml:space="preserve"> (</w:t>
      </w:r>
      <w:r w:rsidR="00F13F0C">
        <w:rPr>
          <w:rFonts w:cs="Arial"/>
        </w:rPr>
        <w:t>Recommendation</w:t>
      </w:r>
      <w:r w:rsidR="00010FC0">
        <w:rPr>
          <w:rFonts w:cs="Arial"/>
        </w:rPr>
        <w:t xml:space="preserve"> 31</w:t>
      </w:r>
      <w:r w:rsidR="005C668E">
        <w:rPr>
          <w:rFonts w:cs="Arial"/>
        </w:rPr>
        <w:t>)</w:t>
      </w:r>
      <w:r w:rsidR="008B5DCC">
        <w:rPr>
          <w:rFonts w:cs="Arial"/>
        </w:rPr>
        <w:t>;</w:t>
      </w:r>
      <w:r w:rsidRPr="000B308F">
        <w:rPr>
          <w:rFonts w:cs="Arial"/>
        </w:rPr>
        <w:t xml:space="preserve"> </w:t>
      </w:r>
    </w:p>
    <w:p w14:paraId="2CA5BE2E" w14:textId="1FACB8A2" w:rsidR="00583180" w:rsidRPr="000B308F" w:rsidRDefault="00583180" w:rsidP="000C2E3E">
      <w:pPr>
        <w:pStyle w:val="ListParagraph"/>
        <w:keepLines/>
        <w:numPr>
          <w:ilvl w:val="0"/>
          <w:numId w:val="35"/>
        </w:numPr>
        <w:spacing w:after="240" w:line="264" w:lineRule="auto"/>
        <w:ind w:right="567"/>
        <w:jc w:val="both"/>
        <w:outlineLvl w:val="0"/>
        <w:rPr>
          <w:rFonts w:cs="Arial"/>
        </w:rPr>
      </w:pPr>
      <w:r w:rsidRPr="000B308F">
        <w:rPr>
          <w:rFonts w:cs="Arial"/>
        </w:rPr>
        <w:t xml:space="preserve">that Presidents and </w:t>
      </w:r>
      <w:r w:rsidR="00F13F0C">
        <w:rPr>
          <w:rFonts w:cs="Arial"/>
        </w:rPr>
        <w:t xml:space="preserve">Deputy </w:t>
      </w:r>
      <w:r w:rsidRPr="000B308F">
        <w:rPr>
          <w:rFonts w:cs="Arial"/>
        </w:rPr>
        <w:t>Presidents of the Welsh tribunals</w:t>
      </w:r>
      <w:r w:rsidR="001C3501">
        <w:rPr>
          <w:rFonts w:cs="Arial"/>
        </w:rPr>
        <w:t xml:space="preserve">, and </w:t>
      </w:r>
      <w:r w:rsidR="001C378A">
        <w:rPr>
          <w:rFonts w:cs="Arial"/>
        </w:rPr>
        <w:t>judges</w:t>
      </w:r>
      <w:r w:rsidR="001C3501">
        <w:rPr>
          <w:rFonts w:cs="Arial"/>
        </w:rPr>
        <w:t xml:space="preserve"> of the Appeal Tribunal for Wales,</w:t>
      </w:r>
      <w:r w:rsidRPr="000B308F">
        <w:rPr>
          <w:rFonts w:cs="Arial"/>
        </w:rPr>
        <w:t xml:space="preserve"> should be appointed by the Welsh Ministers, with the agreement of the President of Welsh Tribunals</w:t>
      </w:r>
      <w:r w:rsidR="005C668E">
        <w:rPr>
          <w:rFonts w:cs="Arial"/>
        </w:rPr>
        <w:t xml:space="preserve"> (</w:t>
      </w:r>
      <w:r w:rsidR="00F13F0C">
        <w:rPr>
          <w:rFonts w:cs="Arial"/>
        </w:rPr>
        <w:t>Recommendation</w:t>
      </w:r>
      <w:r w:rsidR="001C3501">
        <w:rPr>
          <w:rFonts w:cs="Arial"/>
        </w:rPr>
        <w:t>s 32 and</w:t>
      </w:r>
      <w:r w:rsidR="00D9731F">
        <w:rPr>
          <w:rFonts w:cs="Arial"/>
        </w:rPr>
        <w:t xml:space="preserve"> </w:t>
      </w:r>
      <w:r w:rsidR="001C3501">
        <w:rPr>
          <w:rFonts w:cs="Arial"/>
        </w:rPr>
        <w:t>33</w:t>
      </w:r>
      <w:r w:rsidR="005C668E">
        <w:rPr>
          <w:rFonts w:cs="Arial"/>
        </w:rPr>
        <w:t>)</w:t>
      </w:r>
      <w:r w:rsidR="008B5DCC">
        <w:rPr>
          <w:rFonts w:cs="Arial"/>
        </w:rPr>
        <w:t>;</w:t>
      </w:r>
    </w:p>
    <w:p w14:paraId="6D7DC107" w14:textId="208E6161" w:rsidR="00583180" w:rsidRPr="000B308F" w:rsidRDefault="00D17EF2" w:rsidP="000B308F">
      <w:pPr>
        <w:pStyle w:val="ListParagraph"/>
        <w:keepLines/>
        <w:numPr>
          <w:ilvl w:val="0"/>
          <w:numId w:val="35"/>
        </w:numPr>
        <w:spacing w:after="240" w:line="264" w:lineRule="auto"/>
        <w:ind w:right="567"/>
        <w:jc w:val="both"/>
        <w:outlineLvl w:val="0"/>
        <w:rPr>
          <w:rFonts w:cs="Arial"/>
        </w:rPr>
      </w:pPr>
      <w:r w:rsidRPr="000B308F">
        <w:rPr>
          <w:rFonts w:cs="Arial"/>
        </w:rPr>
        <w:t xml:space="preserve">that </w:t>
      </w:r>
      <w:r w:rsidR="009513B5">
        <w:rPr>
          <w:rFonts w:cs="Arial"/>
        </w:rPr>
        <w:t>a standard</w:t>
      </w:r>
      <w:r w:rsidRPr="000B308F">
        <w:rPr>
          <w:rFonts w:cs="Arial"/>
        </w:rPr>
        <w:t xml:space="preserve"> complaints process should apply to all the devolved tribunals</w:t>
      </w:r>
      <w:r w:rsidR="005C668E">
        <w:rPr>
          <w:rFonts w:cs="Arial"/>
        </w:rPr>
        <w:t xml:space="preserve"> (</w:t>
      </w:r>
      <w:r w:rsidR="00F13F0C">
        <w:rPr>
          <w:rFonts w:cs="Arial"/>
        </w:rPr>
        <w:t xml:space="preserve">Recommendation </w:t>
      </w:r>
      <w:r w:rsidR="009513B5">
        <w:rPr>
          <w:rFonts w:cs="Arial"/>
        </w:rPr>
        <w:t>38</w:t>
      </w:r>
      <w:r w:rsidR="005C668E">
        <w:rPr>
          <w:rFonts w:cs="Arial"/>
        </w:rPr>
        <w:t>)</w:t>
      </w:r>
      <w:r w:rsidR="008B5DCC">
        <w:rPr>
          <w:rFonts w:cs="Arial"/>
        </w:rPr>
        <w:t>;</w:t>
      </w:r>
    </w:p>
    <w:p w14:paraId="0C630CFA" w14:textId="0B7EB19B" w:rsidR="002E00E8" w:rsidRPr="000B308F" w:rsidRDefault="002E00E8" w:rsidP="000B308F">
      <w:pPr>
        <w:pStyle w:val="ListParagraph"/>
        <w:keepLines/>
        <w:numPr>
          <w:ilvl w:val="0"/>
          <w:numId w:val="35"/>
        </w:numPr>
        <w:spacing w:after="240" w:line="264" w:lineRule="auto"/>
        <w:ind w:right="567"/>
        <w:jc w:val="both"/>
        <w:outlineLvl w:val="0"/>
        <w:rPr>
          <w:rFonts w:cs="Arial"/>
        </w:rPr>
      </w:pPr>
      <w:r w:rsidRPr="000B308F">
        <w:rPr>
          <w:rFonts w:cs="Arial"/>
        </w:rPr>
        <w:t xml:space="preserve">that conduct complaints about members should be </w:t>
      </w:r>
      <w:r w:rsidR="001155FD" w:rsidRPr="000B308F">
        <w:rPr>
          <w:rFonts w:cs="Arial"/>
        </w:rPr>
        <w:t>investigated</w:t>
      </w:r>
      <w:r w:rsidRPr="000B308F">
        <w:rPr>
          <w:rFonts w:cs="Arial"/>
        </w:rPr>
        <w:t xml:space="preserve"> by the relevant judicial lead, and that conduct complaints about judicial leads </w:t>
      </w:r>
      <w:r w:rsidR="001C3501">
        <w:rPr>
          <w:rFonts w:cs="Arial"/>
        </w:rPr>
        <w:t xml:space="preserve">and </w:t>
      </w:r>
      <w:r w:rsidR="001C378A">
        <w:rPr>
          <w:rFonts w:cs="Arial"/>
        </w:rPr>
        <w:t>judges</w:t>
      </w:r>
      <w:r w:rsidR="001C3501">
        <w:rPr>
          <w:rFonts w:cs="Arial"/>
        </w:rPr>
        <w:t xml:space="preserve"> of the Appeal Tribunal for Wales </w:t>
      </w:r>
      <w:r w:rsidRPr="000B308F">
        <w:rPr>
          <w:rFonts w:cs="Arial"/>
        </w:rPr>
        <w:t>should be investigated by the Judicial Conduct and Investigations Office</w:t>
      </w:r>
      <w:r w:rsidR="005C668E">
        <w:rPr>
          <w:rFonts w:cs="Arial"/>
        </w:rPr>
        <w:t xml:space="preserve"> (</w:t>
      </w:r>
      <w:r w:rsidR="00F13F0C">
        <w:rPr>
          <w:rFonts w:cs="Arial"/>
        </w:rPr>
        <w:t>Recommendation</w:t>
      </w:r>
      <w:r w:rsidR="001C3501">
        <w:rPr>
          <w:rFonts w:cs="Arial"/>
        </w:rPr>
        <w:t>s</w:t>
      </w:r>
      <w:r w:rsidR="00F13F0C">
        <w:rPr>
          <w:rFonts w:cs="Arial"/>
        </w:rPr>
        <w:t xml:space="preserve"> </w:t>
      </w:r>
      <w:r w:rsidR="001C3501">
        <w:rPr>
          <w:rFonts w:cs="Arial"/>
        </w:rPr>
        <w:t>43 and 44</w:t>
      </w:r>
      <w:r w:rsidR="005C668E">
        <w:rPr>
          <w:rFonts w:cs="Arial"/>
        </w:rPr>
        <w:t>)</w:t>
      </w:r>
      <w:r w:rsidR="008B5DCC">
        <w:rPr>
          <w:rFonts w:cs="Arial"/>
        </w:rPr>
        <w:t>;</w:t>
      </w:r>
    </w:p>
    <w:p w14:paraId="4EF587CB" w14:textId="68D1569B" w:rsidR="002E00E8" w:rsidRDefault="002E00E8" w:rsidP="000B308F">
      <w:pPr>
        <w:pStyle w:val="ListParagraph"/>
        <w:keepLines/>
        <w:numPr>
          <w:ilvl w:val="0"/>
          <w:numId w:val="35"/>
        </w:numPr>
        <w:spacing w:after="240" w:line="264" w:lineRule="auto"/>
        <w:ind w:right="567"/>
        <w:jc w:val="both"/>
        <w:outlineLvl w:val="0"/>
        <w:rPr>
          <w:rFonts w:cs="Arial"/>
        </w:rPr>
      </w:pPr>
      <w:r w:rsidRPr="000B308F">
        <w:rPr>
          <w:rFonts w:cs="Arial"/>
        </w:rPr>
        <w:t xml:space="preserve">that </w:t>
      </w:r>
      <w:r w:rsidR="001155FD" w:rsidRPr="000B308F">
        <w:rPr>
          <w:rFonts w:cs="Arial"/>
        </w:rPr>
        <w:t xml:space="preserve">the President of Welsh Tribunals should be responsible for disciplining members of the devolved tribunals, and that the President and the Welsh Ministers should be jointly responsible </w:t>
      </w:r>
      <w:r w:rsidR="005C668E">
        <w:rPr>
          <w:rFonts w:cs="Arial"/>
        </w:rPr>
        <w:t>for disciplining judicial lead</w:t>
      </w:r>
      <w:bookmarkStart w:id="43" w:name="_GoBack"/>
      <w:bookmarkEnd w:id="43"/>
      <w:r w:rsidR="005C668E">
        <w:rPr>
          <w:rFonts w:cs="Arial"/>
        </w:rPr>
        <w:t>s (</w:t>
      </w:r>
      <w:r w:rsidR="00AC2262">
        <w:rPr>
          <w:rFonts w:cs="Arial"/>
        </w:rPr>
        <w:t>Recommendation</w:t>
      </w:r>
      <w:r w:rsidR="001C3501">
        <w:rPr>
          <w:rFonts w:cs="Arial"/>
        </w:rPr>
        <w:t>s 45 and 47</w:t>
      </w:r>
      <w:r w:rsidR="005C668E">
        <w:rPr>
          <w:rFonts w:cs="Arial"/>
        </w:rPr>
        <w:t>)</w:t>
      </w:r>
      <w:r w:rsidR="008B5DCC">
        <w:rPr>
          <w:rFonts w:cs="Arial"/>
        </w:rPr>
        <w:t>;</w:t>
      </w:r>
    </w:p>
    <w:p w14:paraId="45FD4FAC" w14:textId="415B00D0" w:rsidR="001C378A" w:rsidRPr="000B308F" w:rsidRDefault="00310D38" w:rsidP="000B308F">
      <w:pPr>
        <w:pStyle w:val="ListParagraph"/>
        <w:keepLines/>
        <w:numPr>
          <w:ilvl w:val="0"/>
          <w:numId w:val="35"/>
        </w:numPr>
        <w:spacing w:after="240" w:line="264" w:lineRule="auto"/>
        <w:ind w:right="567"/>
        <w:jc w:val="both"/>
        <w:outlineLvl w:val="0"/>
        <w:rPr>
          <w:rFonts w:cs="Arial"/>
        </w:rPr>
      </w:pPr>
      <w:r>
        <w:rPr>
          <w:rFonts w:cs="Arial"/>
        </w:rPr>
        <w:t>t</w:t>
      </w:r>
      <w:r w:rsidR="001C378A">
        <w:rPr>
          <w:rFonts w:cs="Arial"/>
        </w:rPr>
        <w:t>hat the First Minister should be responsible for dismissing judges of the Appeal Tribunal for Wales (Recommendation 49)</w:t>
      </w:r>
      <w:r w:rsidR="008B5DCC">
        <w:rPr>
          <w:rFonts w:cs="Arial"/>
        </w:rPr>
        <w:t>; and</w:t>
      </w:r>
    </w:p>
    <w:p w14:paraId="3C6760B2" w14:textId="60050682" w:rsidR="00D17EF2" w:rsidRPr="000B308F" w:rsidRDefault="00D17EF2" w:rsidP="000B308F">
      <w:pPr>
        <w:pStyle w:val="ListParagraph"/>
        <w:keepLines/>
        <w:numPr>
          <w:ilvl w:val="0"/>
          <w:numId w:val="35"/>
        </w:numPr>
        <w:spacing w:after="240" w:line="264" w:lineRule="auto"/>
        <w:ind w:right="567"/>
        <w:jc w:val="both"/>
        <w:outlineLvl w:val="0"/>
        <w:rPr>
          <w:rFonts w:cs="Arial"/>
        </w:rPr>
      </w:pPr>
      <w:r w:rsidRPr="000B308F">
        <w:rPr>
          <w:rFonts w:cs="Arial"/>
        </w:rPr>
        <w:t xml:space="preserve">that there should be a Tribunal </w:t>
      </w:r>
      <w:r w:rsidR="007B1B0E">
        <w:rPr>
          <w:rFonts w:cs="Arial"/>
        </w:rPr>
        <w:t>Procedure</w:t>
      </w:r>
      <w:r w:rsidRPr="000B308F">
        <w:rPr>
          <w:rFonts w:cs="Arial"/>
        </w:rPr>
        <w:t xml:space="preserve"> Committee, to draft and maintain procedural rules for the unified tribunal</w:t>
      </w:r>
      <w:r w:rsidR="005C668E">
        <w:rPr>
          <w:rFonts w:cs="Arial"/>
        </w:rPr>
        <w:t xml:space="preserve"> (</w:t>
      </w:r>
      <w:r w:rsidR="00AC2262">
        <w:rPr>
          <w:rFonts w:cs="Arial"/>
        </w:rPr>
        <w:t xml:space="preserve">Recommendation </w:t>
      </w:r>
      <w:r w:rsidR="00880746">
        <w:rPr>
          <w:rFonts w:cs="Arial"/>
        </w:rPr>
        <w:t>21</w:t>
      </w:r>
      <w:r w:rsidR="005C668E">
        <w:rPr>
          <w:rFonts w:cs="Arial"/>
        </w:rPr>
        <w:t>)</w:t>
      </w:r>
      <w:r w:rsidRPr="000B308F">
        <w:rPr>
          <w:rFonts w:cs="Arial"/>
        </w:rPr>
        <w:t>.</w:t>
      </w:r>
    </w:p>
    <w:p w14:paraId="64F5605B" w14:textId="77777777" w:rsidR="00583180" w:rsidRPr="000B308F" w:rsidRDefault="00583180">
      <w:pPr>
        <w:pStyle w:val="ListParagraph"/>
        <w:keepLines/>
        <w:spacing w:after="240" w:line="264" w:lineRule="auto"/>
        <w:ind w:left="1080" w:right="567"/>
        <w:jc w:val="both"/>
        <w:outlineLvl w:val="0"/>
        <w:rPr>
          <w:rFonts w:cs="Arial"/>
        </w:rPr>
      </w:pPr>
    </w:p>
    <w:p w14:paraId="347E7F24" w14:textId="70C3B057" w:rsidR="00DB69E9" w:rsidRPr="00323A42" w:rsidRDefault="00294347" w:rsidP="001A2151">
      <w:pPr>
        <w:pStyle w:val="ListParagraph"/>
        <w:keepLines/>
        <w:spacing w:after="240" w:line="264" w:lineRule="auto"/>
        <w:ind w:left="1080" w:right="567"/>
        <w:jc w:val="both"/>
        <w:outlineLvl w:val="0"/>
        <w:rPr>
          <w:rFonts w:cs="Arial"/>
        </w:rPr>
      </w:pPr>
      <w:r w:rsidRPr="000B308F">
        <w:rPr>
          <w:rFonts w:cs="Arial"/>
        </w:rPr>
        <w:t xml:space="preserve">The bill would also include a statutory guarantee of judicial independence and a requirement for tribunal members (including legal members) and judicial leads to take </w:t>
      </w:r>
      <w:r w:rsidR="000619E4">
        <w:rPr>
          <w:rFonts w:cs="Arial"/>
        </w:rPr>
        <w:t xml:space="preserve">a </w:t>
      </w:r>
      <w:r w:rsidR="0008360B">
        <w:rPr>
          <w:rFonts w:cs="Arial"/>
        </w:rPr>
        <w:t>judicial oath (</w:t>
      </w:r>
      <w:r w:rsidR="00AC2262">
        <w:rPr>
          <w:rFonts w:cs="Arial"/>
        </w:rPr>
        <w:t>Recommendations</w:t>
      </w:r>
      <w:r w:rsidR="00C618AC">
        <w:rPr>
          <w:rFonts w:cs="Arial"/>
        </w:rPr>
        <w:t xml:space="preserve"> 52 and 53</w:t>
      </w:r>
      <w:r w:rsidR="0008360B">
        <w:rPr>
          <w:rFonts w:cs="Arial"/>
        </w:rPr>
        <w:t>).</w:t>
      </w:r>
    </w:p>
    <w:p w14:paraId="73E05A1F" w14:textId="77777777" w:rsidR="000C2E3E" w:rsidRPr="000B308F" w:rsidRDefault="000C2E3E">
      <w:pPr>
        <w:pStyle w:val="ListParagraph"/>
        <w:keepLines/>
        <w:spacing w:after="240" w:line="264" w:lineRule="auto"/>
        <w:ind w:left="1080" w:right="567"/>
        <w:jc w:val="both"/>
        <w:outlineLvl w:val="0"/>
        <w:rPr>
          <w:rFonts w:cs="Arial"/>
        </w:rPr>
      </w:pPr>
    </w:p>
    <w:p w14:paraId="00EE537F" w14:textId="25BD1215" w:rsidR="000C2E3E" w:rsidRPr="000B308F" w:rsidRDefault="00583180">
      <w:pPr>
        <w:pStyle w:val="ListParagraph"/>
        <w:keepLines/>
        <w:spacing w:after="240" w:line="264" w:lineRule="auto"/>
        <w:ind w:left="1080" w:right="567"/>
        <w:jc w:val="both"/>
        <w:outlineLvl w:val="0"/>
        <w:rPr>
          <w:rFonts w:cs="Arial"/>
        </w:rPr>
      </w:pPr>
      <w:r w:rsidRPr="000B308F">
        <w:rPr>
          <w:rFonts w:cs="Arial"/>
        </w:rPr>
        <w:t>Option 1</w:t>
      </w:r>
      <w:r w:rsidR="00255E4C">
        <w:rPr>
          <w:rFonts w:cs="Arial"/>
        </w:rPr>
        <w:t xml:space="preserve"> is </w:t>
      </w:r>
      <w:r w:rsidR="000619E4">
        <w:rPr>
          <w:rFonts w:cs="Arial"/>
        </w:rPr>
        <w:t xml:space="preserve">the </w:t>
      </w:r>
      <w:r w:rsidR="00255E4C">
        <w:rPr>
          <w:rFonts w:cs="Arial"/>
        </w:rPr>
        <w:t>preferred option. This</w:t>
      </w:r>
      <w:r w:rsidRPr="000B308F">
        <w:rPr>
          <w:rFonts w:cs="Arial"/>
        </w:rPr>
        <w:t xml:space="preserve"> </w:t>
      </w:r>
      <w:r w:rsidR="008E34BC" w:rsidRPr="000B308F">
        <w:rPr>
          <w:rFonts w:cs="Arial"/>
        </w:rPr>
        <w:t>includes</w:t>
      </w:r>
      <w:r w:rsidRPr="000B308F">
        <w:rPr>
          <w:rFonts w:cs="Arial"/>
        </w:rPr>
        <w:t xml:space="preserve"> incorporating </w:t>
      </w:r>
      <w:r w:rsidR="00612A3A" w:rsidRPr="000B308F">
        <w:rPr>
          <w:rFonts w:cs="Arial"/>
        </w:rPr>
        <w:t xml:space="preserve">the </w:t>
      </w:r>
      <w:r w:rsidR="00C25BE0">
        <w:rPr>
          <w:rFonts w:cs="Arial"/>
        </w:rPr>
        <w:t>Valuation Tribunal for Wales</w:t>
      </w:r>
      <w:r w:rsidR="00614E86" w:rsidRPr="000B308F">
        <w:rPr>
          <w:rFonts w:cs="Arial"/>
        </w:rPr>
        <w:t xml:space="preserve"> and </w:t>
      </w:r>
      <w:r w:rsidR="006C284B">
        <w:rPr>
          <w:rFonts w:cs="Arial"/>
        </w:rPr>
        <w:t xml:space="preserve">the work of </w:t>
      </w:r>
      <w:r w:rsidR="00614E86" w:rsidRPr="000B308F">
        <w:rPr>
          <w:rFonts w:cs="Arial"/>
        </w:rPr>
        <w:t xml:space="preserve">school exclusion panels </w:t>
      </w:r>
      <w:r w:rsidRPr="000B308F">
        <w:rPr>
          <w:rFonts w:cs="Arial"/>
        </w:rPr>
        <w:t>within</w:t>
      </w:r>
      <w:r w:rsidR="00614E86" w:rsidRPr="000B308F">
        <w:rPr>
          <w:rFonts w:cs="Arial"/>
        </w:rPr>
        <w:t xml:space="preserve"> th</w:t>
      </w:r>
      <w:r w:rsidR="000C2E3E" w:rsidRPr="000B308F">
        <w:rPr>
          <w:rFonts w:cs="Arial"/>
        </w:rPr>
        <w:t>e</w:t>
      </w:r>
      <w:r w:rsidR="00614E86" w:rsidRPr="000B308F">
        <w:rPr>
          <w:rFonts w:cs="Arial"/>
        </w:rPr>
        <w:t xml:space="preserve"> </w:t>
      </w:r>
      <w:r w:rsidR="000C2E3E" w:rsidRPr="000B308F">
        <w:rPr>
          <w:rFonts w:cs="Arial"/>
        </w:rPr>
        <w:t xml:space="preserve">tribunal </w:t>
      </w:r>
      <w:r w:rsidR="00614E86" w:rsidRPr="000B308F">
        <w:rPr>
          <w:rFonts w:cs="Arial"/>
        </w:rPr>
        <w:t xml:space="preserve">system. </w:t>
      </w:r>
      <w:r w:rsidR="000C2E3E" w:rsidRPr="000B308F">
        <w:rPr>
          <w:rFonts w:cs="Arial"/>
        </w:rPr>
        <w:t>Under</w:t>
      </w:r>
      <w:r w:rsidR="00614E86" w:rsidRPr="000B308F">
        <w:rPr>
          <w:rFonts w:cs="Arial"/>
        </w:rPr>
        <w:t xml:space="preserve"> this </w:t>
      </w:r>
      <w:r w:rsidR="000C2E3E" w:rsidRPr="000B308F">
        <w:rPr>
          <w:rFonts w:cs="Arial"/>
        </w:rPr>
        <w:t xml:space="preserve">option school exclusion </w:t>
      </w:r>
      <w:r w:rsidR="006C284B">
        <w:rPr>
          <w:rFonts w:cs="Arial"/>
        </w:rPr>
        <w:t xml:space="preserve">appeals </w:t>
      </w:r>
      <w:r w:rsidR="000C2E3E" w:rsidRPr="000B308F">
        <w:rPr>
          <w:rFonts w:cs="Arial"/>
        </w:rPr>
        <w:t xml:space="preserve">would be heard by </w:t>
      </w:r>
      <w:r w:rsidR="006C284B">
        <w:rPr>
          <w:rFonts w:cs="Arial"/>
        </w:rPr>
        <w:t xml:space="preserve">the </w:t>
      </w:r>
      <w:r w:rsidR="000B7779">
        <w:rPr>
          <w:rFonts w:cs="Arial"/>
        </w:rPr>
        <w:t>ETW</w:t>
      </w:r>
      <w:r w:rsidR="008E34BC" w:rsidRPr="000B308F">
        <w:rPr>
          <w:rFonts w:cs="Arial"/>
        </w:rPr>
        <w:t xml:space="preserve">, whereas </w:t>
      </w:r>
      <w:r w:rsidR="000C2E3E" w:rsidRPr="000B308F">
        <w:rPr>
          <w:rFonts w:cs="Arial"/>
        </w:rPr>
        <w:t xml:space="preserve">the </w:t>
      </w:r>
      <w:r w:rsidR="00C25BE0">
        <w:rPr>
          <w:rFonts w:cs="Arial"/>
        </w:rPr>
        <w:t>Valuation Tribunal for Wales</w:t>
      </w:r>
      <w:r w:rsidR="000C2E3E" w:rsidRPr="000B308F">
        <w:rPr>
          <w:rFonts w:cs="Arial"/>
        </w:rPr>
        <w:t xml:space="preserve"> would be a separate chamber within the first-tier tribunal. </w:t>
      </w:r>
      <w:r w:rsidR="001155FD" w:rsidRPr="000B308F">
        <w:rPr>
          <w:rFonts w:cs="Arial"/>
        </w:rPr>
        <w:t xml:space="preserve">We </w:t>
      </w:r>
      <w:r w:rsidR="00AC2262">
        <w:rPr>
          <w:rFonts w:cs="Arial"/>
        </w:rPr>
        <w:t>recommend</w:t>
      </w:r>
      <w:r w:rsidR="001155FD" w:rsidRPr="000B308F">
        <w:rPr>
          <w:rFonts w:cs="Arial"/>
        </w:rPr>
        <w:t xml:space="preserve"> that school admission appeal panels should remain outside the unified tribunal </w:t>
      </w:r>
      <w:r w:rsidR="00352F69">
        <w:rPr>
          <w:rFonts w:cs="Arial"/>
        </w:rPr>
        <w:t xml:space="preserve">at </w:t>
      </w:r>
      <w:r w:rsidR="001155FD" w:rsidRPr="000B308F">
        <w:rPr>
          <w:rFonts w:cs="Arial"/>
        </w:rPr>
        <w:t>present</w:t>
      </w:r>
      <w:r w:rsidR="0033238B" w:rsidRPr="000B308F">
        <w:rPr>
          <w:rFonts w:cs="Arial"/>
        </w:rPr>
        <w:t xml:space="preserve">. </w:t>
      </w:r>
      <w:r w:rsidR="001155FD" w:rsidRPr="000B308F">
        <w:rPr>
          <w:rFonts w:cs="Arial"/>
        </w:rPr>
        <w:t xml:space="preserve">While there is no authoritative, comprehensive figure available for the number of such appeals in Wales, </w:t>
      </w:r>
      <w:r w:rsidR="0033238B" w:rsidRPr="000B308F">
        <w:rPr>
          <w:rFonts w:cs="Arial"/>
        </w:rPr>
        <w:t xml:space="preserve">previous reports </w:t>
      </w:r>
      <w:r w:rsidR="001155FD" w:rsidRPr="000B308F">
        <w:rPr>
          <w:rFonts w:cs="Arial"/>
        </w:rPr>
        <w:t xml:space="preserve">have </w:t>
      </w:r>
      <w:r w:rsidR="0033238B" w:rsidRPr="000B308F">
        <w:rPr>
          <w:rFonts w:cs="Arial"/>
        </w:rPr>
        <w:t>estimat</w:t>
      </w:r>
      <w:r w:rsidR="001155FD" w:rsidRPr="000B308F">
        <w:rPr>
          <w:rFonts w:cs="Arial"/>
        </w:rPr>
        <w:t xml:space="preserve">ed </w:t>
      </w:r>
      <w:r w:rsidR="0033238B" w:rsidRPr="000B308F">
        <w:rPr>
          <w:rFonts w:cs="Arial"/>
        </w:rPr>
        <w:t xml:space="preserve">approximately 600 </w:t>
      </w:r>
      <w:r w:rsidR="00BA71D0">
        <w:rPr>
          <w:rFonts w:cs="Arial"/>
        </w:rPr>
        <w:t xml:space="preserve">admission appeal </w:t>
      </w:r>
      <w:r w:rsidR="0033238B" w:rsidRPr="000B308F">
        <w:rPr>
          <w:rFonts w:cs="Arial"/>
        </w:rPr>
        <w:t>cases</w:t>
      </w:r>
      <w:r w:rsidR="001155FD" w:rsidRPr="000B308F">
        <w:rPr>
          <w:rFonts w:cs="Arial"/>
        </w:rPr>
        <w:t xml:space="preserve"> are heard</w:t>
      </w:r>
      <w:r w:rsidR="0008360B">
        <w:rPr>
          <w:rFonts w:cs="Arial"/>
        </w:rPr>
        <w:t xml:space="preserve"> annually. Those appeals must be heard within a relatively short time-frame, which may make them difficult to accommodate within the existing system.</w:t>
      </w:r>
      <w:r w:rsidR="003E0408">
        <w:rPr>
          <w:rFonts w:cs="Arial"/>
        </w:rPr>
        <w:t xml:space="preserve"> </w:t>
      </w:r>
      <w:r w:rsidR="008E0905">
        <w:rPr>
          <w:rFonts w:cs="Arial"/>
        </w:rPr>
        <w:t>We recommend that there should be a new route of appeal on a point of law from school admission appeal panels to the ETW.</w:t>
      </w:r>
      <w:r w:rsidR="00255E4C">
        <w:rPr>
          <w:rFonts w:cs="Arial"/>
        </w:rPr>
        <w:t xml:space="preserve"> </w:t>
      </w:r>
      <w:r w:rsidR="00950428">
        <w:rPr>
          <w:rFonts w:cs="Arial"/>
        </w:rPr>
        <w:t>The default venue for appeals (in the absence of a positive reason for a different arrangement) would be a new Appeal Tribunal for Wales.</w:t>
      </w:r>
      <w:r w:rsidR="00F25BF6">
        <w:rPr>
          <w:rFonts w:cs="Arial"/>
        </w:rPr>
        <w:t xml:space="preserve"> Welsh Ministers would have the power to create chambers of the Appeal Tribunal if this became necessary.</w:t>
      </w:r>
      <w:r w:rsidR="00766192">
        <w:rPr>
          <w:rFonts w:cs="Arial"/>
        </w:rPr>
        <w:t xml:space="preserve"> </w:t>
      </w:r>
    </w:p>
    <w:p w14:paraId="5205E8E8" w14:textId="77777777" w:rsidR="000C2E3E" w:rsidRPr="000B308F" w:rsidRDefault="000C2E3E">
      <w:pPr>
        <w:pStyle w:val="ListParagraph"/>
        <w:keepLines/>
        <w:spacing w:after="240" w:line="264" w:lineRule="auto"/>
        <w:ind w:left="1080" w:right="567"/>
        <w:jc w:val="both"/>
        <w:outlineLvl w:val="0"/>
        <w:rPr>
          <w:rFonts w:cs="Arial"/>
        </w:rPr>
      </w:pPr>
    </w:p>
    <w:p w14:paraId="47C4E7D8" w14:textId="77777777" w:rsidR="00CC19FB" w:rsidRPr="000B308F" w:rsidRDefault="00614E86" w:rsidP="000B308F">
      <w:pPr>
        <w:pStyle w:val="ListParagraph"/>
        <w:keepLines/>
        <w:spacing w:after="240" w:line="264" w:lineRule="auto"/>
        <w:ind w:left="1080" w:right="567"/>
        <w:jc w:val="both"/>
        <w:outlineLvl w:val="0"/>
        <w:rPr>
          <w:rFonts w:cs="Arial"/>
        </w:rPr>
      </w:pPr>
      <w:r w:rsidRPr="000B308F">
        <w:rPr>
          <w:rFonts w:cs="Arial"/>
        </w:rPr>
        <w:t xml:space="preserve">The unified tribunal would be supported by a reformed </w:t>
      </w:r>
      <w:r w:rsidR="007B1B0E">
        <w:rPr>
          <w:rFonts w:cs="Arial"/>
        </w:rPr>
        <w:t>WTU</w:t>
      </w:r>
      <w:r w:rsidRPr="000B308F">
        <w:rPr>
          <w:rFonts w:cs="Arial"/>
        </w:rPr>
        <w:t>, restructured into a non-ministerial department or executive agency.</w:t>
      </w:r>
      <w:r w:rsidR="0033238B" w:rsidRPr="000B308F">
        <w:rPr>
          <w:rFonts w:cs="Arial"/>
        </w:rPr>
        <w:t xml:space="preserve"> This would ensure a greater degree of independence from the Welsh government.</w:t>
      </w:r>
      <w:r w:rsidR="00DB69E9" w:rsidRPr="000B308F">
        <w:rPr>
          <w:rFonts w:cs="Arial"/>
        </w:rPr>
        <w:t xml:space="preserve"> The Unit </w:t>
      </w:r>
      <w:r w:rsidR="00F35BC0">
        <w:rPr>
          <w:rFonts w:cs="Arial"/>
        </w:rPr>
        <w:t>c</w:t>
      </w:r>
      <w:r w:rsidR="003E0F67">
        <w:rPr>
          <w:rFonts w:cs="Arial"/>
        </w:rPr>
        <w:t xml:space="preserve">ould </w:t>
      </w:r>
      <w:r w:rsidR="00DB69E9" w:rsidRPr="000B308F">
        <w:rPr>
          <w:rFonts w:cs="Arial"/>
        </w:rPr>
        <w:t xml:space="preserve">be restructured or expanded to accommodate the inclusion of the </w:t>
      </w:r>
      <w:r w:rsidR="00C25BE0">
        <w:rPr>
          <w:rFonts w:cs="Arial"/>
        </w:rPr>
        <w:t>Valuation Tribunal for Wales</w:t>
      </w:r>
      <w:r w:rsidR="00DB69E9" w:rsidRPr="000B308F">
        <w:rPr>
          <w:rFonts w:cs="Arial"/>
        </w:rPr>
        <w:t xml:space="preserve"> and school exclusion appeal panels within the unified system.</w:t>
      </w:r>
    </w:p>
    <w:p w14:paraId="437E6DEA" w14:textId="77777777" w:rsidR="00614E86" w:rsidRPr="00323A42" w:rsidRDefault="00614E86" w:rsidP="000B308F">
      <w:pPr>
        <w:pStyle w:val="ListParagraph"/>
        <w:rPr>
          <w:rFonts w:cs="Arial"/>
        </w:rPr>
      </w:pPr>
    </w:p>
    <w:p w14:paraId="644B7024" w14:textId="76102273" w:rsidR="004B717E" w:rsidRPr="000B308F" w:rsidRDefault="00CB58B7" w:rsidP="004B717E">
      <w:pPr>
        <w:pStyle w:val="ListParagraph"/>
        <w:keepLines/>
        <w:numPr>
          <w:ilvl w:val="0"/>
          <w:numId w:val="31"/>
        </w:numPr>
        <w:spacing w:after="240" w:line="264" w:lineRule="auto"/>
        <w:ind w:left="1080" w:right="567"/>
        <w:jc w:val="both"/>
        <w:outlineLvl w:val="0"/>
        <w:rPr>
          <w:rFonts w:cs="Arial"/>
        </w:rPr>
      </w:pPr>
      <w:bookmarkStart w:id="44" w:name="_Hlk55399475"/>
      <w:r w:rsidRPr="000B308F">
        <w:rPr>
          <w:rFonts w:cs="Arial"/>
        </w:rPr>
        <w:t>Option 2</w:t>
      </w:r>
      <w:r w:rsidR="00614E86" w:rsidRPr="000B308F">
        <w:rPr>
          <w:rFonts w:cs="Arial"/>
        </w:rPr>
        <w:t xml:space="preserve"> </w:t>
      </w:r>
      <w:r w:rsidR="00294347" w:rsidRPr="000B308F">
        <w:rPr>
          <w:rFonts w:cs="Arial"/>
        </w:rPr>
        <w:t>–</w:t>
      </w:r>
      <w:r w:rsidR="00614E86" w:rsidRPr="000B308F">
        <w:rPr>
          <w:rFonts w:cs="Arial"/>
        </w:rPr>
        <w:t xml:space="preserve"> </w:t>
      </w:r>
      <w:r w:rsidR="008E34BC" w:rsidRPr="000B308F">
        <w:rPr>
          <w:rFonts w:cs="Arial"/>
        </w:rPr>
        <w:t>Gradual unification of tribunal</w:t>
      </w:r>
      <w:bookmarkEnd w:id="44"/>
      <w:r w:rsidR="007B1B0E">
        <w:rPr>
          <w:rFonts w:cs="Arial"/>
        </w:rPr>
        <w:t>s</w:t>
      </w:r>
      <w:r w:rsidR="0033238B" w:rsidRPr="000B308F">
        <w:rPr>
          <w:rFonts w:cs="Arial"/>
        </w:rPr>
        <w:t xml:space="preserve">. </w:t>
      </w:r>
      <w:r w:rsidR="004B717E" w:rsidRPr="000B308F">
        <w:rPr>
          <w:rFonts w:cs="Arial"/>
        </w:rPr>
        <w:t xml:space="preserve">This option is similar to Option 1, but </w:t>
      </w:r>
      <w:r w:rsidR="008E34BC" w:rsidRPr="000B308F">
        <w:rPr>
          <w:rFonts w:cs="Arial"/>
        </w:rPr>
        <w:t xml:space="preserve">under option 2 </w:t>
      </w:r>
      <w:r w:rsidR="004B717E" w:rsidRPr="000B308F">
        <w:rPr>
          <w:rFonts w:cs="Arial"/>
        </w:rPr>
        <w:t>unification would take place in phases. During the first phase t</w:t>
      </w:r>
      <w:r w:rsidR="0033238B" w:rsidRPr="000B308F">
        <w:rPr>
          <w:rFonts w:cs="Arial"/>
        </w:rPr>
        <w:t xml:space="preserve">he tribunals listed in section 59 of the Wales Act 2017 would be based around a unified first-tier tribunal and appointments, complaints procedures and procedural rules would be consistent across those chambers. </w:t>
      </w:r>
      <w:r w:rsidR="004B717E" w:rsidRPr="000B308F">
        <w:rPr>
          <w:rFonts w:cs="Arial"/>
        </w:rPr>
        <w:t>During phase two</w:t>
      </w:r>
      <w:r w:rsidR="0033238B" w:rsidRPr="000B308F">
        <w:rPr>
          <w:rFonts w:cs="Arial"/>
        </w:rPr>
        <w:t xml:space="preserve"> the </w:t>
      </w:r>
      <w:r w:rsidR="00C25BE0">
        <w:rPr>
          <w:rFonts w:cs="Arial"/>
        </w:rPr>
        <w:t>Valuation Tribunal for Wales</w:t>
      </w:r>
      <w:r w:rsidR="0033238B" w:rsidRPr="000B308F">
        <w:rPr>
          <w:rFonts w:cs="Arial"/>
        </w:rPr>
        <w:t xml:space="preserve"> and school exclusion appeal panels</w:t>
      </w:r>
      <w:r w:rsidR="0008360B">
        <w:rPr>
          <w:rFonts w:cs="Arial"/>
        </w:rPr>
        <w:t xml:space="preserve"> would</w:t>
      </w:r>
      <w:r w:rsidR="0033238B" w:rsidRPr="000B308F">
        <w:rPr>
          <w:rFonts w:cs="Arial"/>
        </w:rPr>
        <w:t xml:space="preserve"> be </w:t>
      </w:r>
      <w:r w:rsidR="004B717E" w:rsidRPr="000B308F">
        <w:rPr>
          <w:rFonts w:cs="Arial"/>
        </w:rPr>
        <w:t xml:space="preserve">brought within the first-tier tribunal. </w:t>
      </w:r>
    </w:p>
    <w:p w14:paraId="3D19EF84" w14:textId="77777777" w:rsidR="004B717E" w:rsidRPr="000B308F" w:rsidRDefault="004B717E" w:rsidP="004B717E">
      <w:pPr>
        <w:pStyle w:val="ListParagraph"/>
        <w:keepLines/>
        <w:spacing w:after="240" w:line="264" w:lineRule="auto"/>
        <w:ind w:left="1080" w:right="567"/>
        <w:jc w:val="both"/>
        <w:outlineLvl w:val="0"/>
        <w:rPr>
          <w:rFonts w:cs="Arial"/>
        </w:rPr>
      </w:pPr>
    </w:p>
    <w:p w14:paraId="27067E03" w14:textId="364CE6C2" w:rsidR="0033238B" w:rsidRPr="00323A42" w:rsidRDefault="00B221DF" w:rsidP="000B308F">
      <w:pPr>
        <w:pStyle w:val="ListParagraph"/>
        <w:keepLines/>
        <w:spacing w:after="240" w:line="264" w:lineRule="auto"/>
        <w:ind w:left="1080" w:right="567"/>
        <w:jc w:val="both"/>
        <w:outlineLvl w:val="0"/>
        <w:rPr>
          <w:rFonts w:cs="Arial"/>
        </w:rPr>
      </w:pPr>
      <w:r w:rsidRPr="00323A42">
        <w:rPr>
          <w:rFonts w:cs="Arial"/>
        </w:rPr>
        <w:t>There may be some benefits to a phased approach, including enabling tribunal staff to adapt new structure</w:t>
      </w:r>
      <w:r w:rsidR="004B717E" w:rsidRPr="000B308F">
        <w:rPr>
          <w:rFonts w:cs="Arial"/>
        </w:rPr>
        <w:t>s and processes gradually</w:t>
      </w:r>
      <w:r w:rsidRPr="00323A42">
        <w:rPr>
          <w:rFonts w:cs="Arial"/>
        </w:rPr>
        <w:t xml:space="preserve">. However, inconsistency would continue across the newly created first-tier tribunal and </w:t>
      </w:r>
      <w:r w:rsidR="00070933" w:rsidRPr="00323A42">
        <w:rPr>
          <w:rFonts w:cs="Arial"/>
        </w:rPr>
        <w:t xml:space="preserve">the tribunals not brought within </w:t>
      </w:r>
      <w:r w:rsidR="008E34BC" w:rsidRPr="000B308F">
        <w:rPr>
          <w:rFonts w:cs="Arial"/>
        </w:rPr>
        <w:t>that system</w:t>
      </w:r>
      <w:r w:rsidR="00070933" w:rsidRPr="00323A42">
        <w:rPr>
          <w:rFonts w:cs="Arial"/>
        </w:rPr>
        <w:t xml:space="preserve">. </w:t>
      </w:r>
      <w:r w:rsidR="004B717E" w:rsidRPr="000B308F">
        <w:rPr>
          <w:rFonts w:cs="Arial"/>
        </w:rPr>
        <w:t xml:space="preserve">Prior to incorporation primary legislation could provide that the </w:t>
      </w:r>
      <w:r w:rsidR="00C25BE0">
        <w:rPr>
          <w:rFonts w:cs="Arial"/>
        </w:rPr>
        <w:t>Valuation Tribunal for Wales</w:t>
      </w:r>
      <w:r w:rsidR="004B717E" w:rsidRPr="000B308F">
        <w:rPr>
          <w:rFonts w:cs="Arial"/>
        </w:rPr>
        <w:t xml:space="preserve"> could be supervised by the President of Welsh Tribunals. This would be a more limited form of integration which would nonetheless incorporate a level of senior judicial oversight in the conduct of those tribunals and could provide some consistency across all the devolved tribunals. </w:t>
      </w:r>
    </w:p>
    <w:p w14:paraId="3F1CF183" w14:textId="77777777" w:rsidR="0033238B" w:rsidRPr="000B308F" w:rsidRDefault="0033238B" w:rsidP="000B308F">
      <w:pPr>
        <w:pStyle w:val="ListParagraph"/>
        <w:keepLines/>
        <w:spacing w:after="240" w:line="264" w:lineRule="auto"/>
        <w:ind w:left="1080" w:right="567"/>
        <w:jc w:val="both"/>
        <w:outlineLvl w:val="0"/>
        <w:rPr>
          <w:rFonts w:cs="Arial"/>
        </w:rPr>
      </w:pPr>
    </w:p>
    <w:p w14:paraId="5469FFD0" w14:textId="50A8EE5C" w:rsidR="008E34BC" w:rsidRPr="000B308F" w:rsidRDefault="0033238B" w:rsidP="007B1B0E">
      <w:pPr>
        <w:pStyle w:val="ListParagraph"/>
        <w:keepLines/>
        <w:numPr>
          <w:ilvl w:val="0"/>
          <w:numId w:val="31"/>
        </w:numPr>
        <w:spacing w:after="240" w:line="264" w:lineRule="auto"/>
        <w:ind w:right="567"/>
        <w:jc w:val="both"/>
        <w:outlineLvl w:val="0"/>
        <w:rPr>
          <w:rFonts w:cs="Arial"/>
        </w:rPr>
      </w:pPr>
      <w:bookmarkStart w:id="45" w:name="_Hlk55399530"/>
      <w:r w:rsidRPr="000B308F">
        <w:rPr>
          <w:rFonts w:cs="Arial"/>
        </w:rPr>
        <w:t xml:space="preserve">Option 3 – </w:t>
      </w:r>
      <w:bookmarkEnd w:id="45"/>
      <w:r w:rsidR="007B1B0E" w:rsidRPr="007B1B0E">
        <w:rPr>
          <w:rFonts w:cs="Arial"/>
        </w:rPr>
        <w:t xml:space="preserve">Use primary legislation to standardise current arrangements for the existing devolved Welsh tribunals in relation to </w:t>
      </w:r>
      <w:r w:rsidR="00995E2A">
        <w:rPr>
          <w:rFonts w:cs="Arial"/>
        </w:rPr>
        <w:t xml:space="preserve">procedural rules, </w:t>
      </w:r>
      <w:r w:rsidR="007B1B0E" w:rsidRPr="007B1B0E">
        <w:rPr>
          <w:rFonts w:cs="Arial"/>
        </w:rPr>
        <w:t>appointments and discipline without creating a unified first-tier tribunal</w:t>
      </w:r>
      <w:r w:rsidR="00D4305E">
        <w:rPr>
          <w:rFonts w:cs="Arial"/>
        </w:rPr>
        <w:t xml:space="preserve"> or appeal tribunal</w:t>
      </w:r>
      <w:r w:rsidRPr="000B308F">
        <w:rPr>
          <w:rFonts w:cs="Arial"/>
        </w:rPr>
        <w:t>.</w:t>
      </w:r>
      <w:r w:rsidR="00614E86" w:rsidRPr="000B308F">
        <w:rPr>
          <w:rFonts w:cs="Arial"/>
        </w:rPr>
        <w:t xml:space="preserve"> </w:t>
      </w:r>
      <w:r w:rsidR="00294347" w:rsidRPr="000B308F">
        <w:rPr>
          <w:rFonts w:cs="Arial"/>
        </w:rPr>
        <w:t xml:space="preserve">That would bring a level of consistency to the devolved Welsh </w:t>
      </w:r>
      <w:r w:rsidR="00D5600F" w:rsidRPr="000B308F">
        <w:rPr>
          <w:rFonts w:cs="Arial"/>
        </w:rPr>
        <w:t>tribunals and</w:t>
      </w:r>
      <w:r w:rsidR="00294347" w:rsidRPr="000B308F">
        <w:rPr>
          <w:rFonts w:cs="Arial"/>
        </w:rPr>
        <w:t xml:space="preserve"> provide a template for the creation of future tribunals. </w:t>
      </w:r>
    </w:p>
    <w:p w14:paraId="0187A482" w14:textId="77777777" w:rsidR="008E34BC" w:rsidRPr="000B308F" w:rsidRDefault="008E34BC" w:rsidP="008E34BC">
      <w:pPr>
        <w:pStyle w:val="ListParagraph"/>
        <w:keepLines/>
        <w:spacing w:after="240" w:line="264" w:lineRule="auto"/>
        <w:ind w:left="1080" w:right="567"/>
        <w:jc w:val="both"/>
        <w:outlineLvl w:val="0"/>
        <w:rPr>
          <w:rFonts w:cs="Arial"/>
        </w:rPr>
      </w:pPr>
    </w:p>
    <w:p w14:paraId="4BBECFD0" w14:textId="77777777" w:rsidR="00614E86" w:rsidRPr="000B308F" w:rsidRDefault="008E34BC">
      <w:pPr>
        <w:pStyle w:val="ListParagraph"/>
        <w:keepLines/>
        <w:spacing w:after="240" w:line="264" w:lineRule="auto"/>
        <w:ind w:left="1080" w:right="567"/>
        <w:jc w:val="both"/>
        <w:outlineLvl w:val="0"/>
        <w:rPr>
          <w:rFonts w:cs="Arial"/>
        </w:rPr>
      </w:pPr>
      <w:r w:rsidRPr="000B308F">
        <w:rPr>
          <w:rFonts w:cs="Arial"/>
        </w:rPr>
        <w:t xml:space="preserve">However, this </w:t>
      </w:r>
      <w:r w:rsidR="0008360B" w:rsidRPr="000B308F">
        <w:rPr>
          <w:rFonts w:cs="Arial"/>
        </w:rPr>
        <w:t>option would</w:t>
      </w:r>
      <w:r w:rsidR="00294347" w:rsidRPr="000B308F">
        <w:rPr>
          <w:rFonts w:cs="Arial"/>
        </w:rPr>
        <w:t xml:space="preserve"> no</w:t>
      </w:r>
      <w:r w:rsidR="00CB58B7" w:rsidRPr="000B308F">
        <w:rPr>
          <w:rFonts w:cs="Arial"/>
        </w:rPr>
        <w:t xml:space="preserve">t </w:t>
      </w:r>
      <w:r w:rsidR="00782EB8" w:rsidRPr="000B308F">
        <w:rPr>
          <w:rFonts w:cs="Arial"/>
        </w:rPr>
        <w:t xml:space="preserve">provide flexibility </w:t>
      </w:r>
      <w:r w:rsidR="00CB58B7" w:rsidRPr="000B308F">
        <w:rPr>
          <w:rFonts w:cs="Arial"/>
        </w:rPr>
        <w:t xml:space="preserve">or </w:t>
      </w:r>
      <w:r w:rsidR="00782EB8" w:rsidRPr="000B308F">
        <w:rPr>
          <w:rFonts w:cs="Arial"/>
        </w:rPr>
        <w:t>be as</w:t>
      </w:r>
      <w:r w:rsidR="00CB58B7" w:rsidRPr="000B308F">
        <w:rPr>
          <w:rFonts w:cs="Arial"/>
        </w:rPr>
        <w:t xml:space="preserve"> responsive </w:t>
      </w:r>
      <w:r w:rsidR="00294347" w:rsidRPr="000B308F">
        <w:rPr>
          <w:rFonts w:cs="Arial"/>
        </w:rPr>
        <w:t>to</w:t>
      </w:r>
      <w:r w:rsidR="00782EB8" w:rsidRPr="000B308F">
        <w:rPr>
          <w:rFonts w:cs="Arial"/>
        </w:rPr>
        <w:t xml:space="preserve"> accommodating</w:t>
      </w:r>
      <w:r w:rsidR="00294347" w:rsidRPr="000B308F">
        <w:rPr>
          <w:rFonts w:cs="Arial"/>
        </w:rPr>
        <w:t xml:space="preserve"> future demands on the Welsh tribunals system; if an existing tribunal was not a natural home for a new appeal route, Welsh policy makers would still have to choose between creating a wholly new tribunal or directing the appeal to the existing First-tier Tribunal.</w:t>
      </w:r>
      <w:r w:rsidR="00CB58B7" w:rsidRPr="000B308F">
        <w:rPr>
          <w:rFonts w:cs="Arial"/>
        </w:rPr>
        <w:t xml:space="preserve"> </w:t>
      </w:r>
      <w:r w:rsidR="004B717E" w:rsidRPr="000B308F">
        <w:rPr>
          <w:rFonts w:cs="Arial"/>
        </w:rPr>
        <w:t xml:space="preserve">Creating a new tribunal may be expensive, time-consuming and administratively burdensome. </w:t>
      </w:r>
      <w:r w:rsidR="00D918DE">
        <w:rPr>
          <w:rFonts w:cs="Arial"/>
        </w:rPr>
        <w:t xml:space="preserve">Directing appeal routes to the existing First-tier Tribunal </w:t>
      </w:r>
      <w:r w:rsidR="004E04DB">
        <w:rPr>
          <w:rFonts w:cs="Arial"/>
        </w:rPr>
        <w:t xml:space="preserve">may provide a short-term solution but ultimately risks stunting the evolution of a coherent system of devolved tribunals. </w:t>
      </w:r>
    </w:p>
    <w:p w14:paraId="72374E6E" w14:textId="77777777" w:rsidR="005349BB" w:rsidRPr="002A6CB2" w:rsidRDefault="005349BB" w:rsidP="000B308F">
      <w:pPr>
        <w:pStyle w:val="ListParagraph"/>
        <w:keepLines/>
        <w:spacing w:after="240" w:line="264" w:lineRule="auto"/>
        <w:ind w:left="1080" w:right="567"/>
        <w:jc w:val="both"/>
        <w:outlineLvl w:val="0"/>
        <w:rPr>
          <w:rFonts w:cs="Arial"/>
        </w:rPr>
      </w:pPr>
    </w:p>
    <w:p w14:paraId="4EC8BE88" w14:textId="77777777" w:rsidR="000918F2" w:rsidRPr="000B308F" w:rsidRDefault="000918F2" w:rsidP="000918F2">
      <w:pPr>
        <w:rPr>
          <w:rFonts w:cs="Arial"/>
          <w:sz w:val="28"/>
          <w:szCs w:val="28"/>
        </w:rPr>
      </w:pPr>
    </w:p>
    <w:p w14:paraId="064248E4" w14:textId="77777777" w:rsidR="00004BFD" w:rsidRPr="000B308F" w:rsidRDefault="00004BFD" w:rsidP="00004BFD">
      <w:pPr>
        <w:keepNext/>
        <w:spacing w:after="120"/>
        <w:ind w:firstLine="284"/>
        <w:rPr>
          <w:rFonts w:cs="Arial"/>
          <w:b/>
          <w:color w:val="000000"/>
          <w:sz w:val="32"/>
          <w:szCs w:val="32"/>
          <w:lang w:eastAsia="en-GB"/>
        </w:rPr>
      </w:pPr>
      <w:r w:rsidRPr="00B00177">
        <w:rPr>
          <w:rFonts w:cs="Arial"/>
          <w:b/>
          <w:color w:val="000000"/>
          <w:sz w:val="32"/>
          <w:szCs w:val="32"/>
          <w:lang w:eastAsia="en-GB"/>
        </w:rPr>
        <w:t xml:space="preserve">Monetised and non-monetised costs and benefits of each option </w:t>
      </w:r>
    </w:p>
    <w:p w14:paraId="37F3125E" w14:textId="77777777" w:rsidR="00B00177" w:rsidRPr="000B308F" w:rsidRDefault="00B00177" w:rsidP="00004BFD">
      <w:pPr>
        <w:keepNext/>
        <w:spacing w:after="120"/>
        <w:ind w:firstLine="284"/>
        <w:rPr>
          <w:rFonts w:cs="Arial"/>
          <w:b/>
          <w:color w:val="000000"/>
          <w:sz w:val="28"/>
          <w:szCs w:val="28"/>
          <w:lang w:eastAsia="en-GB"/>
        </w:rPr>
      </w:pPr>
    </w:p>
    <w:p w14:paraId="03147B31" w14:textId="77777777" w:rsidR="00004BFD" w:rsidRPr="000B308F" w:rsidRDefault="00004BFD" w:rsidP="00004BFD">
      <w:pPr>
        <w:pStyle w:val="ListParagraph"/>
        <w:numPr>
          <w:ilvl w:val="0"/>
          <w:numId w:val="34"/>
        </w:numPr>
        <w:spacing w:after="120"/>
        <w:rPr>
          <w:rFonts w:cs="Arial"/>
          <w:bCs/>
          <w:color w:val="000000"/>
          <w:lang w:eastAsia="en-GB"/>
        </w:rPr>
      </w:pPr>
      <w:r w:rsidRPr="000B308F">
        <w:rPr>
          <w:rFonts w:cs="Arial"/>
          <w:bCs/>
          <w:color w:val="000000"/>
          <w:lang w:eastAsia="en-GB"/>
        </w:rPr>
        <w:t xml:space="preserve">This Impact Assessment identifies both monetised and non-monetised impacts on individuals, groups and businesses in the UK, with the aim of understanding what the overall impact to society might be from implementing these options. The costs and benefits of each option are compared to the “do nothing” option. Impact Assessments place a strong emphasis on valuing the costs and benefits in monetary terms (including estimating the value of goods and services that are not traded). However, there are important aspects that cannot sensibly be monetised. These might include how the </w:t>
      </w:r>
      <w:r w:rsidR="00B3499D">
        <w:rPr>
          <w:rFonts w:cs="Arial"/>
          <w:bCs/>
          <w:color w:val="000000"/>
          <w:lang w:eastAsia="en-GB"/>
        </w:rPr>
        <w:t xml:space="preserve">provisional </w:t>
      </w:r>
      <w:r w:rsidRPr="000B308F">
        <w:rPr>
          <w:rFonts w:cs="Arial"/>
          <w:bCs/>
          <w:color w:val="000000"/>
          <w:lang w:eastAsia="en-GB"/>
        </w:rPr>
        <w:t>proposal impacts differently on particular groups of society or produces changes in equity and fairness, either positive or negative.</w:t>
      </w:r>
    </w:p>
    <w:p w14:paraId="43C6AE83" w14:textId="77777777" w:rsidR="00004BFD" w:rsidRPr="000B308F" w:rsidRDefault="00004BFD" w:rsidP="00004BFD">
      <w:pPr>
        <w:pStyle w:val="ListParagraph"/>
        <w:spacing w:after="120"/>
        <w:ind w:left="644"/>
        <w:rPr>
          <w:rFonts w:cs="Arial"/>
          <w:bCs/>
          <w:color w:val="000000"/>
          <w:lang w:eastAsia="en-GB"/>
        </w:rPr>
      </w:pPr>
    </w:p>
    <w:p w14:paraId="3821BBC6" w14:textId="33AFD0ED" w:rsidR="00004BFD" w:rsidRDefault="00004BFD" w:rsidP="00004BFD">
      <w:pPr>
        <w:pStyle w:val="ListParagraph"/>
        <w:numPr>
          <w:ilvl w:val="0"/>
          <w:numId w:val="34"/>
        </w:numPr>
        <w:spacing w:after="120"/>
        <w:rPr>
          <w:rFonts w:cs="Arial"/>
          <w:bCs/>
          <w:color w:val="000000"/>
          <w:lang w:eastAsia="en-GB"/>
        </w:rPr>
      </w:pPr>
      <w:r w:rsidRPr="000B308F">
        <w:rPr>
          <w:rFonts w:cs="Arial"/>
          <w:bCs/>
          <w:color w:val="000000"/>
          <w:lang w:eastAsia="en-GB"/>
        </w:rPr>
        <w:t>When calculating the net present social value</w:t>
      </w:r>
      <w:r w:rsidRPr="000B308F">
        <w:rPr>
          <w:rStyle w:val="FootnoteReference"/>
          <w:rFonts w:cs="Arial"/>
          <w:bCs/>
          <w:color w:val="000000"/>
          <w:sz w:val="24"/>
          <w:lang w:eastAsia="en-GB"/>
        </w:rPr>
        <w:footnoteReference w:id="22"/>
      </w:r>
      <w:r w:rsidRPr="000B308F">
        <w:rPr>
          <w:rFonts w:cs="Arial"/>
          <w:bCs/>
          <w:color w:val="000000"/>
          <w:lang w:eastAsia="en-GB"/>
        </w:rPr>
        <w:t xml:space="preserve"> (“NPSV”) for the impact assessment we have used a time frame of </w:t>
      </w:r>
      <w:r w:rsidR="000A6E91">
        <w:rPr>
          <w:rFonts w:cs="Arial"/>
          <w:bCs/>
          <w:color w:val="000000"/>
          <w:lang w:eastAsia="en-GB"/>
        </w:rPr>
        <w:t>eleven</w:t>
      </w:r>
      <w:r w:rsidRPr="000B308F">
        <w:rPr>
          <w:rFonts w:cs="Arial"/>
          <w:bCs/>
          <w:color w:val="000000"/>
          <w:lang w:eastAsia="en-GB"/>
        </w:rPr>
        <w:t xml:space="preserve"> years, with the present</w:t>
      </w:r>
      <w:r w:rsidR="000A6E91">
        <w:rPr>
          <w:rFonts w:cs="Arial"/>
          <w:bCs/>
          <w:color w:val="000000"/>
          <w:lang w:eastAsia="en-GB"/>
        </w:rPr>
        <w:t xml:space="preserve"> year</w:t>
      </w:r>
      <w:r w:rsidRPr="000B308F">
        <w:rPr>
          <w:rFonts w:cs="Arial"/>
          <w:bCs/>
          <w:color w:val="000000"/>
          <w:lang w:eastAsia="en-GB"/>
        </w:rPr>
        <w:t xml:space="preserve"> being year 0. We have assumed that the transitional costs and benefits occur in year 0, the current year, unless otherwise indicated. Ongoing costs and benefits accrue in years 1 to 10. We have used a discount rate of 3.5%, in accordance with HM Treasury guidance. Unless stated all figures are in </w:t>
      </w:r>
      <w:r w:rsidR="00EB4DCB">
        <w:rPr>
          <w:rFonts w:cs="Arial"/>
          <w:bCs/>
          <w:color w:val="000000"/>
          <w:lang w:eastAsia="en-GB"/>
        </w:rPr>
        <w:t>20</w:t>
      </w:r>
      <w:r w:rsidR="003B3910">
        <w:rPr>
          <w:rFonts w:cs="Arial"/>
          <w:bCs/>
          <w:color w:val="000000"/>
          <w:lang w:eastAsia="en-GB"/>
        </w:rPr>
        <w:t>20</w:t>
      </w:r>
      <w:r w:rsidR="00EB4DCB">
        <w:rPr>
          <w:rFonts w:cs="Arial"/>
          <w:bCs/>
          <w:color w:val="000000"/>
          <w:lang w:eastAsia="en-GB"/>
        </w:rPr>
        <w:t>/</w:t>
      </w:r>
      <w:r w:rsidRPr="000B308F">
        <w:rPr>
          <w:rFonts w:cs="Arial"/>
          <w:bCs/>
          <w:color w:val="000000"/>
          <w:lang w:eastAsia="en-GB"/>
        </w:rPr>
        <w:t>20</w:t>
      </w:r>
      <w:r w:rsidR="00A500C6">
        <w:rPr>
          <w:rFonts w:cs="Arial"/>
          <w:bCs/>
          <w:color w:val="000000"/>
          <w:lang w:eastAsia="en-GB"/>
        </w:rPr>
        <w:t>2</w:t>
      </w:r>
      <w:r w:rsidR="003B3910">
        <w:rPr>
          <w:rFonts w:cs="Arial"/>
          <w:bCs/>
          <w:color w:val="000000"/>
          <w:lang w:eastAsia="en-GB"/>
        </w:rPr>
        <w:t>1</w:t>
      </w:r>
      <w:r w:rsidRPr="000B308F">
        <w:rPr>
          <w:rFonts w:cs="Arial"/>
          <w:bCs/>
          <w:color w:val="000000"/>
          <w:lang w:eastAsia="en-GB"/>
        </w:rPr>
        <w:t xml:space="preserve"> prices, and have been uprated using the GDP deflator to adjust for inflation.</w:t>
      </w:r>
    </w:p>
    <w:p w14:paraId="2CB1DB2B" w14:textId="77777777" w:rsidR="00EB4DCB" w:rsidRPr="00F9634D" w:rsidRDefault="00EB4DCB" w:rsidP="00F9634D">
      <w:pPr>
        <w:pStyle w:val="ListParagraph"/>
        <w:rPr>
          <w:rFonts w:cs="Arial"/>
          <w:bCs/>
          <w:color w:val="000000"/>
          <w:lang w:eastAsia="en-GB"/>
        </w:rPr>
      </w:pPr>
    </w:p>
    <w:p w14:paraId="1558236D" w14:textId="77777777" w:rsidR="00004BFD" w:rsidRPr="000B308F" w:rsidRDefault="00004BFD" w:rsidP="00004BFD">
      <w:pPr>
        <w:spacing w:after="120"/>
        <w:ind w:left="284"/>
        <w:rPr>
          <w:rFonts w:cs="Arial"/>
          <w:b/>
          <w:color w:val="000000"/>
          <w:lang w:eastAsia="en-GB"/>
        </w:rPr>
      </w:pPr>
    </w:p>
    <w:p w14:paraId="7153D6D9" w14:textId="77777777" w:rsidR="00004BFD" w:rsidRPr="000B308F" w:rsidRDefault="00004BFD" w:rsidP="00004BFD">
      <w:pPr>
        <w:spacing w:after="120"/>
        <w:ind w:left="284"/>
        <w:rPr>
          <w:rFonts w:cs="Arial"/>
          <w:b/>
          <w:color w:val="000000"/>
          <w:sz w:val="28"/>
          <w:szCs w:val="28"/>
          <w:lang w:eastAsia="en-GB"/>
        </w:rPr>
      </w:pPr>
      <w:r w:rsidRPr="000B308F">
        <w:rPr>
          <w:rFonts w:cs="Arial"/>
          <w:b/>
          <w:color w:val="000000"/>
          <w:sz w:val="28"/>
          <w:szCs w:val="28"/>
          <w:lang w:eastAsia="en-GB"/>
        </w:rPr>
        <w:t>Option 0: Do nothing [base case]</w:t>
      </w:r>
    </w:p>
    <w:p w14:paraId="38664343" w14:textId="77777777" w:rsidR="00004BFD" w:rsidRPr="000B308F" w:rsidRDefault="00004BFD" w:rsidP="00004BFD">
      <w:pPr>
        <w:pStyle w:val="ListParagraph"/>
        <w:numPr>
          <w:ilvl w:val="0"/>
          <w:numId w:val="34"/>
        </w:numPr>
        <w:spacing w:after="120"/>
        <w:rPr>
          <w:rFonts w:cs="Arial"/>
          <w:bCs/>
          <w:color w:val="000000"/>
          <w:lang w:eastAsia="en-GB"/>
        </w:rPr>
      </w:pPr>
      <w:r w:rsidRPr="000B308F">
        <w:rPr>
          <w:rFonts w:cs="Arial"/>
          <w:bCs/>
          <w:color w:val="000000"/>
          <w:lang w:eastAsia="en-GB"/>
        </w:rPr>
        <w:t xml:space="preserve">Because the “do nothing” option is compared against itself its costs and benefits are necessarily zero, as is its NPSV. </w:t>
      </w:r>
    </w:p>
    <w:p w14:paraId="462F21B4" w14:textId="77777777" w:rsidR="00AA6A31" w:rsidRPr="000B308F" w:rsidRDefault="00AA6A31" w:rsidP="000B308F">
      <w:pPr>
        <w:pStyle w:val="ListParagraph"/>
        <w:spacing w:after="120"/>
        <w:ind w:left="1080"/>
        <w:rPr>
          <w:rFonts w:cs="Arial"/>
          <w:bCs/>
          <w:color w:val="000000"/>
          <w:lang w:eastAsia="en-GB"/>
        </w:rPr>
      </w:pPr>
    </w:p>
    <w:p w14:paraId="192CD15B" w14:textId="77C129FF" w:rsidR="006977F9" w:rsidRPr="000B308F" w:rsidRDefault="006977F9" w:rsidP="000B308F">
      <w:pPr>
        <w:spacing w:after="120"/>
        <w:ind w:left="284"/>
        <w:rPr>
          <w:rFonts w:cs="Arial"/>
          <w:b/>
          <w:color w:val="000000"/>
          <w:sz w:val="28"/>
          <w:szCs w:val="28"/>
          <w:lang w:eastAsia="en-GB"/>
        </w:rPr>
      </w:pPr>
      <w:r w:rsidRPr="000B308F">
        <w:rPr>
          <w:rFonts w:cs="Arial"/>
          <w:b/>
          <w:color w:val="000000"/>
          <w:sz w:val="28"/>
          <w:szCs w:val="28"/>
          <w:lang w:eastAsia="en-GB"/>
        </w:rPr>
        <w:t xml:space="preserve">Option 1: </w:t>
      </w:r>
      <w:r w:rsidR="00AA6A31" w:rsidRPr="000B308F">
        <w:rPr>
          <w:rFonts w:cs="Arial"/>
          <w:b/>
          <w:sz w:val="28"/>
          <w:szCs w:val="28"/>
        </w:rPr>
        <w:t>Enact a Tribunals Bill for Wales to replace the underlying existing legislation for each tribunal with a system of devolved tribunals for Wales based around a unified first-tier tribunal</w:t>
      </w:r>
      <w:r w:rsidR="00913545">
        <w:rPr>
          <w:rFonts w:cs="Arial"/>
          <w:b/>
          <w:sz w:val="28"/>
          <w:szCs w:val="28"/>
        </w:rPr>
        <w:t xml:space="preserve"> and an Appeal Tribunal for Wales</w:t>
      </w:r>
    </w:p>
    <w:p w14:paraId="6768572A" w14:textId="77777777" w:rsidR="006977F9" w:rsidRPr="000B308F" w:rsidRDefault="006977F9" w:rsidP="006977F9">
      <w:pPr>
        <w:spacing w:after="120"/>
        <w:ind w:left="720"/>
        <w:rPr>
          <w:rFonts w:cs="Arial"/>
          <w:bCs/>
          <w:color w:val="000000"/>
          <w:lang w:eastAsia="en-GB"/>
        </w:rPr>
      </w:pPr>
    </w:p>
    <w:p w14:paraId="28E4CE8F" w14:textId="77777777" w:rsidR="006977F9" w:rsidRPr="000B308F" w:rsidRDefault="006977F9" w:rsidP="00D8157F">
      <w:pPr>
        <w:keepNext/>
        <w:spacing w:after="120"/>
        <w:ind w:left="720"/>
        <w:rPr>
          <w:rFonts w:cs="Arial"/>
          <w:b/>
          <w:bCs/>
          <w:color w:val="000000"/>
          <w:sz w:val="28"/>
          <w:szCs w:val="28"/>
          <w:lang w:eastAsia="en-GB"/>
        </w:rPr>
      </w:pPr>
      <w:r w:rsidRPr="000B308F">
        <w:rPr>
          <w:rFonts w:cs="Arial"/>
          <w:b/>
          <w:bCs/>
          <w:color w:val="000000"/>
          <w:sz w:val="28"/>
          <w:szCs w:val="28"/>
          <w:lang w:eastAsia="en-GB"/>
        </w:rPr>
        <w:t>Costs</w:t>
      </w:r>
    </w:p>
    <w:p w14:paraId="6CD517CB" w14:textId="77777777" w:rsidR="006977F9" w:rsidRPr="000B308F" w:rsidRDefault="006977F9" w:rsidP="00D8157F">
      <w:pPr>
        <w:keepNext/>
        <w:spacing w:after="240"/>
        <w:ind w:left="720"/>
        <w:rPr>
          <w:rFonts w:cs="Arial"/>
          <w:bCs/>
          <w:i/>
          <w:color w:val="000000"/>
          <w:sz w:val="28"/>
          <w:szCs w:val="28"/>
          <w:lang w:eastAsia="en-GB"/>
        </w:rPr>
      </w:pPr>
      <w:r w:rsidRPr="000B308F">
        <w:rPr>
          <w:rFonts w:cs="Arial"/>
          <w:bCs/>
          <w:i/>
          <w:color w:val="000000"/>
          <w:sz w:val="28"/>
          <w:szCs w:val="28"/>
          <w:lang w:eastAsia="en-GB"/>
        </w:rPr>
        <w:t>Transitional costs</w:t>
      </w:r>
    </w:p>
    <w:p w14:paraId="73475010" w14:textId="77777777" w:rsidR="006977F9" w:rsidRPr="00F9634D" w:rsidRDefault="006977F9" w:rsidP="00D8157F">
      <w:pPr>
        <w:pStyle w:val="ListParagraph"/>
        <w:keepNext/>
        <w:numPr>
          <w:ilvl w:val="0"/>
          <w:numId w:val="48"/>
        </w:numPr>
        <w:spacing w:after="120"/>
        <w:rPr>
          <w:rFonts w:cs="Arial"/>
          <w:bCs/>
          <w:color w:val="000000"/>
          <w:lang w:eastAsia="en-GB"/>
        </w:rPr>
      </w:pPr>
      <w:r w:rsidRPr="00F9634D">
        <w:rPr>
          <w:rFonts w:cs="Arial"/>
          <w:bCs/>
          <w:color w:val="000000"/>
          <w:u w:val="single"/>
          <w:lang w:eastAsia="en-GB"/>
        </w:rPr>
        <w:t>Training costs</w:t>
      </w:r>
    </w:p>
    <w:p w14:paraId="7335A297" w14:textId="7AEEF3C7" w:rsidR="0045151F" w:rsidRPr="000B308F" w:rsidRDefault="00F55A39" w:rsidP="0045151F">
      <w:pPr>
        <w:spacing w:after="240"/>
        <w:ind w:left="720"/>
        <w:rPr>
          <w:rFonts w:cs="Arial"/>
          <w:bCs/>
          <w:color w:val="000000"/>
          <w:lang w:eastAsia="en-GB"/>
        </w:rPr>
      </w:pPr>
      <w:r>
        <w:rPr>
          <w:rFonts w:cs="Arial"/>
          <w:bCs/>
          <w:color w:val="000000"/>
          <w:lang w:eastAsia="en-GB"/>
        </w:rPr>
        <w:t>I</w:t>
      </w:r>
      <w:r w:rsidRPr="00BC6A59">
        <w:rPr>
          <w:rFonts w:cs="Arial"/>
          <w:bCs/>
          <w:color w:val="000000"/>
          <w:lang w:eastAsia="en-GB"/>
        </w:rPr>
        <w:t>t is not anticipated that a comprehensive training initiative will be required</w:t>
      </w:r>
      <w:r w:rsidRPr="002A6CB2">
        <w:rPr>
          <w:rFonts w:cs="Arial"/>
          <w:bCs/>
          <w:color w:val="000000"/>
          <w:lang w:eastAsia="en-GB"/>
        </w:rPr>
        <w:t xml:space="preserve"> </w:t>
      </w:r>
      <w:r>
        <w:rPr>
          <w:rFonts w:cs="Arial"/>
          <w:bCs/>
          <w:color w:val="000000"/>
          <w:lang w:eastAsia="en-GB"/>
        </w:rPr>
        <w:t>u</w:t>
      </w:r>
      <w:r w:rsidR="00C574AA" w:rsidRPr="000B308F">
        <w:rPr>
          <w:rFonts w:cs="Arial"/>
          <w:bCs/>
          <w:color w:val="000000"/>
          <w:lang w:eastAsia="en-GB"/>
        </w:rPr>
        <w:t xml:space="preserve">nder the proposed unified </w:t>
      </w:r>
      <w:r>
        <w:rPr>
          <w:rFonts w:cs="Arial"/>
          <w:bCs/>
          <w:color w:val="000000"/>
          <w:lang w:eastAsia="en-GB"/>
        </w:rPr>
        <w:t>first-tier t</w:t>
      </w:r>
      <w:r w:rsidR="00C574AA" w:rsidRPr="000B308F">
        <w:rPr>
          <w:rFonts w:cs="Arial"/>
          <w:bCs/>
          <w:color w:val="000000"/>
          <w:lang w:eastAsia="en-GB"/>
        </w:rPr>
        <w:t xml:space="preserve">ribunal. </w:t>
      </w:r>
      <w:r>
        <w:rPr>
          <w:rFonts w:cs="Arial"/>
          <w:bCs/>
          <w:color w:val="000000"/>
          <w:lang w:eastAsia="en-GB"/>
        </w:rPr>
        <w:t>Staff likely to be</w:t>
      </w:r>
      <w:r w:rsidR="00C574AA" w:rsidRPr="000B308F">
        <w:rPr>
          <w:rFonts w:cs="Arial"/>
          <w:bCs/>
          <w:color w:val="000000"/>
          <w:lang w:eastAsia="en-GB"/>
        </w:rPr>
        <w:t xml:space="preserve"> most impacted will be support/administrative staff within the WTU</w:t>
      </w:r>
      <w:r w:rsidR="0045151F">
        <w:rPr>
          <w:rFonts w:cs="Arial"/>
          <w:bCs/>
          <w:color w:val="000000"/>
          <w:lang w:eastAsia="en-GB"/>
        </w:rPr>
        <w:t xml:space="preserve"> and the V</w:t>
      </w:r>
      <w:r w:rsidR="008E0905">
        <w:rPr>
          <w:rFonts w:cs="Arial"/>
          <w:bCs/>
          <w:color w:val="000000"/>
          <w:lang w:eastAsia="en-GB"/>
        </w:rPr>
        <w:t>TW</w:t>
      </w:r>
      <w:r w:rsidR="0045151F">
        <w:rPr>
          <w:rFonts w:cs="Arial"/>
          <w:bCs/>
          <w:color w:val="000000"/>
          <w:lang w:eastAsia="en-GB"/>
        </w:rPr>
        <w:t xml:space="preserve"> team, with a combined staff compl</w:t>
      </w:r>
      <w:r w:rsidR="008E7AAA">
        <w:rPr>
          <w:rFonts w:cs="Arial"/>
          <w:bCs/>
          <w:color w:val="000000"/>
          <w:lang w:eastAsia="en-GB"/>
        </w:rPr>
        <w:t>e</w:t>
      </w:r>
      <w:r w:rsidR="0045151F">
        <w:rPr>
          <w:rFonts w:cs="Arial"/>
          <w:bCs/>
          <w:color w:val="000000"/>
          <w:lang w:eastAsia="en-GB"/>
        </w:rPr>
        <w:t>ment of about 50 employees</w:t>
      </w:r>
      <w:r>
        <w:rPr>
          <w:rFonts w:cs="Arial"/>
          <w:bCs/>
          <w:color w:val="000000"/>
          <w:lang w:eastAsia="en-GB"/>
        </w:rPr>
        <w:t>. N</w:t>
      </w:r>
      <w:r w:rsidR="00C574AA" w:rsidRPr="000B308F">
        <w:rPr>
          <w:rFonts w:cs="Arial"/>
          <w:bCs/>
          <w:color w:val="000000"/>
          <w:lang w:eastAsia="en-GB"/>
        </w:rPr>
        <w:t xml:space="preserve">ew recruits will receive training as part </w:t>
      </w:r>
      <w:r w:rsidR="00F9634D" w:rsidRPr="000B308F">
        <w:rPr>
          <w:rFonts w:cs="Arial"/>
          <w:bCs/>
          <w:color w:val="000000"/>
          <w:lang w:eastAsia="en-GB"/>
        </w:rPr>
        <w:t xml:space="preserve">of </w:t>
      </w:r>
      <w:r w:rsidR="00F9634D">
        <w:rPr>
          <w:rFonts w:cs="Arial"/>
          <w:bCs/>
          <w:color w:val="000000"/>
          <w:lang w:eastAsia="en-GB"/>
        </w:rPr>
        <w:t>existing</w:t>
      </w:r>
      <w:r w:rsidR="00C574AA" w:rsidRPr="000B308F">
        <w:rPr>
          <w:rFonts w:cs="Arial"/>
          <w:bCs/>
          <w:color w:val="000000"/>
          <w:lang w:eastAsia="en-GB"/>
        </w:rPr>
        <w:t xml:space="preserve"> induction </w:t>
      </w:r>
      <w:r w:rsidR="00FF2603">
        <w:rPr>
          <w:rFonts w:cs="Arial"/>
          <w:bCs/>
          <w:color w:val="000000"/>
          <w:lang w:eastAsia="en-GB"/>
        </w:rPr>
        <w:t>arrangements</w:t>
      </w:r>
      <w:r w:rsidR="00C574AA" w:rsidRPr="000B308F">
        <w:rPr>
          <w:rFonts w:cs="Arial"/>
          <w:bCs/>
          <w:color w:val="000000"/>
          <w:lang w:eastAsia="en-GB"/>
        </w:rPr>
        <w:t xml:space="preserve">. </w:t>
      </w:r>
      <w:r w:rsidR="00625DB5" w:rsidRPr="000B308F">
        <w:rPr>
          <w:rFonts w:cs="Arial"/>
          <w:bCs/>
          <w:color w:val="000000"/>
          <w:lang w:eastAsia="en-GB"/>
        </w:rPr>
        <w:t xml:space="preserve">Induction is unlikely to </w:t>
      </w:r>
      <w:r w:rsidR="00550EA2" w:rsidRPr="000B308F">
        <w:rPr>
          <w:rFonts w:cs="Arial"/>
          <w:bCs/>
          <w:color w:val="000000"/>
          <w:lang w:eastAsia="en-GB"/>
        </w:rPr>
        <w:t>be longer than 1 – 2 days</w:t>
      </w:r>
      <w:r w:rsidR="0045151F">
        <w:rPr>
          <w:rFonts w:cs="Arial"/>
          <w:bCs/>
          <w:color w:val="000000"/>
          <w:lang w:eastAsia="en-GB"/>
        </w:rPr>
        <w:t xml:space="preserve"> but incurs an opportunity cost as attendees are unavailable to carry out other tasks whilst in training. However, there is the long term benefit through enhanced efficiency.</w:t>
      </w:r>
    </w:p>
    <w:p w14:paraId="75FA7F16" w14:textId="66C3ECEB" w:rsidR="000A6E91" w:rsidRDefault="000655D6" w:rsidP="000B308F">
      <w:pPr>
        <w:spacing w:after="240"/>
        <w:ind w:left="720"/>
        <w:rPr>
          <w:rFonts w:cs="Arial"/>
          <w:bCs/>
          <w:color w:val="000000"/>
          <w:lang w:eastAsia="en-GB"/>
        </w:rPr>
      </w:pPr>
      <w:r w:rsidRPr="000B308F">
        <w:rPr>
          <w:rFonts w:cs="Arial"/>
          <w:bCs/>
          <w:color w:val="000000"/>
          <w:lang w:eastAsia="en-GB"/>
        </w:rPr>
        <w:t xml:space="preserve">The work of </w:t>
      </w:r>
      <w:r>
        <w:rPr>
          <w:rFonts w:cs="Arial"/>
          <w:bCs/>
          <w:color w:val="000000"/>
          <w:lang w:eastAsia="en-GB"/>
        </w:rPr>
        <w:t>individual</w:t>
      </w:r>
      <w:r w:rsidRPr="000B308F">
        <w:rPr>
          <w:rFonts w:cs="Arial"/>
          <w:bCs/>
          <w:color w:val="000000"/>
          <w:lang w:eastAsia="en-GB"/>
        </w:rPr>
        <w:t xml:space="preserve"> tribunals will be </w:t>
      </w:r>
      <w:r>
        <w:rPr>
          <w:rFonts w:cs="Arial"/>
          <w:bCs/>
          <w:color w:val="000000"/>
          <w:lang w:eastAsia="en-GB"/>
        </w:rPr>
        <w:t xml:space="preserve">largely </w:t>
      </w:r>
      <w:r w:rsidRPr="000B308F">
        <w:rPr>
          <w:rFonts w:cs="Arial"/>
          <w:bCs/>
          <w:color w:val="000000"/>
          <w:lang w:eastAsia="en-GB"/>
        </w:rPr>
        <w:t xml:space="preserve">unaffected </w:t>
      </w:r>
      <w:r>
        <w:rPr>
          <w:rFonts w:cs="Arial"/>
          <w:bCs/>
          <w:color w:val="000000"/>
          <w:lang w:eastAsia="en-GB"/>
        </w:rPr>
        <w:t>except for</w:t>
      </w:r>
      <w:r w:rsidRPr="000B308F">
        <w:rPr>
          <w:rFonts w:cs="Arial"/>
          <w:bCs/>
          <w:color w:val="000000"/>
          <w:lang w:eastAsia="en-GB"/>
        </w:rPr>
        <w:t xml:space="preserve"> </w:t>
      </w:r>
      <w:r w:rsidR="000B7779">
        <w:rPr>
          <w:rFonts w:cs="Arial"/>
          <w:bCs/>
          <w:color w:val="000000"/>
          <w:lang w:eastAsia="en-GB"/>
        </w:rPr>
        <w:t>the ETW</w:t>
      </w:r>
      <w:r>
        <w:rPr>
          <w:rFonts w:cs="Arial"/>
          <w:bCs/>
          <w:color w:val="000000"/>
          <w:lang w:eastAsia="en-GB"/>
        </w:rPr>
        <w:t>,</w:t>
      </w:r>
      <w:r w:rsidRPr="000B308F">
        <w:rPr>
          <w:rFonts w:cs="Arial"/>
          <w:bCs/>
          <w:color w:val="000000"/>
          <w:lang w:eastAsia="en-GB"/>
        </w:rPr>
        <w:t xml:space="preserve"> which will now hear </w:t>
      </w:r>
      <w:r>
        <w:rPr>
          <w:rFonts w:cs="Arial"/>
          <w:bCs/>
          <w:color w:val="000000"/>
          <w:lang w:eastAsia="en-GB"/>
        </w:rPr>
        <w:t>cases previously heard by school exclusion appeal panels</w:t>
      </w:r>
      <w:r w:rsidR="008E0905">
        <w:rPr>
          <w:rFonts w:cs="Arial"/>
          <w:bCs/>
          <w:color w:val="000000"/>
          <w:lang w:eastAsia="en-GB"/>
        </w:rPr>
        <w:t xml:space="preserve"> and appeals from admissions appeals panels</w:t>
      </w:r>
      <w:r w:rsidRPr="000B308F">
        <w:rPr>
          <w:rFonts w:cs="Arial"/>
          <w:bCs/>
          <w:color w:val="000000"/>
          <w:lang w:eastAsia="en-GB"/>
        </w:rPr>
        <w:t>.</w:t>
      </w:r>
      <w:r>
        <w:rPr>
          <w:rFonts w:cs="Arial"/>
          <w:bCs/>
          <w:color w:val="000000"/>
          <w:lang w:eastAsia="en-GB"/>
        </w:rPr>
        <w:t xml:space="preserve"> </w:t>
      </w:r>
      <w:r w:rsidR="000A6E91">
        <w:rPr>
          <w:rFonts w:cs="Arial"/>
          <w:bCs/>
          <w:color w:val="000000"/>
          <w:lang w:eastAsia="en-GB"/>
        </w:rPr>
        <w:t xml:space="preserve">See table </w:t>
      </w:r>
      <w:r w:rsidR="00E72B09">
        <w:rPr>
          <w:rFonts w:cs="Arial"/>
          <w:bCs/>
          <w:color w:val="000000"/>
          <w:lang w:eastAsia="en-GB"/>
        </w:rPr>
        <w:t>5</w:t>
      </w:r>
      <w:r w:rsidR="000A6E91">
        <w:rPr>
          <w:rFonts w:cs="Arial"/>
          <w:bCs/>
          <w:color w:val="000000"/>
          <w:lang w:eastAsia="en-GB"/>
        </w:rPr>
        <w:t xml:space="preserve">  below</w:t>
      </w:r>
      <w:r>
        <w:rPr>
          <w:rFonts w:cs="Arial"/>
          <w:bCs/>
          <w:color w:val="000000"/>
          <w:lang w:eastAsia="en-GB"/>
        </w:rPr>
        <w:t xml:space="preserve"> </w:t>
      </w:r>
      <w:r w:rsidR="0045151F">
        <w:rPr>
          <w:rFonts w:cs="Arial"/>
          <w:bCs/>
          <w:color w:val="000000"/>
          <w:lang w:eastAsia="en-GB"/>
        </w:rPr>
        <w:t xml:space="preserve">cost </w:t>
      </w:r>
      <w:r>
        <w:rPr>
          <w:rFonts w:cs="Arial"/>
          <w:bCs/>
          <w:color w:val="000000"/>
          <w:lang w:eastAsia="en-GB"/>
        </w:rPr>
        <w:t>estimate</w:t>
      </w:r>
      <w:r w:rsidR="0045151F">
        <w:rPr>
          <w:rFonts w:cs="Arial"/>
          <w:bCs/>
          <w:color w:val="000000"/>
          <w:lang w:eastAsia="en-GB"/>
        </w:rPr>
        <w:t>.</w:t>
      </w:r>
    </w:p>
    <w:p w14:paraId="602FA5DC" w14:textId="0AF2B652" w:rsidR="000A6E91" w:rsidRDefault="000A6E91" w:rsidP="000B308F">
      <w:pPr>
        <w:spacing w:after="240"/>
        <w:ind w:left="720"/>
        <w:rPr>
          <w:rFonts w:cs="Arial"/>
          <w:bCs/>
          <w:color w:val="000000"/>
          <w:lang w:eastAsia="en-GB"/>
        </w:rPr>
      </w:pPr>
      <w:r>
        <w:rPr>
          <w:rFonts w:cs="Arial"/>
          <w:bCs/>
          <w:color w:val="000000"/>
          <w:lang w:eastAsia="en-GB"/>
        </w:rPr>
        <w:t xml:space="preserve">Table </w:t>
      </w:r>
      <w:r w:rsidR="00E72B09">
        <w:rPr>
          <w:rFonts w:cs="Arial"/>
          <w:bCs/>
          <w:color w:val="000000"/>
          <w:lang w:eastAsia="en-GB"/>
        </w:rPr>
        <w:t>5</w:t>
      </w:r>
      <w:r>
        <w:rPr>
          <w:rFonts w:cs="Arial"/>
          <w:bCs/>
          <w:color w:val="000000"/>
          <w:lang w:eastAsia="en-GB"/>
        </w:rPr>
        <w:t>:</w:t>
      </w:r>
      <w:r w:rsidR="008B61A3">
        <w:rPr>
          <w:rFonts w:cs="Arial"/>
          <w:bCs/>
          <w:color w:val="000000"/>
          <w:lang w:eastAsia="en-GB"/>
        </w:rPr>
        <w:t xml:space="preserve"> </w:t>
      </w:r>
      <w:r w:rsidR="000B7779">
        <w:rPr>
          <w:rFonts w:cs="Arial"/>
          <w:bCs/>
          <w:color w:val="000000"/>
          <w:lang w:eastAsia="en-GB"/>
        </w:rPr>
        <w:t>ETW</w:t>
      </w:r>
      <w:r w:rsidR="00E72B09">
        <w:rPr>
          <w:rFonts w:cs="Arial"/>
          <w:bCs/>
          <w:color w:val="000000"/>
          <w:lang w:eastAsia="en-GB"/>
        </w:rPr>
        <w:t xml:space="preserve"> </w:t>
      </w:r>
      <w:r w:rsidR="008B61A3">
        <w:rPr>
          <w:rFonts w:cs="Arial"/>
          <w:bCs/>
          <w:color w:val="000000"/>
          <w:lang w:eastAsia="en-GB"/>
        </w:rPr>
        <w:t>Training costs</w:t>
      </w:r>
    </w:p>
    <w:tbl>
      <w:tblPr>
        <w:tblStyle w:val="TableGrid"/>
        <w:tblW w:w="0" w:type="auto"/>
        <w:tblInd w:w="720" w:type="dxa"/>
        <w:tblLook w:val="04A0" w:firstRow="1" w:lastRow="0" w:firstColumn="1" w:lastColumn="0" w:noHBand="0" w:noVBand="1"/>
      </w:tblPr>
      <w:tblGrid>
        <w:gridCol w:w="3670"/>
        <w:gridCol w:w="1559"/>
        <w:gridCol w:w="1843"/>
        <w:gridCol w:w="1701"/>
      </w:tblGrid>
      <w:tr w:rsidR="000A6E91" w14:paraId="344853F6" w14:textId="77777777" w:rsidTr="00D8157F">
        <w:trPr>
          <w:trHeight w:val="642"/>
        </w:trPr>
        <w:tc>
          <w:tcPr>
            <w:tcW w:w="3670" w:type="dxa"/>
            <w:shd w:val="clear" w:color="auto" w:fill="BFBFBF" w:themeFill="background1" w:themeFillShade="BF"/>
          </w:tcPr>
          <w:p w14:paraId="66959B13" w14:textId="77777777" w:rsidR="000A6E91" w:rsidRPr="00D8157F" w:rsidRDefault="000A6E91" w:rsidP="000A6E91">
            <w:pPr>
              <w:rPr>
                <w:rFonts w:cs="Arial"/>
                <w:sz w:val="22"/>
                <w:szCs w:val="22"/>
              </w:rPr>
            </w:pPr>
          </w:p>
        </w:tc>
        <w:tc>
          <w:tcPr>
            <w:tcW w:w="1559" w:type="dxa"/>
            <w:shd w:val="clear" w:color="auto" w:fill="BFBFBF" w:themeFill="background1" w:themeFillShade="BF"/>
          </w:tcPr>
          <w:p w14:paraId="146B135A" w14:textId="77777777" w:rsidR="000A6E91" w:rsidRPr="00D8157F" w:rsidRDefault="000A6E91" w:rsidP="000A6E91">
            <w:pPr>
              <w:rPr>
                <w:rFonts w:cs="Arial"/>
                <w:sz w:val="22"/>
                <w:szCs w:val="22"/>
              </w:rPr>
            </w:pPr>
            <w:r w:rsidRPr="00D8157F">
              <w:rPr>
                <w:rFonts w:cs="Arial"/>
                <w:sz w:val="22"/>
                <w:szCs w:val="22"/>
              </w:rPr>
              <w:t>Low estimate</w:t>
            </w:r>
          </w:p>
        </w:tc>
        <w:tc>
          <w:tcPr>
            <w:tcW w:w="1843" w:type="dxa"/>
            <w:shd w:val="clear" w:color="auto" w:fill="BFBFBF" w:themeFill="background1" w:themeFillShade="BF"/>
          </w:tcPr>
          <w:p w14:paraId="6AD2294D" w14:textId="77777777" w:rsidR="000A6E91" w:rsidRPr="00D8157F" w:rsidRDefault="000A6E91" w:rsidP="000A6E91">
            <w:pPr>
              <w:rPr>
                <w:rFonts w:cs="Arial"/>
                <w:sz w:val="22"/>
                <w:szCs w:val="22"/>
              </w:rPr>
            </w:pPr>
            <w:r w:rsidRPr="00D8157F">
              <w:rPr>
                <w:rFonts w:cs="Arial"/>
                <w:sz w:val="22"/>
                <w:szCs w:val="22"/>
              </w:rPr>
              <w:t>Central Estimate</w:t>
            </w:r>
          </w:p>
        </w:tc>
        <w:tc>
          <w:tcPr>
            <w:tcW w:w="1701" w:type="dxa"/>
            <w:shd w:val="clear" w:color="auto" w:fill="BFBFBF" w:themeFill="background1" w:themeFillShade="BF"/>
          </w:tcPr>
          <w:p w14:paraId="1B87655D" w14:textId="77777777" w:rsidR="000A6E91" w:rsidRPr="00D8157F" w:rsidRDefault="000A6E91" w:rsidP="000A6E91">
            <w:pPr>
              <w:rPr>
                <w:rFonts w:cs="Arial"/>
                <w:sz w:val="22"/>
                <w:szCs w:val="22"/>
              </w:rPr>
            </w:pPr>
            <w:r w:rsidRPr="00D8157F">
              <w:rPr>
                <w:rFonts w:cs="Arial"/>
                <w:sz w:val="22"/>
                <w:szCs w:val="22"/>
              </w:rPr>
              <w:t>High estimate</w:t>
            </w:r>
          </w:p>
        </w:tc>
      </w:tr>
      <w:tr w:rsidR="000A6E91" w14:paraId="09241F69" w14:textId="77777777" w:rsidTr="00D8157F">
        <w:tc>
          <w:tcPr>
            <w:tcW w:w="3670" w:type="dxa"/>
          </w:tcPr>
          <w:p w14:paraId="55C9E087" w14:textId="209BF402" w:rsidR="000A6E91" w:rsidRPr="00D8157F" w:rsidRDefault="00AD09D9" w:rsidP="000A6E91">
            <w:pPr>
              <w:rPr>
                <w:rFonts w:cs="Arial"/>
                <w:sz w:val="22"/>
                <w:szCs w:val="22"/>
              </w:rPr>
            </w:pPr>
            <w:r w:rsidRPr="00D8157F">
              <w:rPr>
                <w:rFonts w:cs="Arial"/>
                <w:sz w:val="22"/>
                <w:szCs w:val="22"/>
              </w:rPr>
              <w:t>Number of staff requiring training</w:t>
            </w:r>
          </w:p>
        </w:tc>
        <w:tc>
          <w:tcPr>
            <w:tcW w:w="1559" w:type="dxa"/>
          </w:tcPr>
          <w:p w14:paraId="3CB784EB" w14:textId="27DF9F7E" w:rsidR="000A6E91" w:rsidRPr="00D8157F" w:rsidRDefault="00AD09D9" w:rsidP="000A6E91">
            <w:pPr>
              <w:jc w:val="center"/>
              <w:rPr>
                <w:rFonts w:cs="Arial"/>
                <w:sz w:val="22"/>
                <w:szCs w:val="22"/>
              </w:rPr>
            </w:pPr>
            <w:r w:rsidRPr="00D8157F">
              <w:rPr>
                <w:rFonts w:cs="Arial"/>
                <w:sz w:val="22"/>
                <w:szCs w:val="22"/>
              </w:rPr>
              <w:t>18</w:t>
            </w:r>
          </w:p>
        </w:tc>
        <w:tc>
          <w:tcPr>
            <w:tcW w:w="1843" w:type="dxa"/>
          </w:tcPr>
          <w:p w14:paraId="6772F818" w14:textId="324A6B62" w:rsidR="000A6E91" w:rsidRPr="00D8157F" w:rsidRDefault="00AD09D9" w:rsidP="000A6E91">
            <w:pPr>
              <w:jc w:val="center"/>
              <w:rPr>
                <w:rFonts w:cs="Arial"/>
                <w:sz w:val="22"/>
                <w:szCs w:val="22"/>
              </w:rPr>
            </w:pPr>
            <w:r w:rsidRPr="00D8157F">
              <w:rPr>
                <w:rFonts w:cs="Arial"/>
                <w:sz w:val="22"/>
                <w:szCs w:val="22"/>
              </w:rPr>
              <w:t>20</w:t>
            </w:r>
          </w:p>
        </w:tc>
        <w:tc>
          <w:tcPr>
            <w:tcW w:w="1701" w:type="dxa"/>
          </w:tcPr>
          <w:p w14:paraId="40A4B0EC" w14:textId="4A18A8CC" w:rsidR="000A6E91" w:rsidRPr="00D8157F" w:rsidRDefault="00AD09D9" w:rsidP="000A6E91">
            <w:pPr>
              <w:jc w:val="center"/>
              <w:rPr>
                <w:rFonts w:cs="Arial"/>
                <w:sz w:val="22"/>
                <w:szCs w:val="22"/>
              </w:rPr>
            </w:pPr>
            <w:r w:rsidRPr="00D8157F">
              <w:rPr>
                <w:rFonts w:cs="Arial"/>
                <w:sz w:val="22"/>
                <w:szCs w:val="22"/>
              </w:rPr>
              <w:t>22</w:t>
            </w:r>
          </w:p>
        </w:tc>
      </w:tr>
      <w:tr w:rsidR="000A6E91" w14:paraId="46440F4B" w14:textId="77777777" w:rsidTr="00D8157F">
        <w:tc>
          <w:tcPr>
            <w:tcW w:w="3670" w:type="dxa"/>
          </w:tcPr>
          <w:p w14:paraId="49D5B22C" w14:textId="2A2DFDCE" w:rsidR="000A6E91" w:rsidRPr="00D8157F" w:rsidRDefault="00AD09D9" w:rsidP="000A6E91">
            <w:pPr>
              <w:rPr>
                <w:rFonts w:cs="Arial"/>
                <w:sz w:val="22"/>
                <w:szCs w:val="22"/>
              </w:rPr>
            </w:pPr>
            <w:r w:rsidRPr="00D8157F">
              <w:rPr>
                <w:rFonts w:cs="Arial"/>
                <w:sz w:val="22"/>
                <w:szCs w:val="22"/>
              </w:rPr>
              <w:t>Daily Fee</w:t>
            </w:r>
            <w:r w:rsidR="00650361" w:rsidRPr="00D8157F">
              <w:rPr>
                <w:rStyle w:val="FootnoteReference"/>
                <w:rFonts w:cs="Arial"/>
                <w:szCs w:val="22"/>
              </w:rPr>
              <w:footnoteReference w:id="23"/>
            </w:r>
          </w:p>
        </w:tc>
        <w:tc>
          <w:tcPr>
            <w:tcW w:w="1559" w:type="dxa"/>
          </w:tcPr>
          <w:p w14:paraId="26211036" w14:textId="3A28FE6D" w:rsidR="000A6E91" w:rsidRPr="00D8157F" w:rsidRDefault="00E72B09" w:rsidP="000A6E91">
            <w:pPr>
              <w:jc w:val="center"/>
              <w:rPr>
                <w:rFonts w:cs="Arial"/>
                <w:sz w:val="22"/>
                <w:szCs w:val="22"/>
              </w:rPr>
            </w:pPr>
            <w:r w:rsidRPr="00D8157F">
              <w:rPr>
                <w:rFonts w:cs="Arial"/>
                <w:sz w:val="22"/>
                <w:szCs w:val="22"/>
              </w:rPr>
              <w:t>£345</w:t>
            </w:r>
          </w:p>
        </w:tc>
        <w:tc>
          <w:tcPr>
            <w:tcW w:w="1843" w:type="dxa"/>
          </w:tcPr>
          <w:p w14:paraId="5D77B35E" w14:textId="525D5893" w:rsidR="000A6E91" w:rsidRPr="00D8157F" w:rsidRDefault="00E72B09" w:rsidP="000A6E91">
            <w:pPr>
              <w:jc w:val="center"/>
              <w:rPr>
                <w:rFonts w:cs="Arial"/>
                <w:sz w:val="22"/>
                <w:szCs w:val="22"/>
              </w:rPr>
            </w:pPr>
            <w:r w:rsidRPr="00D8157F">
              <w:rPr>
                <w:rFonts w:cs="Arial"/>
                <w:sz w:val="22"/>
                <w:szCs w:val="22"/>
              </w:rPr>
              <w:t>£345</w:t>
            </w:r>
          </w:p>
        </w:tc>
        <w:tc>
          <w:tcPr>
            <w:tcW w:w="1701" w:type="dxa"/>
          </w:tcPr>
          <w:p w14:paraId="54290F7D" w14:textId="04F0BA0E" w:rsidR="000A6E91" w:rsidRPr="00D8157F" w:rsidRDefault="00E72B09" w:rsidP="000A6E91">
            <w:pPr>
              <w:jc w:val="center"/>
              <w:rPr>
                <w:rFonts w:cs="Arial"/>
                <w:sz w:val="22"/>
                <w:szCs w:val="22"/>
              </w:rPr>
            </w:pPr>
            <w:r w:rsidRPr="00D8157F">
              <w:rPr>
                <w:rFonts w:cs="Arial"/>
                <w:sz w:val="22"/>
                <w:szCs w:val="22"/>
              </w:rPr>
              <w:t>£345</w:t>
            </w:r>
          </w:p>
        </w:tc>
      </w:tr>
      <w:tr w:rsidR="000A6E91" w14:paraId="51732976" w14:textId="77777777" w:rsidTr="00D8157F">
        <w:tc>
          <w:tcPr>
            <w:tcW w:w="3670" w:type="dxa"/>
          </w:tcPr>
          <w:p w14:paraId="3C0B84C4" w14:textId="0CE7D840" w:rsidR="000A6E91" w:rsidRPr="00D8157F" w:rsidRDefault="00AD09D9" w:rsidP="000A6E91">
            <w:pPr>
              <w:rPr>
                <w:rFonts w:cs="Arial"/>
                <w:sz w:val="22"/>
                <w:szCs w:val="22"/>
              </w:rPr>
            </w:pPr>
            <w:r w:rsidRPr="00D8157F">
              <w:rPr>
                <w:rFonts w:cs="Arial"/>
                <w:sz w:val="22"/>
                <w:szCs w:val="22"/>
              </w:rPr>
              <w:t>Days of training</w:t>
            </w:r>
          </w:p>
        </w:tc>
        <w:tc>
          <w:tcPr>
            <w:tcW w:w="1559" w:type="dxa"/>
          </w:tcPr>
          <w:p w14:paraId="20F128D9" w14:textId="355FD9F4" w:rsidR="000A6E91" w:rsidRPr="00D8157F" w:rsidRDefault="00AD09D9" w:rsidP="000A6E91">
            <w:pPr>
              <w:jc w:val="center"/>
              <w:rPr>
                <w:rFonts w:cs="Arial"/>
                <w:sz w:val="22"/>
                <w:szCs w:val="22"/>
              </w:rPr>
            </w:pPr>
            <w:r w:rsidRPr="00D8157F">
              <w:rPr>
                <w:rFonts w:cs="Arial"/>
                <w:sz w:val="22"/>
                <w:szCs w:val="22"/>
              </w:rPr>
              <w:t>1</w:t>
            </w:r>
          </w:p>
        </w:tc>
        <w:tc>
          <w:tcPr>
            <w:tcW w:w="1843" w:type="dxa"/>
          </w:tcPr>
          <w:p w14:paraId="5EB8D7E9" w14:textId="39394327" w:rsidR="000A6E91" w:rsidRPr="00D8157F" w:rsidRDefault="00AD09D9" w:rsidP="000A6E91">
            <w:pPr>
              <w:jc w:val="center"/>
              <w:rPr>
                <w:rFonts w:cs="Arial"/>
                <w:sz w:val="22"/>
                <w:szCs w:val="22"/>
              </w:rPr>
            </w:pPr>
            <w:r w:rsidRPr="00D8157F">
              <w:rPr>
                <w:rFonts w:cs="Arial"/>
                <w:sz w:val="22"/>
                <w:szCs w:val="22"/>
              </w:rPr>
              <w:t>1</w:t>
            </w:r>
          </w:p>
        </w:tc>
        <w:tc>
          <w:tcPr>
            <w:tcW w:w="1701" w:type="dxa"/>
          </w:tcPr>
          <w:p w14:paraId="743FDFA1" w14:textId="64D1FD04" w:rsidR="000A6E91" w:rsidRPr="00D8157F" w:rsidRDefault="00AD09D9" w:rsidP="000A6E91">
            <w:pPr>
              <w:jc w:val="center"/>
              <w:rPr>
                <w:rFonts w:cs="Arial"/>
                <w:sz w:val="22"/>
                <w:szCs w:val="22"/>
              </w:rPr>
            </w:pPr>
            <w:r w:rsidRPr="00D8157F">
              <w:rPr>
                <w:rFonts w:cs="Arial"/>
                <w:sz w:val="22"/>
                <w:szCs w:val="22"/>
              </w:rPr>
              <w:t>2</w:t>
            </w:r>
          </w:p>
        </w:tc>
      </w:tr>
      <w:tr w:rsidR="00AD09D9" w14:paraId="17362247" w14:textId="77777777" w:rsidTr="00D8157F">
        <w:tc>
          <w:tcPr>
            <w:tcW w:w="3670" w:type="dxa"/>
          </w:tcPr>
          <w:p w14:paraId="72906782" w14:textId="66EA3C50" w:rsidR="00AD09D9" w:rsidRPr="00D8157F" w:rsidRDefault="009A2511" w:rsidP="000A6E91">
            <w:pPr>
              <w:rPr>
                <w:rFonts w:cs="Arial"/>
                <w:sz w:val="22"/>
                <w:szCs w:val="22"/>
              </w:rPr>
            </w:pPr>
            <w:r w:rsidRPr="00D8157F">
              <w:rPr>
                <w:rFonts w:cs="Arial"/>
                <w:sz w:val="22"/>
                <w:szCs w:val="22"/>
              </w:rPr>
              <w:t>Total Training cost ex. external Trainer</w:t>
            </w:r>
          </w:p>
        </w:tc>
        <w:tc>
          <w:tcPr>
            <w:tcW w:w="1559" w:type="dxa"/>
          </w:tcPr>
          <w:p w14:paraId="28DFC9E2" w14:textId="14059994" w:rsidR="00AD09D9" w:rsidRPr="00D8157F" w:rsidRDefault="00E72B09" w:rsidP="000A6E91">
            <w:pPr>
              <w:jc w:val="center"/>
              <w:rPr>
                <w:rFonts w:cs="Arial"/>
                <w:sz w:val="22"/>
                <w:szCs w:val="22"/>
              </w:rPr>
            </w:pPr>
            <w:r w:rsidRPr="00D8157F">
              <w:rPr>
                <w:rFonts w:cs="Arial"/>
                <w:sz w:val="22"/>
                <w:szCs w:val="22"/>
              </w:rPr>
              <w:t>£6,210</w:t>
            </w:r>
          </w:p>
        </w:tc>
        <w:tc>
          <w:tcPr>
            <w:tcW w:w="1843" w:type="dxa"/>
          </w:tcPr>
          <w:p w14:paraId="2C50AD0F" w14:textId="5CE000DC" w:rsidR="00AD09D9" w:rsidRPr="00D8157F" w:rsidRDefault="00E72B09" w:rsidP="000A6E91">
            <w:pPr>
              <w:jc w:val="center"/>
              <w:rPr>
                <w:rFonts w:cs="Arial"/>
                <w:sz w:val="22"/>
                <w:szCs w:val="22"/>
              </w:rPr>
            </w:pPr>
            <w:r w:rsidRPr="00D8157F">
              <w:rPr>
                <w:rFonts w:cs="Arial"/>
                <w:sz w:val="22"/>
                <w:szCs w:val="22"/>
              </w:rPr>
              <w:t>£6,900</w:t>
            </w:r>
          </w:p>
        </w:tc>
        <w:tc>
          <w:tcPr>
            <w:tcW w:w="1701" w:type="dxa"/>
          </w:tcPr>
          <w:p w14:paraId="2E0BD6A4" w14:textId="68585B0C" w:rsidR="00AD09D9" w:rsidRPr="00D8157F" w:rsidRDefault="00E72B09" w:rsidP="000A6E91">
            <w:pPr>
              <w:jc w:val="center"/>
              <w:rPr>
                <w:rFonts w:cs="Arial"/>
                <w:sz w:val="22"/>
                <w:szCs w:val="22"/>
              </w:rPr>
            </w:pPr>
            <w:r w:rsidRPr="00D8157F">
              <w:rPr>
                <w:rFonts w:cs="Arial"/>
                <w:sz w:val="22"/>
                <w:szCs w:val="22"/>
              </w:rPr>
              <w:t>£16,180</w:t>
            </w:r>
          </w:p>
        </w:tc>
      </w:tr>
      <w:tr w:rsidR="000A6E91" w14:paraId="4D3A1BAA" w14:textId="77777777" w:rsidTr="00D8157F">
        <w:tc>
          <w:tcPr>
            <w:tcW w:w="3670" w:type="dxa"/>
          </w:tcPr>
          <w:p w14:paraId="4A0A6504" w14:textId="02EF3836" w:rsidR="000A6E91" w:rsidRPr="00D8157F" w:rsidRDefault="00AD09D9" w:rsidP="000A6E91">
            <w:pPr>
              <w:rPr>
                <w:rFonts w:cs="Arial"/>
                <w:sz w:val="22"/>
                <w:szCs w:val="22"/>
              </w:rPr>
            </w:pPr>
            <w:r w:rsidRPr="00D8157F">
              <w:rPr>
                <w:rFonts w:cs="Arial"/>
                <w:sz w:val="22"/>
                <w:szCs w:val="22"/>
              </w:rPr>
              <w:t>External trainer required @ £500 per day</w:t>
            </w:r>
          </w:p>
        </w:tc>
        <w:tc>
          <w:tcPr>
            <w:tcW w:w="1559" w:type="dxa"/>
          </w:tcPr>
          <w:p w14:paraId="0BD2196E" w14:textId="2E4C2DCF" w:rsidR="000A6E91" w:rsidRPr="00D8157F" w:rsidRDefault="00AD09D9" w:rsidP="000A6E91">
            <w:pPr>
              <w:jc w:val="center"/>
              <w:rPr>
                <w:rFonts w:cs="Arial"/>
                <w:sz w:val="22"/>
                <w:szCs w:val="22"/>
              </w:rPr>
            </w:pPr>
            <w:r w:rsidRPr="00D8157F">
              <w:rPr>
                <w:rFonts w:cs="Arial"/>
                <w:sz w:val="22"/>
                <w:szCs w:val="22"/>
              </w:rPr>
              <w:t>0</w:t>
            </w:r>
          </w:p>
        </w:tc>
        <w:tc>
          <w:tcPr>
            <w:tcW w:w="1843" w:type="dxa"/>
          </w:tcPr>
          <w:p w14:paraId="162655AC" w14:textId="3B862EE6" w:rsidR="000A6E91" w:rsidRPr="00D8157F" w:rsidRDefault="00AD09D9" w:rsidP="000A6E91">
            <w:pPr>
              <w:jc w:val="center"/>
              <w:rPr>
                <w:rFonts w:cs="Arial"/>
                <w:sz w:val="22"/>
                <w:szCs w:val="22"/>
              </w:rPr>
            </w:pPr>
            <w:r w:rsidRPr="00D8157F">
              <w:rPr>
                <w:rFonts w:cs="Arial"/>
                <w:sz w:val="22"/>
                <w:szCs w:val="22"/>
              </w:rPr>
              <w:t>0</w:t>
            </w:r>
          </w:p>
        </w:tc>
        <w:tc>
          <w:tcPr>
            <w:tcW w:w="1701" w:type="dxa"/>
          </w:tcPr>
          <w:p w14:paraId="57B1709D" w14:textId="1CB791F6" w:rsidR="000A6E91" w:rsidRPr="00D8157F" w:rsidRDefault="00AD09D9" w:rsidP="000A6E91">
            <w:pPr>
              <w:jc w:val="center"/>
              <w:rPr>
                <w:rFonts w:cs="Arial"/>
                <w:sz w:val="22"/>
                <w:szCs w:val="22"/>
              </w:rPr>
            </w:pPr>
            <w:r w:rsidRPr="00D8157F">
              <w:rPr>
                <w:rFonts w:cs="Arial"/>
                <w:sz w:val="22"/>
                <w:szCs w:val="22"/>
              </w:rPr>
              <w:t>£1000</w:t>
            </w:r>
          </w:p>
        </w:tc>
      </w:tr>
      <w:tr w:rsidR="00E72B09" w14:paraId="62DDC372" w14:textId="77777777" w:rsidTr="00D8157F">
        <w:tc>
          <w:tcPr>
            <w:tcW w:w="3670" w:type="dxa"/>
          </w:tcPr>
          <w:p w14:paraId="6F51B19D" w14:textId="37FEB109" w:rsidR="00E72B09" w:rsidRPr="00D8157F" w:rsidRDefault="00E72B09" w:rsidP="000A6E91">
            <w:pPr>
              <w:rPr>
                <w:rFonts w:cs="Arial"/>
                <w:sz w:val="22"/>
                <w:szCs w:val="22"/>
              </w:rPr>
            </w:pPr>
            <w:r w:rsidRPr="00D8157F">
              <w:rPr>
                <w:rFonts w:cs="Arial"/>
                <w:sz w:val="22"/>
                <w:szCs w:val="22"/>
              </w:rPr>
              <w:t xml:space="preserve">Total training cost </w:t>
            </w:r>
            <w:proofErr w:type="spellStart"/>
            <w:r w:rsidRPr="00D8157F">
              <w:rPr>
                <w:rFonts w:cs="Arial"/>
                <w:sz w:val="22"/>
                <w:szCs w:val="22"/>
              </w:rPr>
              <w:t>inc.</w:t>
            </w:r>
            <w:proofErr w:type="spellEnd"/>
            <w:r w:rsidRPr="00D8157F">
              <w:rPr>
                <w:rFonts w:cs="Arial"/>
                <w:sz w:val="22"/>
                <w:szCs w:val="22"/>
              </w:rPr>
              <w:t xml:space="preserve"> External trainer</w:t>
            </w:r>
          </w:p>
        </w:tc>
        <w:tc>
          <w:tcPr>
            <w:tcW w:w="1559" w:type="dxa"/>
          </w:tcPr>
          <w:p w14:paraId="2C17D0DE" w14:textId="264C1CB2" w:rsidR="00E72B09" w:rsidRPr="00D8157F" w:rsidRDefault="00E72B09" w:rsidP="000A6E91">
            <w:pPr>
              <w:jc w:val="center"/>
              <w:rPr>
                <w:rFonts w:cs="Arial"/>
                <w:sz w:val="22"/>
                <w:szCs w:val="22"/>
              </w:rPr>
            </w:pPr>
            <w:r w:rsidRPr="00D8157F">
              <w:rPr>
                <w:rFonts w:cs="Arial"/>
                <w:sz w:val="22"/>
                <w:szCs w:val="22"/>
              </w:rPr>
              <w:t>£6,210</w:t>
            </w:r>
          </w:p>
        </w:tc>
        <w:tc>
          <w:tcPr>
            <w:tcW w:w="1843" w:type="dxa"/>
          </w:tcPr>
          <w:p w14:paraId="28B49FCE" w14:textId="5EFA79F8" w:rsidR="00E72B09" w:rsidRPr="00D8157F" w:rsidRDefault="00E72B09" w:rsidP="000A6E91">
            <w:pPr>
              <w:jc w:val="center"/>
              <w:rPr>
                <w:rFonts w:cs="Arial"/>
                <w:sz w:val="22"/>
                <w:szCs w:val="22"/>
              </w:rPr>
            </w:pPr>
            <w:r w:rsidRPr="00D8157F">
              <w:rPr>
                <w:rFonts w:cs="Arial"/>
                <w:sz w:val="22"/>
                <w:szCs w:val="22"/>
              </w:rPr>
              <w:t>£6,900</w:t>
            </w:r>
          </w:p>
        </w:tc>
        <w:tc>
          <w:tcPr>
            <w:tcW w:w="1701" w:type="dxa"/>
          </w:tcPr>
          <w:p w14:paraId="34635C6E" w14:textId="247242CD" w:rsidR="00E72B09" w:rsidRPr="00D8157F" w:rsidRDefault="00E72B09" w:rsidP="000A6E91">
            <w:pPr>
              <w:jc w:val="center"/>
              <w:rPr>
                <w:rFonts w:cs="Arial"/>
                <w:sz w:val="22"/>
                <w:szCs w:val="22"/>
              </w:rPr>
            </w:pPr>
            <w:r w:rsidRPr="00D8157F">
              <w:rPr>
                <w:rFonts w:cs="Arial"/>
                <w:sz w:val="22"/>
                <w:szCs w:val="22"/>
              </w:rPr>
              <w:t>£16,180</w:t>
            </w:r>
          </w:p>
        </w:tc>
      </w:tr>
    </w:tbl>
    <w:p w14:paraId="0122420B" w14:textId="77777777" w:rsidR="000A6E91" w:rsidRDefault="000A6E91" w:rsidP="000B308F">
      <w:pPr>
        <w:spacing w:after="240"/>
        <w:ind w:left="720"/>
        <w:rPr>
          <w:rFonts w:cs="Arial"/>
          <w:bCs/>
          <w:color w:val="000000"/>
          <w:lang w:eastAsia="en-GB"/>
        </w:rPr>
      </w:pPr>
    </w:p>
    <w:p w14:paraId="2AE44381" w14:textId="2589EC60" w:rsidR="000A6E91" w:rsidRDefault="008B61A3" w:rsidP="000B308F">
      <w:pPr>
        <w:spacing w:after="240"/>
        <w:ind w:left="720"/>
        <w:rPr>
          <w:rFonts w:cs="Arial"/>
          <w:bCs/>
          <w:color w:val="000000"/>
          <w:lang w:eastAsia="en-GB"/>
        </w:rPr>
      </w:pPr>
      <w:r>
        <w:rPr>
          <w:rFonts w:cs="Arial"/>
          <w:bCs/>
          <w:color w:val="000000"/>
          <w:lang w:eastAsia="en-GB"/>
        </w:rPr>
        <w:t>Assumptions:</w:t>
      </w:r>
    </w:p>
    <w:p w14:paraId="1086714A" w14:textId="30C849E0" w:rsidR="00A85860" w:rsidRDefault="00A85860" w:rsidP="00AD09D9">
      <w:pPr>
        <w:pStyle w:val="ListParagraph"/>
        <w:numPr>
          <w:ilvl w:val="0"/>
          <w:numId w:val="31"/>
        </w:numPr>
        <w:spacing w:after="240"/>
        <w:rPr>
          <w:rFonts w:cs="Arial"/>
          <w:bCs/>
          <w:color w:val="000000"/>
          <w:lang w:eastAsia="en-GB"/>
        </w:rPr>
      </w:pPr>
      <w:r>
        <w:rPr>
          <w:rFonts w:cs="Arial"/>
          <w:bCs/>
          <w:color w:val="000000"/>
          <w:lang w:eastAsia="en-GB"/>
        </w:rPr>
        <w:t>Estimated staff numbers based on existing staff compliment +/- 2 members.</w:t>
      </w:r>
    </w:p>
    <w:p w14:paraId="0EC6E221" w14:textId="544E59B4" w:rsidR="009A2511" w:rsidRDefault="009A2511" w:rsidP="00AD09D9">
      <w:pPr>
        <w:pStyle w:val="ListParagraph"/>
        <w:numPr>
          <w:ilvl w:val="0"/>
          <w:numId w:val="31"/>
        </w:numPr>
        <w:spacing w:after="240"/>
        <w:rPr>
          <w:rFonts w:cs="Arial"/>
          <w:bCs/>
          <w:color w:val="000000"/>
          <w:lang w:eastAsia="en-GB"/>
        </w:rPr>
      </w:pPr>
      <w:r>
        <w:rPr>
          <w:rFonts w:cs="Arial"/>
          <w:bCs/>
          <w:color w:val="000000"/>
          <w:lang w:eastAsia="en-GB"/>
        </w:rPr>
        <w:t xml:space="preserve">Estimated fees </w:t>
      </w:r>
      <w:proofErr w:type="spellStart"/>
      <w:r>
        <w:rPr>
          <w:rFonts w:cs="Arial"/>
          <w:bCs/>
          <w:color w:val="000000"/>
          <w:lang w:eastAsia="en-GB"/>
        </w:rPr>
        <w:t>base</w:t>
      </w:r>
      <w:proofErr w:type="spellEnd"/>
      <w:r>
        <w:rPr>
          <w:rFonts w:cs="Arial"/>
          <w:bCs/>
          <w:color w:val="000000"/>
          <w:lang w:eastAsia="en-GB"/>
        </w:rPr>
        <w:t xml:space="preserve"> on the average of 1 legal chair</w:t>
      </w:r>
      <w:r w:rsidR="000C7BFA">
        <w:rPr>
          <w:rFonts w:cs="Arial"/>
          <w:bCs/>
          <w:color w:val="000000"/>
          <w:lang w:eastAsia="en-GB"/>
        </w:rPr>
        <w:t xml:space="preserve"> </w:t>
      </w:r>
      <w:r>
        <w:rPr>
          <w:rFonts w:cs="Arial"/>
          <w:bCs/>
          <w:color w:val="000000"/>
          <w:lang w:eastAsia="en-GB"/>
        </w:rPr>
        <w:t>+</w:t>
      </w:r>
      <w:r w:rsidR="000C7BFA">
        <w:rPr>
          <w:rFonts w:cs="Arial"/>
          <w:bCs/>
          <w:color w:val="000000"/>
          <w:lang w:eastAsia="en-GB"/>
        </w:rPr>
        <w:t xml:space="preserve"> </w:t>
      </w:r>
      <w:r>
        <w:rPr>
          <w:rFonts w:cs="Arial"/>
          <w:bCs/>
          <w:color w:val="000000"/>
          <w:lang w:eastAsia="en-GB"/>
        </w:rPr>
        <w:t>2 lay members</w:t>
      </w:r>
    </w:p>
    <w:p w14:paraId="373DECBA" w14:textId="0E41E1F7" w:rsidR="008B61A3" w:rsidRPr="0097144F" w:rsidRDefault="00AD09D9" w:rsidP="0097144F">
      <w:pPr>
        <w:pStyle w:val="ListParagraph"/>
        <w:numPr>
          <w:ilvl w:val="0"/>
          <w:numId w:val="31"/>
        </w:numPr>
        <w:spacing w:after="240"/>
        <w:rPr>
          <w:rFonts w:cs="Arial"/>
          <w:bCs/>
          <w:color w:val="000000"/>
          <w:lang w:eastAsia="en-GB"/>
        </w:rPr>
      </w:pPr>
      <w:r>
        <w:rPr>
          <w:rFonts w:cs="Arial"/>
          <w:bCs/>
          <w:color w:val="000000"/>
          <w:lang w:eastAsia="en-GB"/>
        </w:rPr>
        <w:t xml:space="preserve">In-house trainer </w:t>
      </w:r>
      <w:r w:rsidR="00A85860">
        <w:rPr>
          <w:rFonts w:cs="Arial"/>
          <w:bCs/>
          <w:color w:val="000000"/>
          <w:lang w:eastAsia="en-GB"/>
        </w:rPr>
        <w:t>is the most likely event – applied to low/best estimates. Should an external trainer be required we have applied £500 daily cost</w:t>
      </w:r>
      <w:r w:rsidR="00A85860">
        <w:rPr>
          <w:rStyle w:val="FootnoteReference"/>
          <w:bCs/>
          <w:color w:val="000000"/>
          <w:lang w:eastAsia="en-GB"/>
        </w:rPr>
        <w:footnoteReference w:id="24"/>
      </w:r>
    </w:p>
    <w:p w14:paraId="67FDEE5E" w14:textId="77777777" w:rsidR="000A6E91" w:rsidRDefault="000A6E91" w:rsidP="000B308F">
      <w:pPr>
        <w:spacing w:after="240"/>
        <w:ind w:left="720"/>
        <w:rPr>
          <w:rFonts w:cs="Arial"/>
          <w:bCs/>
          <w:color w:val="000000"/>
          <w:lang w:eastAsia="en-GB"/>
        </w:rPr>
      </w:pPr>
    </w:p>
    <w:p w14:paraId="7D919339" w14:textId="77777777" w:rsidR="00C574AA" w:rsidRPr="000B308F" w:rsidRDefault="00C574AA" w:rsidP="006977F9">
      <w:pPr>
        <w:spacing w:after="120"/>
        <w:ind w:left="720"/>
        <w:rPr>
          <w:rFonts w:cs="Arial"/>
          <w:bCs/>
          <w:color w:val="000000"/>
          <w:u w:val="single"/>
          <w:lang w:eastAsia="en-GB"/>
        </w:rPr>
      </w:pPr>
      <w:r w:rsidRPr="000B308F">
        <w:rPr>
          <w:rFonts w:cs="Arial"/>
          <w:bCs/>
          <w:color w:val="000000"/>
          <w:lang w:eastAsia="en-GB"/>
        </w:rPr>
        <w:t xml:space="preserve">2. </w:t>
      </w:r>
      <w:r w:rsidRPr="000B308F">
        <w:rPr>
          <w:rFonts w:cs="Arial"/>
          <w:bCs/>
          <w:color w:val="000000"/>
          <w:u w:val="single"/>
          <w:lang w:eastAsia="en-GB"/>
        </w:rPr>
        <w:t>Guidance material</w:t>
      </w:r>
    </w:p>
    <w:p w14:paraId="54C9DAD5" w14:textId="42660E9F" w:rsidR="00C574AA" w:rsidRDefault="00C574AA" w:rsidP="00BA5F1B">
      <w:pPr>
        <w:spacing w:after="240"/>
        <w:ind w:left="720"/>
        <w:rPr>
          <w:rFonts w:cs="Arial"/>
          <w:bCs/>
          <w:color w:val="000000"/>
          <w:lang w:eastAsia="en-GB"/>
        </w:rPr>
      </w:pPr>
      <w:bookmarkStart w:id="46" w:name="_Hlk57302622"/>
      <w:r w:rsidRPr="000B308F">
        <w:rPr>
          <w:rFonts w:cs="Arial"/>
          <w:bCs/>
          <w:color w:val="000000"/>
          <w:lang w:eastAsia="en-GB"/>
        </w:rPr>
        <w:t>In keeping with the new structure there will be need for a logo and branded stationery alongside a revised web-site</w:t>
      </w:r>
      <w:r w:rsidR="00FF2603">
        <w:rPr>
          <w:rFonts w:cs="Arial"/>
          <w:bCs/>
          <w:color w:val="000000"/>
          <w:lang w:eastAsia="en-GB"/>
        </w:rPr>
        <w:t xml:space="preserve"> (individual tribunals currently have a website; the </w:t>
      </w:r>
      <w:r w:rsidR="00D84DDF">
        <w:rPr>
          <w:rFonts w:cs="Arial"/>
          <w:bCs/>
          <w:color w:val="000000"/>
          <w:lang w:eastAsia="en-GB"/>
        </w:rPr>
        <w:t>WTU does not)</w:t>
      </w:r>
      <w:r w:rsidRPr="000B308F">
        <w:rPr>
          <w:rFonts w:cs="Arial"/>
          <w:bCs/>
          <w:color w:val="000000"/>
          <w:lang w:eastAsia="en-GB"/>
        </w:rPr>
        <w:t>. It is envisaged that this can be accommodated using existing WTU resources.</w:t>
      </w:r>
      <w:r w:rsidR="00A85860">
        <w:rPr>
          <w:rFonts w:cs="Arial"/>
          <w:bCs/>
          <w:color w:val="000000"/>
          <w:lang w:eastAsia="en-GB"/>
        </w:rPr>
        <w:t xml:space="preserve"> There is the associated opportunity cost of diverted resources and it is assumed that some spare capacity is available for a short period of time.</w:t>
      </w:r>
    </w:p>
    <w:bookmarkEnd w:id="46"/>
    <w:p w14:paraId="5D1EFB5C" w14:textId="77777777" w:rsidR="006977F9" w:rsidRPr="000B308F" w:rsidRDefault="00C574AA" w:rsidP="006977F9">
      <w:pPr>
        <w:spacing w:after="120"/>
        <w:ind w:left="720"/>
        <w:rPr>
          <w:rFonts w:cs="Arial"/>
          <w:bCs/>
          <w:color w:val="000000"/>
          <w:lang w:eastAsia="en-GB"/>
        </w:rPr>
      </w:pPr>
      <w:r w:rsidRPr="000B308F">
        <w:rPr>
          <w:rFonts w:cs="Arial"/>
          <w:bCs/>
          <w:color w:val="000000"/>
          <w:lang w:eastAsia="en-GB"/>
        </w:rPr>
        <w:t>3</w:t>
      </w:r>
      <w:r w:rsidR="00AA6A31" w:rsidRPr="000B308F">
        <w:rPr>
          <w:rFonts w:cs="Arial"/>
          <w:bCs/>
          <w:color w:val="000000"/>
          <w:lang w:eastAsia="en-GB"/>
        </w:rPr>
        <w:t>.</w:t>
      </w:r>
      <w:r w:rsidRPr="000B308F">
        <w:rPr>
          <w:rFonts w:cs="Arial"/>
          <w:bCs/>
          <w:color w:val="000000"/>
          <w:lang w:eastAsia="en-GB"/>
        </w:rPr>
        <w:t xml:space="preserve"> </w:t>
      </w:r>
      <w:r w:rsidR="006977F9" w:rsidRPr="000B308F">
        <w:rPr>
          <w:rFonts w:cs="Arial"/>
          <w:bCs/>
          <w:color w:val="000000"/>
          <w:u w:val="single"/>
          <w:lang w:eastAsia="en-GB"/>
        </w:rPr>
        <w:t>Legislative drafting for new set-up</w:t>
      </w:r>
    </w:p>
    <w:p w14:paraId="089DE898" w14:textId="77777777" w:rsidR="006977F9" w:rsidRPr="000B308F" w:rsidRDefault="00C574AA" w:rsidP="006977F9">
      <w:pPr>
        <w:spacing w:after="120"/>
        <w:ind w:left="720"/>
        <w:rPr>
          <w:rFonts w:cs="Arial"/>
          <w:bCs/>
          <w:color w:val="000000"/>
          <w:lang w:eastAsia="en-GB"/>
        </w:rPr>
      </w:pPr>
      <w:r w:rsidRPr="000B308F">
        <w:rPr>
          <w:rFonts w:cs="Arial"/>
        </w:rPr>
        <w:t xml:space="preserve">Legislative drafting </w:t>
      </w:r>
      <w:r w:rsidR="00025C49">
        <w:rPr>
          <w:rFonts w:cs="Arial"/>
        </w:rPr>
        <w:t>is</w:t>
      </w:r>
      <w:r w:rsidRPr="000B308F">
        <w:rPr>
          <w:rFonts w:cs="Arial"/>
        </w:rPr>
        <w:t xml:space="preserve"> required to enact </w:t>
      </w:r>
      <w:r w:rsidR="00D84DDF">
        <w:rPr>
          <w:rFonts w:cs="Arial"/>
        </w:rPr>
        <w:t>a</w:t>
      </w:r>
      <w:r w:rsidRPr="000B308F">
        <w:rPr>
          <w:rFonts w:cs="Arial"/>
        </w:rPr>
        <w:t xml:space="preserve"> Tribunals Bill for Wales to establish the unified system. It may be that work can be accommodated within existing capacity</w:t>
      </w:r>
      <w:r w:rsidR="0008360B">
        <w:rPr>
          <w:rFonts w:cs="Arial"/>
        </w:rPr>
        <w:t>,</w:t>
      </w:r>
      <w:r w:rsidRPr="000B308F">
        <w:rPr>
          <w:rFonts w:cs="Arial"/>
        </w:rPr>
        <w:t xml:space="preserve"> but there will be an opportunity cost through the unavailability to carry out other legislative tasks.</w:t>
      </w:r>
      <w:r w:rsidR="00FD6984">
        <w:rPr>
          <w:rFonts w:cs="Arial"/>
        </w:rPr>
        <w:t xml:space="preserve"> Initial thinking is that a conservative estimate of </w:t>
      </w:r>
      <w:r w:rsidR="00FD6984">
        <w:t>6 months to draft an English text of the Bill is a reasonable estimate, given that it looks likely that much of the Bill will follow the model of Part 1 of the Tribunals, Courts and Enforcement Act 2007</w:t>
      </w:r>
      <w:r w:rsidR="00BA5F1B">
        <w:t>.</w:t>
      </w:r>
    </w:p>
    <w:p w14:paraId="2CF0BF79" w14:textId="3C0B17C6" w:rsidR="008A48D2" w:rsidRDefault="00944074" w:rsidP="00BA5F1B">
      <w:pPr>
        <w:spacing w:after="240"/>
        <w:ind w:left="720"/>
        <w:rPr>
          <w:rFonts w:cs="Arial"/>
        </w:rPr>
      </w:pPr>
      <w:bookmarkStart w:id="47" w:name="_Hlk62054125"/>
      <w:r w:rsidRPr="00323A42">
        <w:rPr>
          <w:rFonts w:cs="Arial"/>
        </w:rPr>
        <w:t xml:space="preserve">There are considerable </w:t>
      </w:r>
      <w:r w:rsidR="009F6173">
        <w:rPr>
          <w:rFonts w:cs="Arial"/>
        </w:rPr>
        <w:t xml:space="preserve">drafting </w:t>
      </w:r>
      <w:r w:rsidRPr="00323A42">
        <w:rPr>
          <w:rFonts w:cs="Arial"/>
        </w:rPr>
        <w:t xml:space="preserve">pressures </w:t>
      </w:r>
      <w:r w:rsidR="009F6173">
        <w:rPr>
          <w:rFonts w:cs="Arial"/>
        </w:rPr>
        <w:t>on the Office of Legislative Coun</w:t>
      </w:r>
      <w:r w:rsidR="000C7BFA">
        <w:rPr>
          <w:rFonts w:cs="Arial"/>
        </w:rPr>
        <w:t>se</w:t>
      </w:r>
      <w:r w:rsidR="009F6173">
        <w:rPr>
          <w:rFonts w:cs="Arial"/>
        </w:rPr>
        <w:t xml:space="preserve">l </w:t>
      </w:r>
      <w:r w:rsidRPr="00323A42">
        <w:rPr>
          <w:rFonts w:cs="Arial"/>
        </w:rPr>
        <w:t>due to Covid</w:t>
      </w:r>
      <w:r w:rsidR="00BA5F1B">
        <w:rPr>
          <w:rFonts w:cs="Arial"/>
        </w:rPr>
        <w:t>-19</w:t>
      </w:r>
      <w:r w:rsidRPr="00323A42">
        <w:rPr>
          <w:rFonts w:cs="Arial"/>
        </w:rPr>
        <w:t xml:space="preserve"> and Brexit.  </w:t>
      </w:r>
      <w:r w:rsidR="009F6173">
        <w:rPr>
          <w:rFonts w:cs="Arial"/>
        </w:rPr>
        <w:t>T</w:t>
      </w:r>
      <w:r w:rsidR="00D84DDF">
        <w:rPr>
          <w:rFonts w:cs="Arial"/>
        </w:rPr>
        <w:t xml:space="preserve">ime must be made available for the Bill to be drafted in both English and Welsh, and for the versions to be </w:t>
      </w:r>
      <w:r w:rsidRPr="00F9788B">
        <w:rPr>
          <w:rFonts w:cs="Arial"/>
        </w:rPr>
        <w:t xml:space="preserve">checked for equivalence.  The </w:t>
      </w:r>
      <w:r w:rsidR="00FD6984">
        <w:rPr>
          <w:rFonts w:cs="Arial"/>
        </w:rPr>
        <w:t xml:space="preserve">extent to which </w:t>
      </w:r>
      <w:r w:rsidR="009F6173">
        <w:rPr>
          <w:rFonts w:cs="Arial"/>
        </w:rPr>
        <w:t>OLC</w:t>
      </w:r>
      <w:r w:rsidR="00FD6984">
        <w:rPr>
          <w:rFonts w:cs="Arial"/>
        </w:rPr>
        <w:t xml:space="preserve"> has sufficient capacity will impact on costs as stretched resources may not accommodate further demands and additional resources will be required depending on priorities.</w:t>
      </w:r>
    </w:p>
    <w:bookmarkEnd w:id="47"/>
    <w:p w14:paraId="2AEE5DE6" w14:textId="77777777" w:rsidR="006977F9" w:rsidRPr="000B308F" w:rsidRDefault="00C574AA" w:rsidP="006977F9">
      <w:pPr>
        <w:spacing w:after="120"/>
        <w:ind w:left="720"/>
        <w:rPr>
          <w:rFonts w:cs="Arial"/>
          <w:bCs/>
          <w:color w:val="000000"/>
          <w:lang w:eastAsia="en-GB"/>
        </w:rPr>
      </w:pPr>
      <w:r w:rsidRPr="000B308F">
        <w:rPr>
          <w:rFonts w:cs="Arial"/>
          <w:bCs/>
          <w:color w:val="000000"/>
          <w:lang w:eastAsia="en-GB"/>
        </w:rPr>
        <w:t>4</w:t>
      </w:r>
      <w:r w:rsidR="00AA6A31" w:rsidRPr="000B308F">
        <w:rPr>
          <w:rFonts w:cs="Arial"/>
          <w:bCs/>
          <w:color w:val="000000"/>
          <w:lang w:eastAsia="en-GB"/>
        </w:rPr>
        <w:t xml:space="preserve">. </w:t>
      </w:r>
      <w:r w:rsidR="006977F9" w:rsidRPr="000B308F">
        <w:rPr>
          <w:rFonts w:cs="Arial"/>
          <w:bCs/>
          <w:color w:val="000000"/>
          <w:u w:val="single"/>
          <w:lang w:eastAsia="en-GB"/>
        </w:rPr>
        <w:t>Establishment of new body</w:t>
      </w:r>
      <w:r w:rsidR="006977F9" w:rsidRPr="000B308F">
        <w:rPr>
          <w:rFonts w:cs="Arial"/>
          <w:bCs/>
          <w:color w:val="000000"/>
          <w:lang w:eastAsia="en-GB"/>
        </w:rPr>
        <w:t xml:space="preserve"> </w:t>
      </w:r>
    </w:p>
    <w:p w14:paraId="15950B56" w14:textId="7FB4E96C" w:rsidR="007B7EE4" w:rsidRDefault="00C574AA" w:rsidP="006977F9">
      <w:pPr>
        <w:spacing w:after="120"/>
        <w:ind w:left="720"/>
        <w:rPr>
          <w:rFonts w:cs="Arial"/>
          <w:bCs/>
          <w:color w:val="000000"/>
          <w:lang w:eastAsia="en-GB"/>
        </w:rPr>
      </w:pPr>
      <w:r w:rsidRPr="000B308F">
        <w:rPr>
          <w:rFonts w:cs="Arial"/>
          <w:bCs/>
          <w:color w:val="000000"/>
          <w:lang w:eastAsia="en-GB"/>
        </w:rPr>
        <w:t>The WTU do</w:t>
      </w:r>
      <w:r w:rsidR="00966C17">
        <w:rPr>
          <w:rFonts w:cs="Arial"/>
          <w:bCs/>
          <w:color w:val="000000"/>
          <w:lang w:eastAsia="en-GB"/>
        </w:rPr>
        <w:t>es</w:t>
      </w:r>
      <w:r w:rsidRPr="000B308F">
        <w:rPr>
          <w:rFonts w:cs="Arial"/>
          <w:bCs/>
          <w:color w:val="000000"/>
          <w:lang w:eastAsia="en-GB"/>
        </w:rPr>
        <w:t xml:space="preserve"> not currently have a single dedicated building but operate</w:t>
      </w:r>
      <w:r w:rsidR="00AC1231">
        <w:rPr>
          <w:rFonts w:cs="Arial"/>
          <w:bCs/>
          <w:color w:val="000000"/>
          <w:lang w:eastAsia="en-GB"/>
        </w:rPr>
        <w:t>s</w:t>
      </w:r>
      <w:r w:rsidRPr="000B308F">
        <w:rPr>
          <w:rFonts w:cs="Arial"/>
          <w:bCs/>
          <w:color w:val="000000"/>
          <w:lang w:eastAsia="en-GB"/>
        </w:rPr>
        <w:t xml:space="preserve"> across </w:t>
      </w:r>
      <w:r w:rsidR="00AF45CD">
        <w:rPr>
          <w:rFonts w:cs="Arial"/>
          <w:bCs/>
          <w:color w:val="000000"/>
          <w:lang w:eastAsia="en-GB"/>
        </w:rPr>
        <w:t xml:space="preserve">four </w:t>
      </w:r>
      <w:r w:rsidRPr="000B308F">
        <w:rPr>
          <w:rFonts w:cs="Arial"/>
          <w:bCs/>
          <w:color w:val="000000"/>
          <w:lang w:eastAsia="en-GB"/>
        </w:rPr>
        <w:t>separate units housed within government buildings.</w:t>
      </w:r>
      <w:r w:rsidR="00AF45CD">
        <w:rPr>
          <w:rStyle w:val="FootnoteReference"/>
          <w:bCs/>
          <w:color w:val="000000"/>
          <w:lang w:eastAsia="en-GB"/>
        </w:rPr>
        <w:footnoteReference w:id="25"/>
      </w:r>
      <w:r w:rsidRPr="000B308F">
        <w:rPr>
          <w:rFonts w:cs="Arial"/>
          <w:bCs/>
          <w:color w:val="000000"/>
          <w:lang w:eastAsia="en-GB"/>
        </w:rPr>
        <w:t xml:space="preserve"> Many of the appeals will </w:t>
      </w:r>
      <w:r w:rsidR="00AF45CD">
        <w:rPr>
          <w:rFonts w:cs="Arial"/>
          <w:bCs/>
          <w:color w:val="000000"/>
          <w:lang w:eastAsia="en-GB"/>
        </w:rPr>
        <w:t xml:space="preserve">involve policy set by government departments, which creates a risk of blurring boundaries between the setting </w:t>
      </w:r>
      <w:r w:rsidR="00F9634D">
        <w:rPr>
          <w:rFonts w:cs="Arial"/>
          <w:bCs/>
          <w:color w:val="000000"/>
          <w:lang w:eastAsia="en-GB"/>
        </w:rPr>
        <w:t>of policy and its implementation</w:t>
      </w:r>
      <w:r w:rsidRPr="000B308F">
        <w:rPr>
          <w:rFonts w:cs="Arial"/>
          <w:bCs/>
          <w:color w:val="000000"/>
          <w:lang w:eastAsia="en-GB"/>
        </w:rPr>
        <w:t xml:space="preserve">. A separate building </w:t>
      </w:r>
      <w:r w:rsidR="00AF45CD">
        <w:rPr>
          <w:rFonts w:cs="Arial"/>
          <w:bCs/>
          <w:color w:val="000000"/>
          <w:lang w:eastAsia="en-GB"/>
        </w:rPr>
        <w:t>c</w:t>
      </w:r>
      <w:r w:rsidRPr="000B308F">
        <w:rPr>
          <w:rFonts w:cs="Arial"/>
          <w:bCs/>
          <w:color w:val="000000"/>
          <w:lang w:eastAsia="en-GB"/>
        </w:rPr>
        <w:t xml:space="preserve">ould reduce this risk. It may be that consolidation of units into a single building would be within the allocated budget but there will be regular maintenance which will now fall on the newly created </w:t>
      </w:r>
      <w:r w:rsidR="008E0905">
        <w:rPr>
          <w:rFonts w:cs="Arial"/>
          <w:bCs/>
          <w:color w:val="000000"/>
          <w:lang w:eastAsia="en-GB"/>
        </w:rPr>
        <w:t>non-ministerial department</w:t>
      </w:r>
      <w:r w:rsidRPr="000B308F">
        <w:rPr>
          <w:rFonts w:cs="Arial"/>
          <w:bCs/>
          <w:color w:val="000000"/>
          <w:lang w:eastAsia="en-GB"/>
        </w:rPr>
        <w:t>.</w:t>
      </w:r>
      <w:r w:rsidR="007B7EE4">
        <w:rPr>
          <w:rFonts w:cs="Arial"/>
          <w:bCs/>
          <w:color w:val="000000"/>
          <w:lang w:eastAsia="en-GB"/>
        </w:rPr>
        <w:t xml:space="preserve"> </w:t>
      </w:r>
    </w:p>
    <w:p w14:paraId="7174B326" w14:textId="4739F2D3" w:rsidR="006977F9" w:rsidRDefault="007B7EE4" w:rsidP="006977F9">
      <w:pPr>
        <w:spacing w:after="120"/>
        <w:ind w:left="720"/>
        <w:rPr>
          <w:rFonts w:cs="Arial"/>
          <w:bCs/>
          <w:color w:val="000000"/>
          <w:lang w:eastAsia="en-GB"/>
        </w:rPr>
      </w:pPr>
      <w:r>
        <w:rPr>
          <w:rFonts w:cs="Arial"/>
          <w:bCs/>
          <w:color w:val="000000"/>
          <w:lang w:eastAsia="en-GB"/>
        </w:rPr>
        <w:t>However, a single building may not be desirable or practical as many hearings take place in the community setting. For example</w:t>
      </w:r>
      <w:r w:rsidR="00D84DDF">
        <w:rPr>
          <w:rFonts w:cs="Arial"/>
          <w:bCs/>
          <w:color w:val="000000"/>
          <w:lang w:eastAsia="en-GB"/>
        </w:rPr>
        <w:t xml:space="preserve">, </w:t>
      </w:r>
      <w:r>
        <w:rPr>
          <w:rFonts w:cs="Arial"/>
          <w:bCs/>
          <w:color w:val="000000"/>
          <w:lang w:eastAsia="en-GB"/>
        </w:rPr>
        <w:t xml:space="preserve">mental health hearings </w:t>
      </w:r>
      <w:r w:rsidR="008E0905">
        <w:rPr>
          <w:rFonts w:cs="Arial"/>
          <w:bCs/>
          <w:color w:val="000000"/>
          <w:lang w:eastAsia="en-GB"/>
        </w:rPr>
        <w:t xml:space="preserve">relating to detained patients </w:t>
      </w:r>
      <w:r>
        <w:rPr>
          <w:rFonts w:cs="Arial"/>
          <w:bCs/>
          <w:color w:val="000000"/>
          <w:lang w:eastAsia="en-GB"/>
        </w:rPr>
        <w:t>occur within hospital</w:t>
      </w:r>
      <w:r w:rsidR="00D84DDF">
        <w:rPr>
          <w:rFonts w:cs="Arial"/>
          <w:bCs/>
          <w:color w:val="000000"/>
          <w:lang w:eastAsia="en-GB"/>
        </w:rPr>
        <w:t>s,</w:t>
      </w:r>
      <w:r>
        <w:rPr>
          <w:rFonts w:cs="Arial"/>
          <w:bCs/>
          <w:color w:val="000000"/>
          <w:lang w:eastAsia="en-GB"/>
        </w:rPr>
        <w:t xml:space="preserve"> and many other tribunals </w:t>
      </w:r>
      <w:r w:rsidR="00BC1F00">
        <w:rPr>
          <w:rFonts w:cs="Arial"/>
          <w:bCs/>
          <w:color w:val="000000"/>
          <w:lang w:eastAsia="en-GB"/>
        </w:rPr>
        <w:t xml:space="preserve">hold </w:t>
      </w:r>
      <w:r>
        <w:rPr>
          <w:rFonts w:cs="Arial"/>
          <w:bCs/>
          <w:color w:val="000000"/>
          <w:lang w:eastAsia="en-GB"/>
        </w:rPr>
        <w:t>hearings throughout Wales.</w:t>
      </w:r>
    </w:p>
    <w:p w14:paraId="2509AED2" w14:textId="7C8638E3" w:rsidR="00BA5F1B" w:rsidRDefault="002052AB" w:rsidP="00BA5F1B">
      <w:pPr>
        <w:spacing w:after="240"/>
        <w:ind w:left="720"/>
        <w:rPr>
          <w:rFonts w:cs="Arial"/>
          <w:bCs/>
          <w:color w:val="000000"/>
          <w:lang w:eastAsia="en-GB"/>
        </w:rPr>
      </w:pPr>
      <w:r>
        <w:rPr>
          <w:rFonts w:cs="Arial"/>
          <w:bCs/>
          <w:color w:val="000000"/>
          <w:lang w:eastAsia="en-GB"/>
        </w:rPr>
        <w:t xml:space="preserve">The WRA cost an estimated £6.3 million over two years to set up. </w:t>
      </w:r>
      <w:r w:rsidR="00AF45CD">
        <w:rPr>
          <w:rFonts w:cs="Arial"/>
          <w:bCs/>
          <w:color w:val="000000"/>
          <w:lang w:eastAsia="en-GB"/>
        </w:rPr>
        <w:t>The original estimate suggested that £2.97m would be paid directly to HMRC, for both staff costs and non-staff costs (including ICT development and project implementation), £18,000 to National Resources Wales for the same type of support, £2m on Welsh Government staff, and £1.2m on Welsh Government non-staff costs (including setting up the board, and providing for audit and IT support services, as well as accommodation).</w:t>
      </w:r>
      <w:r w:rsidR="00AF45CD">
        <w:rPr>
          <w:rStyle w:val="FootnoteReference"/>
          <w:bCs/>
          <w:color w:val="000000"/>
          <w:lang w:eastAsia="en-GB"/>
        </w:rPr>
        <w:footnoteReference w:id="26"/>
      </w:r>
      <w:r w:rsidR="00AF45CD">
        <w:rPr>
          <w:rFonts w:cs="Arial"/>
          <w:bCs/>
          <w:color w:val="000000"/>
          <w:lang w:eastAsia="en-GB"/>
        </w:rPr>
        <w:t xml:space="preserve"> </w:t>
      </w:r>
      <w:r>
        <w:rPr>
          <w:rFonts w:cs="Arial"/>
          <w:bCs/>
          <w:color w:val="000000"/>
          <w:lang w:eastAsia="en-GB"/>
        </w:rPr>
        <w:t xml:space="preserve">It is not anticipated </w:t>
      </w:r>
      <w:r w:rsidR="00E76FA4">
        <w:rPr>
          <w:rFonts w:cs="Arial"/>
          <w:bCs/>
          <w:color w:val="000000"/>
          <w:lang w:eastAsia="en-GB"/>
        </w:rPr>
        <w:t>the establishment of a Tribunals Service for Wales as a non-ministerial department</w:t>
      </w:r>
      <w:r w:rsidR="0097144F">
        <w:rPr>
          <w:rFonts w:cs="Arial"/>
          <w:bCs/>
          <w:color w:val="000000"/>
          <w:lang w:eastAsia="en-GB"/>
        </w:rPr>
        <w:t xml:space="preserve"> will cost as much</w:t>
      </w:r>
      <w:r>
        <w:rPr>
          <w:rFonts w:cs="Arial"/>
          <w:bCs/>
          <w:color w:val="000000"/>
          <w:lang w:eastAsia="en-GB"/>
        </w:rPr>
        <w:t xml:space="preserve">. </w:t>
      </w:r>
      <w:r w:rsidR="00E76FA4">
        <w:rPr>
          <w:rFonts w:cs="Arial"/>
          <w:bCs/>
          <w:color w:val="000000"/>
          <w:lang w:eastAsia="en-GB"/>
        </w:rPr>
        <w:t>Staffing costs are likely to be similar (the original estimate for the WRA was between 25 and 32 staff; the WTU currently employs 3</w:t>
      </w:r>
      <w:r w:rsidR="0097144F">
        <w:rPr>
          <w:rFonts w:cs="Arial"/>
          <w:bCs/>
          <w:color w:val="000000"/>
          <w:lang w:eastAsia="en-GB"/>
        </w:rPr>
        <w:t>1.4</w:t>
      </w:r>
      <w:r w:rsidR="00E76FA4">
        <w:rPr>
          <w:rFonts w:cs="Arial"/>
          <w:bCs/>
          <w:color w:val="000000"/>
          <w:lang w:eastAsia="en-GB"/>
        </w:rPr>
        <w:t xml:space="preserve"> full-time employees, and the </w:t>
      </w:r>
      <w:r w:rsidR="00E76FA4" w:rsidRPr="009A73E9">
        <w:rPr>
          <w:rFonts w:cs="Arial"/>
          <w:color w:val="000000"/>
          <w:lang w:eastAsia="en-GB"/>
        </w:rPr>
        <w:t>VTW 14.6</w:t>
      </w:r>
      <w:r w:rsidR="00E76FA4">
        <w:rPr>
          <w:rFonts w:cs="Arial"/>
          <w:bCs/>
          <w:color w:val="000000"/>
          <w:lang w:eastAsia="en-GB"/>
        </w:rPr>
        <w:t>.</w:t>
      </w:r>
      <w:r w:rsidR="0097144F">
        <w:rPr>
          <w:rStyle w:val="FootnoteReference"/>
          <w:bCs/>
          <w:color w:val="000000"/>
          <w:lang w:eastAsia="en-GB"/>
        </w:rPr>
        <w:footnoteReference w:id="27"/>
      </w:r>
      <w:r w:rsidR="00E76FA4">
        <w:rPr>
          <w:rFonts w:cs="Arial"/>
          <w:bCs/>
          <w:color w:val="000000"/>
          <w:lang w:eastAsia="en-GB"/>
        </w:rPr>
        <w:t xml:space="preserve"> S</w:t>
      </w:r>
      <w:r w:rsidR="00AF45CD">
        <w:rPr>
          <w:rFonts w:cs="Arial"/>
          <w:bCs/>
          <w:color w:val="000000"/>
          <w:lang w:eastAsia="en-GB"/>
        </w:rPr>
        <w:t>imilar costs may be incurred setting up a board and for audit services</w:t>
      </w:r>
      <w:r w:rsidR="00E76FA4">
        <w:rPr>
          <w:rFonts w:cs="Arial"/>
          <w:bCs/>
          <w:color w:val="000000"/>
          <w:lang w:eastAsia="en-GB"/>
        </w:rPr>
        <w:t xml:space="preserve">. It is not however </w:t>
      </w:r>
      <w:r w:rsidR="00AF45CD">
        <w:rPr>
          <w:rFonts w:cs="Arial"/>
          <w:bCs/>
          <w:color w:val="000000"/>
          <w:lang w:eastAsia="en-GB"/>
        </w:rPr>
        <w:t xml:space="preserve">anticipated that the WTU will have to </w:t>
      </w:r>
      <w:r w:rsidR="00E76FA4">
        <w:rPr>
          <w:rFonts w:cs="Arial"/>
          <w:bCs/>
          <w:color w:val="000000"/>
          <w:lang w:eastAsia="en-GB"/>
        </w:rPr>
        <w:t>pay for the staff of other agencies</w:t>
      </w:r>
      <w:r w:rsidR="00AF45CD">
        <w:rPr>
          <w:rFonts w:cs="Arial"/>
          <w:bCs/>
          <w:color w:val="000000"/>
          <w:lang w:eastAsia="en-GB"/>
        </w:rPr>
        <w:t>, in the way that the WRA has. The WTU also has the benefit of already having functioning IT systems.</w:t>
      </w:r>
      <w:r w:rsidR="0034345A">
        <w:rPr>
          <w:rFonts w:cs="Arial"/>
          <w:bCs/>
          <w:color w:val="000000"/>
          <w:lang w:eastAsia="en-GB"/>
        </w:rPr>
        <w:t xml:space="preserve"> </w:t>
      </w:r>
      <w:r w:rsidR="00AF45CD">
        <w:rPr>
          <w:rFonts w:cs="Arial"/>
          <w:bCs/>
          <w:color w:val="000000"/>
          <w:lang w:eastAsia="en-GB"/>
        </w:rPr>
        <w:t xml:space="preserve">In addition to the new structure, the volume of a reformed WTU’s work will also increase as it takes on the administration of the </w:t>
      </w:r>
      <w:r w:rsidR="00C25BE0">
        <w:rPr>
          <w:rFonts w:cs="Arial"/>
          <w:bCs/>
          <w:color w:val="000000"/>
          <w:lang w:eastAsia="en-GB"/>
        </w:rPr>
        <w:t>Valuation Tribunal for Wales</w:t>
      </w:r>
      <w:r w:rsidR="00D84DDF">
        <w:rPr>
          <w:rFonts w:cs="Arial"/>
          <w:bCs/>
          <w:color w:val="000000"/>
          <w:lang w:eastAsia="en-GB"/>
        </w:rPr>
        <w:t xml:space="preserve">, </w:t>
      </w:r>
      <w:r w:rsidR="000642CA">
        <w:rPr>
          <w:rFonts w:cs="Arial"/>
          <w:bCs/>
          <w:color w:val="000000"/>
          <w:lang w:eastAsia="en-GB"/>
        </w:rPr>
        <w:t>discussed below</w:t>
      </w:r>
      <w:r>
        <w:rPr>
          <w:rFonts w:cs="Arial"/>
          <w:bCs/>
          <w:color w:val="000000"/>
          <w:lang w:eastAsia="en-GB"/>
        </w:rPr>
        <w:t>.</w:t>
      </w:r>
    </w:p>
    <w:p w14:paraId="15D3CD18" w14:textId="77777777" w:rsidR="006977F9" w:rsidRPr="000B308F" w:rsidRDefault="006977F9" w:rsidP="00BA5F1B">
      <w:pPr>
        <w:spacing w:after="240"/>
        <w:ind w:left="720"/>
        <w:rPr>
          <w:rFonts w:cs="Arial"/>
          <w:bCs/>
          <w:i/>
          <w:color w:val="000000"/>
          <w:sz w:val="28"/>
          <w:szCs w:val="28"/>
          <w:lang w:eastAsia="en-GB"/>
        </w:rPr>
      </w:pPr>
      <w:r w:rsidRPr="000B308F">
        <w:rPr>
          <w:rFonts w:cs="Arial"/>
          <w:bCs/>
          <w:i/>
          <w:color w:val="000000"/>
          <w:sz w:val="28"/>
          <w:szCs w:val="28"/>
          <w:lang w:eastAsia="en-GB"/>
        </w:rPr>
        <w:t>On-going costs</w:t>
      </w:r>
    </w:p>
    <w:p w14:paraId="796FD3BA" w14:textId="77777777" w:rsidR="0005305F" w:rsidRDefault="00C574AA" w:rsidP="000B308F">
      <w:pPr>
        <w:spacing w:after="240"/>
        <w:ind w:left="720"/>
        <w:rPr>
          <w:rFonts w:cs="Arial"/>
          <w:bCs/>
          <w:color w:val="000000"/>
          <w:lang w:eastAsia="en-GB"/>
        </w:rPr>
      </w:pPr>
      <w:r w:rsidRPr="000B308F">
        <w:rPr>
          <w:rFonts w:cs="Arial"/>
          <w:bCs/>
          <w:color w:val="000000"/>
          <w:lang w:eastAsia="en-GB"/>
        </w:rPr>
        <w:t xml:space="preserve">5. </w:t>
      </w:r>
      <w:r w:rsidR="0005305F">
        <w:rPr>
          <w:rFonts w:cs="Arial"/>
          <w:bCs/>
          <w:color w:val="000000"/>
          <w:lang w:eastAsia="en-GB"/>
        </w:rPr>
        <w:t>New Appeal Tribunal route</w:t>
      </w:r>
    </w:p>
    <w:p w14:paraId="521A87BF" w14:textId="57AA7D26" w:rsidR="00D95611" w:rsidRDefault="00D95611" w:rsidP="00D95611">
      <w:pPr>
        <w:ind w:left="720"/>
      </w:pPr>
      <w:r>
        <w:t xml:space="preserve">Consultation responses identified the preference for a new Appeal Tribunal for Wales </w:t>
      </w:r>
      <w:r w:rsidR="00B6063F">
        <w:t xml:space="preserve">following the </w:t>
      </w:r>
      <w:r w:rsidR="00A421D4">
        <w:t>model o</w:t>
      </w:r>
      <w:r w:rsidR="00B6063F">
        <w:t>f</w:t>
      </w:r>
      <w:r w:rsidR="00A421D4">
        <w:t xml:space="preserve"> </w:t>
      </w:r>
      <w:r>
        <w:t>the reserved tribunals under the Tribunals Courts and Enforcement Act 2007, and the Scottish Upper Tribunal. The low number of appeals</w:t>
      </w:r>
      <w:r>
        <w:rPr>
          <w:rStyle w:val="FootnoteReference"/>
        </w:rPr>
        <w:footnoteReference w:id="28"/>
      </w:r>
      <w:r>
        <w:t xml:space="preserve"> suggests the best approach would be to cross-ticket in judges</w:t>
      </w:r>
      <w:r w:rsidR="00C955D9">
        <w:t xml:space="preserve"> (</w:t>
      </w:r>
      <w:proofErr w:type="spellStart"/>
      <w:r w:rsidR="00C955D9">
        <w:t>ie</w:t>
      </w:r>
      <w:proofErr w:type="spellEnd"/>
      <w:r w:rsidR="00C955D9">
        <w:t xml:space="preserve"> deploy judges from another tribunal; in this case, most likely the Upper Tribunal)</w:t>
      </w:r>
      <w:r>
        <w:t xml:space="preserve">. See table </w:t>
      </w:r>
      <w:r w:rsidR="0045151F">
        <w:t>6</w:t>
      </w:r>
      <w:r>
        <w:t xml:space="preserve"> below</w:t>
      </w:r>
    </w:p>
    <w:p w14:paraId="6775ECE9" w14:textId="77777777" w:rsidR="00D95611" w:rsidRDefault="00D95611" w:rsidP="00D95611">
      <w:pPr>
        <w:ind w:left="720"/>
      </w:pPr>
    </w:p>
    <w:p w14:paraId="320EA01B" w14:textId="2A654710" w:rsidR="00D95611" w:rsidRDefault="00D95611" w:rsidP="00D8157F">
      <w:pPr>
        <w:keepNext/>
        <w:ind w:left="720"/>
      </w:pPr>
      <w:r>
        <w:t xml:space="preserve">Table </w:t>
      </w:r>
      <w:r w:rsidR="0045151F">
        <w:t>6</w:t>
      </w:r>
      <w:r>
        <w:t>: New Appeal Tribunal</w:t>
      </w:r>
    </w:p>
    <w:p w14:paraId="7620F024" w14:textId="77777777" w:rsidR="00D95611" w:rsidRDefault="00D95611" w:rsidP="00D95611">
      <w:pPr>
        <w:ind w:left="720"/>
      </w:pPr>
    </w:p>
    <w:tbl>
      <w:tblPr>
        <w:tblStyle w:val="TableGrid"/>
        <w:tblW w:w="0" w:type="auto"/>
        <w:tblInd w:w="720" w:type="dxa"/>
        <w:tblLook w:val="04A0" w:firstRow="1" w:lastRow="0" w:firstColumn="1" w:lastColumn="0" w:noHBand="0" w:noVBand="1"/>
      </w:tblPr>
      <w:tblGrid>
        <w:gridCol w:w="2586"/>
        <w:gridCol w:w="2174"/>
        <w:gridCol w:w="2296"/>
        <w:gridCol w:w="2419"/>
      </w:tblGrid>
      <w:tr w:rsidR="00D95611" w14:paraId="4F8F65BD" w14:textId="77777777" w:rsidTr="00D8157F">
        <w:trPr>
          <w:trHeight w:val="642"/>
        </w:trPr>
        <w:tc>
          <w:tcPr>
            <w:tcW w:w="2586" w:type="dxa"/>
            <w:shd w:val="clear" w:color="auto" w:fill="BFBFBF" w:themeFill="background1" w:themeFillShade="BF"/>
          </w:tcPr>
          <w:p w14:paraId="68A98817" w14:textId="77777777" w:rsidR="00D95611" w:rsidRPr="0097144F" w:rsidRDefault="00D95611" w:rsidP="00D95611">
            <w:pPr>
              <w:rPr>
                <w:rFonts w:cs="Arial"/>
                <w:sz w:val="22"/>
                <w:szCs w:val="22"/>
              </w:rPr>
            </w:pPr>
            <w:bookmarkStart w:id="48" w:name="_Hlk84490927"/>
          </w:p>
        </w:tc>
        <w:tc>
          <w:tcPr>
            <w:tcW w:w="2174" w:type="dxa"/>
            <w:shd w:val="clear" w:color="auto" w:fill="BFBFBF" w:themeFill="background1" w:themeFillShade="BF"/>
          </w:tcPr>
          <w:p w14:paraId="4AD6D3AA" w14:textId="77777777" w:rsidR="00D95611" w:rsidRPr="0097144F" w:rsidRDefault="00D95611" w:rsidP="00D95611">
            <w:pPr>
              <w:rPr>
                <w:rFonts w:cs="Arial"/>
                <w:sz w:val="22"/>
                <w:szCs w:val="22"/>
              </w:rPr>
            </w:pPr>
            <w:r w:rsidRPr="0097144F">
              <w:rPr>
                <w:rFonts w:cs="Arial"/>
                <w:sz w:val="22"/>
                <w:szCs w:val="22"/>
              </w:rPr>
              <w:t>Low estimate</w:t>
            </w:r>
          </w:p>
        </w:tc>
        <w:tc>
          <w:tcPr>
            <w:tcW w:w="2296" w:type="dxa"/>
            <w:shd w:val="clear" w:color="auto" w:fill="BFBFBF" w:themeFill="background1" w:themeFillShade="BF"/>
          </w:tcPr>
          <w:p w14:paraId="2E82FD85" w14:textId="77777777" w:rsidR="00D95611" w:rsidRPr="0097144F" w:rsidRDefault="00D95611" w:rsidP="00D95611">
            <w:pPr>
              <w:rPr>
                <w:rFonts w:cs="Arial"/>
                <w:sz w:val="22"/>
                <w:szCs w:val="22"/>
              </w:rPr>
            </w:pPr>
            <w:r w:rsidRPr="0097144F">
              <w:rPr>
                <w:rFonts w:cs="Arial"/>
                <w:sz w:val="22"/>
                <w:szCs w:val="22"/>
              </w:rPr>
              <w:t>Central Estimate</w:t>
            </w:r>
          </w:p>
        </w:tc>
        <w:tc>
          <w:tcPr>
            <w:tcW w:w="2419" w:type="dxa"/>
            <w:shd w:val="clear" w:color="auto" w:fill="BFBFBF" w:themeFill="background1" w:themeFillShade="BF"/>
          </w:tcPr>
          <w:p w14:paraId="7244AC35" w14:textId="77777777" w:rsidR="00D95611" w:rsidRPr="0097144F" w:rsidRDefault="00D95611" w:rsidP="00D95611">
            <w:pPr>
              <w:rPr>
                <w:rFonts w:cs="Arial"/>
                <w:sz w:val="22"/>
                <w:szCs w:val="22"/>
              </w:rPr>
            </w:pPr>
            <w:r w:rsidRPr="0097144F">
              <w:rPr>
                <w:rFonts w:cs="Arial"/>
                <w:sz w:val="22"/>
                <w:szCs w:val="22"/>
              </w:rPr>
              <w:t>High estimate</w:t>
            </w:r>
          </w:p>
        </w:tc>
      </w:tr>
      <w:tr w:rsidR="00D95611" w14:paraId="0E3378D7" w14:textId="77777777" w:rsidTr="00D8157F">
        <w:trPr>
          <w:trHeight w:val="493"/>
        </w:trPr>
        <w:tc>
          <w:tcPr>
            <w:tcW w:w="2586" w:type="dxa"/>
          </w:tcPr>
          <w:p w14:paraId="21897584" w14:textId="77777777" w:rsidR="006B1E8A" w:rsidRDefault="006B1E8A" w:rsidP="00D95611">
            <w:pPr>
              <w:rPr>
                <w:rFonts w:cs="Arial"/>
                <w:sz w:val="22"/>
                <w:szCs w:val="22"/>
              </w:rPr>
            </w:pPr>
          </w:p>
          <w:p w14:paraId="4B3EE07F" w14:textId="130E2AB7" w:rsidR="00D95611" w:rsidRPr="0097144F" w:rsidRDefault="00D95611" w:rsidP="00D95611">
            <w:pPr>
              <w:rPr>
                <w:rFonts w:cs="Arial"/>
                <w:sz w:val="22"/>
                <w:szCs w:val="22"/>
              </w:rPr>
            </w:pPr>
            <w:r w:rsidRPr="0097144F">
              <w:rPr>
                <w:rFonts w:cs="Arial"/>
                <w:sz w:val="22"/>
                <w:szCs w:val="22"/>
              </w:rPr>
              <w:t>Number of appeals</w:t>
            </w:r>
            <w:r w:rsidR="00F053A7" w:rsidRPr="0097144F">
              <w:rPr>
                <w:rStyle w:val="FootnoteReference"/>
                <w:rFonts w:cs="Arial"/>
                <w:szCs w:val="22"/>
              </w:rPr>
              <w:footnoteReference w:id="29"/>
            </w:r>
          </w:p>
        </w:tc>
        <w:tc>
          <w:tcPr>
            <w:tcW w:w="2174" w:type="dxa"/>
          </w:tcPr>
          <w:p w14:paraId="64994CB3" w14:textId="77777777" w:rsidR="006B1E8A" w:rsidRDefault="006B1E8A" w:rsidP="00402C3D">
            <w:pPr>
              <w:jc w:val="center"/>
              <w:rPr>
                <w:rFonts w:cs="Arial"/>
                <w:sz w:val="22"/>
                <w:szCs w:val="22"/>
              </w:rPr>
            </w:pPr>
          </w:p>
          <w:p w14:paraId="51388200" w14:textId="316E03EC" w:rsidR="00D95611" w:rsidRPr="0097144F" w:rsidRDefault="00D95611" w:rsidP="00402C3D">
            <w:pPr>
              <w:jc w:val="center"/>
              <w:rPr>
                <w:rFonts w:cs="Arial"/>
                <w:sz w:val="22"/>
                <w:szCs w:val="22"/>
              </w:rPr>
            </w:pPr>
            <w:r w:rsidRPr="0097144F">
              <w:rPr>
                <w:rFonts w:cs="Arial"/>
                <w:sz w:val="22"/>
                <w:szCs w:val="22"/>
              </w:rPr>
              <w:t>3</w:t>
            </w:r>
          </w:p>
        </w:tc>
        <w:tc>
          <w:tcPr>
            <w:tcW w:w="2296" w:type="dxa"/>
          </w:tcPr>
          <w:p w14:paraId="3B026E07" w14:textId="77777777" w:rsidR="006B1E8A" w:rsidRDefault="006B1E8A" w:rsidP="00402C3D">
            <w:pPr>
              <w:jc w:val="center"/>
              <w:rPr>
                <w:rFonts w:cs="Arial"/>
                <w:sz w:val="22"/>
                <w:szCs w:val="22"/>
              </w:rPr>
            </w:pPr>
          </w:p>
          <w:p w14:paraId="7FE01735" w14:textId="6820524E" w:rsidR="00D95611" w:rsidRPr="0097144F" w:rsidRDefault="00D95611" w:rsidP="00402C3D">
            <w:pPr>
              <w:jc w:val="center"/>
              <w:rPr>
                <w:rFonts w:cs="Arial"/>
                <w:sz w:val="22"/>
                <w:szCs w:val="22"/>
              </w:rPr>
            </w:pPr>
            <w:r w:rsidRPr="0097144F">
              <w:rPr>
                <w:rFonts w:cs="Arial"/>
                <w:sz w:val="22"/>
                <w:szCs w:val="22"/>
              </w:rPr>
              <w:t>5</w:t>
            </w:r>
          </w:p>
        </w:tc>
        <w:tc>
          <w:tcPr>
            <w:tcW w:w="2419" w:type="dxa"/>
          </w:tcPr>
          <w:p w14:paraId="2E45917C" w14:textId="77777777" w:rsidR="006B1E8A" w:rsidRDefault="006B1E8A" w:rsidP="00402C3D">
            <w:pPr>
              <w:jc w:val="center"/>
              <w:rPr>
                <w:rFonts w:cs="Arial"/>
                <w:sz w:val="22"/>
                <w:szCs w:val="22"/>
              </w:rPr>
            </w:pPr>
          </w:p>
          <w:p w14:paraId="52E74AF5" w14:textId="6743C766" w:rsidR="00D95611" w:rsidRPr="0097144F" w:rsidRDefault="00D95611" w:rsidP="00402C3D">
            <w:pPr>
              <w:jc w:val="center"/>
              <w:rPr>
                <w:rFonts w:cs="Arial"/>
                <w:sz w:val="22"/>
                <w:szCs w:val="22"/>
              </w:rPr>
            </w:pPr>
            <w:r w:rsidRPr="0097144F">
              <w:rPr>
                <w:rFonts w:cs="Arial"/>
                <w:sz w:val="22"/>
                <w:szCs w:val="22"/>
              </w:rPr>
              <w:t>7</w:t>
            </w:r>
          </w:p>
        </w:tc>
      </w:tr>
      <w:tr w:rsidR="00D95611" w14:paraId="5218CF7D" w14:textId="77777777" w:rsidTr="00D8157F">
        <w:tc>
          <w:tcPr>
            <w:tcW w:w="2586" w:type="dxa"/>
          </w:tcPr>
          <w:p w14:paraId="67AF8FCB" w14:textId="77777777" w:rsidR="00D95611" w:rsidRPr="0097144F" w:rsidRDefault="00D95611" w:rsidP="00D95611">
            <w:pPr>
              <w:rPr>
                <w:rFonts w:cs="Arial"/>
                <w:sz w:val="22"/>
                <w:szCs w:val="22"/>
              </w:rPr>
            </w:pPr>
            <w:r w:rsidRPr="0097144F">
              <w:rPr>
                <w:rFonts w:cs="Arial"/>
                <w:sz w:val="22"/>
                <w:szCs w:val="22"/>
              </w:rPr>
              <w:t>Number of application</w:t>
            </w:r>
            <w:r w:rsidR="008909EA" w:rsidRPr="0097144F">
              <w:rPr>
                <w:rFonts w:cs="Arial"/>
                <w:sz w:val="22"/>
                <w:szCs w:val="22"/>
              </w:rPr>
              <w:t>s refused</w:t>
            </w:r>
          </w:p>
        </w:tc>
        <w:tc>
          <w:tcPr>
            <w:tcW w:w="2174" w:type="dxa"/>
          </w:tcPr>
          <w:p w14:paraId="17C3F617" w14:textId="77777777" w:rsidR="006B1E8A" w:rsidRDefault="006B1E8A" w:rsidP="00402C3D">
            <w:pPr>
              <w:jc w:val="center"/>
              <w:rPr>
                <w:rFonts w:cs="Arial"/>
                <w:sz w:val="22"/>
                <w:szCs w:val="22"/>
              </w:rPr>
            </w:pPr>
          </w:p>
          <w:p w14:paraId="552C47B8" w14:textId="3E171D18" w:rsidR="00D95611" w:rsidRPr="0097144F" w:rsidRDefault="008909EA" w:rsidP="00402C3D">
            <w:pPr>
              <w:jc w:val="center"/>
              <w:rPr>
                <w:rFonts w:cs="Arial"/>
                <w:sz w:val="22"/>
                <w:szCs w:val="22"/>
              </w:rPr>
            </w:pPr>
            <w:r w:rsidRPr="0097144F">
              <w:rPr>
                <w:rFonts w:cs="Arial"/>
                <w:sz w:val="22"/>
                <w:szCs w:val="22"/>
              </w:rPr>
              <w:t>2</w:t>
            </w:r>
          </w:p>
        </w:tc>
        <w:tc>
          <w:tcPr>
            <w:tcW w:w="2296" w:type="dxa"/>
          </w:tcPr>
          <w:p w14:paraId="7FFB60BC" w14:textId="77777777" w:rsidR="006B1E8A" w:rsidRDefault="006B1E8A" w:rsidP="00402C3D">
            <w:pPr>
              <w:jc w:val="center"/>
              <w:rPr>
                <w:rFonts w:cs="Arial"/>
                <w:sz w:val="22"/>
                <w:szCs w:val="22"/>
              </w:rPr>
            </w:pPr>
          </w:p>
          <w:p w14:paraId="1EC84A0B" w14:textId="3DEB1E6F" w:rsidR="00D95611" w:rsidRPr="0097144F" w:rsidRDefault="008909EA" w:rsidP="00402C3D">
            <w:pPr>
              <w:jc w:val="center"/>
              <w:rPr>
                <w:rFonts w:cs="Arial"/>
                <w:sz w:val="22"/>
                <w:szCs w:val="22"/>
              </w:rPr>
            </w:pPr>
            <w:r w:rsidRPr="0097144F">
              <w:rPr>
                <w:rFonts w:cs="Arial"/>
                <w:sz w:val="22"/>
                <w:szCs w:val="22"/>
              </w:rPr>
              <w:t>2</w:t>
            </w:r>
          </w:p>
        </w:tc>
        <w:tc>
          <w:tcPr>
            <w:tcW w:w="2419" w:type="dxa"/>
          </w:tcPr>
          <w:p w14:paraId="49C9C601" w14:textId="77777777" w:rsidR="006B1E8A" w:rsidRDefault="006B1E8A" w:rsidP="00402C3D">
            <w:pPr>
              <w:jc w:val="center"/>
              <w:rPr>
                <w:rFonts w:cs="Arial"/>
                <w:sz w:val="22"/>
                <w:szCs w:val="22"/>
              </w:rPr>
            </w:pPr>
          </w:p>
          <w:p w14:paraId="04CD4691" w14:textId="69BB1962" w:rsidR="00D95611" w:rsidRPr="0097144F" w:rsidRDefault="008909EA" w:rsidP="00402C3D">
            <w:pPr>
              <w:jc w:val="center"/>
              <w:rPr>
                <w:rFonts w:cs="Arial"/>
                <w:sz w:val="22"/>
                <w:szCs w:val="22"/>
              </w:rPr>
            </w:pPr>
            <w:r w:rsidRPr="0097144F">
              <w:rPr>
                <w:rFonts w:cs="Arial"/>
                <w:sz w:val="22"/>
                <w:szCs w:val="22"/>
              </w:rPr>
              <w:t>2</w:t>
            </w:r>
          </w:p>
        </w:tc>
      </w:tr>
      <w:tr w:rsidR="002B560A" w14:paraId="6CA9ABAD" w14:textId="77777777" w:rsidTr="00D8157F">
        <w:trPr>
          <w:trHeight w:val="662"/>
        </w:trPr>
        <w:tc>
          <w:tcPr>
            <w:tcW w:w="2586" w:type="dxa"/>
          </w:tcPr>
          <w:p w14:paraId="7BA4C6DD" w14:textId="77777777" w:rsidR="006B1E8A" w:rsidRDefault="006B1E8A" w:rsidP="002B560A">
            <w:pPr>
              <w:rPr>
                <w:rFonts w:cs="Arial"/>
                <w:sz w:val="22"/>
                <w:szCs w:val="22"/>
              </w:rPr>
            </w:pPr>
          </w:p>
          <w:p w14:paraId="639DF161" w14:textId="5CBDE270" w:rsidR="002B560A" w:rsidRPr="0097144F" w:rsidRDefault="002B560A" w:rsidP="002B560A">
            <w:pPr>
              <w:rPr>
                <w:rFonts w:cs="Arial"/>
                <w:sz w:val="22"/>
                <w:szCs w:val="22"/>
              </w:rPr>
            </w:pPr>
            <w:r w:rsidRPr="0097144F">
              <w:rPr>
                <w:rFonts w:cs="Arial"/>
                <w:sz w:val="22"/>
                <w:szCs w:val="22"/>
              </w:rPr>
              <w:t>Total cost</w:t>
            </w:r>
          </w:p>
        </w:tc>
        <w:tc>
          <w:tcPr>
            <w:tcW w:w="2174" w:type="dxa"/>
          </w:tcPr>
          <w:p w14:paraId="470A52C8" w14:textId="77777777" w:rsidR="006B1E8A" w:rsidRDefault="006B1E8A" w:rsidP="00402C3D">
            <w:pPr>
              <w:jc w:val="center"/>
              <w:rPr>
                <w:rFonts w:cs="Arial"/>
                <w:sz w:val="22"/>
                <w:szCs w:val="22"/>
              </w:rPr>
            </w:pPr>
          </w:p>
          <w:p w14:paraId="3D420D86" w14:textId="75690A96" w:rsidR="002B560A" w:rsidRPr="0097144F" w:rsidRDefault="007B2B34" w:rsidP="00402C3D">
            <w:pPr>
              <w:jc w:val="center"/>
              <w:rPr>
                <w:rFonts w:cs="Arial"/>
                <w:sz w:val="22"/>
                <w:szCs w:val="22"/>
              </w:rPr>
            </w:pPr>
            <w:r w:rsidRPr="0097144F">
              <w:rPr>
                <w:rFonts w:cs="Arial"/>
                <w:sz w:val="22"/>
                <w:szCs w:val="22"/>
              </w:rPr>
              <w:t>£</w:t>
            </w:r>
            <w:r w:rsidR="00CD4130">
              <w:rPr>
                <w:rFonts w:cs="Arial"/>
                <w:sz w:val="22"/>
                <w:szCs w:val="22"/>
              </w:rPr>
              <w:t>2</w:t>
            </w:r>
            <w:r w:rsidR="006B1E8A">
              <w:rPr>
                <w:rFonts w:cs="Arial"/>
                <w:sz w:val="22"/>
                <w:szCs w:val="22"/>
              </w:rPr>
              <w:t>,050</w:t>
            </w:r>
          </w:p>
        </w:tc>
        <w:tc>
          <w:tcPr>
            <w:tcW w:w="2296" w:type="dxa"/>
          </w:tcPr>
          <w:p w14:paraId="68C382B4" w14:textId="77777777" w:rsidR="006B1E8A" w:rsidRDefault="006B1E8A" w:rsidP="00402C3D">
            <w:pPr>
              <w:jc w:val="center"/>
              <w:rPr>
                <w:rFonts w:cs="Arial"/>
                <w:sz w:val="22"/>
                <w:szCs w:val="22"/>
              </w:rPr>
            </w:pPr>
          </w:p>
          <w:p w14:paraId="2A0DAE1D" w14:textId="6AD9C33D" w:rsidR="002B560A" w:rsidRPr="0097144F" w:rsidRDefault="007B2B34" w:rsidP="00402C3D">
            <w:pPr>
              <w:jc w:val="center"/>
              <w:rPr>
                <w:rFonts w:cs="Arial"/>
                <w:sz w:val="22"/>
                <w:szCs w:val="22"/>
              </w:rPr>
            </w:pPr>
            <w:r w:rsidRPr="0097144F">
              <w:rPr>
                <w:rFonts w:cs="Arial"/>
                <w:sz w:val="22"/>
                <w:szCs w:val="22"/>
              </w:rPr>
              <w:t>£</w:t>
            </w:r>
            <w:r w:rsidR="006B1E8A">
              <w:rPr>
                <w:rFonts w:cs="Arial"/>
                <w:sz w:val="22"/>
                <w:szCs w:val="22"/>
              </w:rPr>
              <w:t>4,900</w:t>
            </w:r>
          </w:p>
        </w:tc>
        <w:tc>
          <w:tcPr>
            <w:tcW w:w="2419" w:type="dxa"/>
          </w:tcPr>
          <w:p w14:paraId="7ABBC6AF" w14:textId="77777777" w:rsidR="006B1E8A" w:rsidRDefault="006B1E8A" w:rsidP="00402C3D">
            <w:pPr>
              <w:jc w:val="center"/>
              <w:rPr>
                <w:rFonts w:cs="Arial"/>
                <w:sz w:val="22"/>
                <w:szCs w:val="22"/>
              </w:rPr>
            </w:pPr>
          </w:p>
          <w:p w14:paraId="69DD5F9B" w14:textId="61411E2F" w:rsidR="002B560A" w:rsidRPr="0097144F" w:rsidRDefault="007B2B34" w:rsidP="00402C3D">
            <w:pPr>
              <w:jc w:val="center"/>
              <w:rPr>
                <w:rFonts w:cs="Arial"/>
                <w:sz w:val="22"/>
                <w:szCs w:val="22"/>
              </w:rPr>
            </w:pPr>
            <w:r w:rsidRPr="0097144F">
              <w:rPr>
                <w:rFonts w:cs="Arial"/>
                <w:sz w:val="22"/>
                <w:szCs w:val="22"/>
              </w:rPr>
              <w:t>£</w:t>
            </w:r>
            <w:r w:rsidR="006B1E8A">
              <w:rPr>
                <w:rFonts w:cs="Arial"/>
                <w:sz w:val="22"/>
                <w:szCs w:val="22"/>
              </w:rPr>
              <w:t>8,090</w:t>
            </w:r>
          </w:p>
        </w:tc>
      </w:tr>
      <w:bookmarkEnd w:id="48"/>
    </w:tbl>
    <w:p w14:paraId="442BFB0B" w14:textId="77777777" w:rsidR="00D95611" w:rsidRDefault="00D95611" w:rsidP="00402C3D">
      <w:pPr>
        <w:ind w:left="720"/>
        <w:rPr>
          <w:rFonts w:ascii="Calibri" w:hAnsi="Calibri"/>
          <w:sz w:val="22"/>
          <w:szCs w:val="22"/>
        </w:rPr>
      </w:pPr>
    </w:p>
    <w:p w14:paraId="664A9DC0" w14:textId="77777777" w:rsidR="00D95611" w:rsidRDefault="008909EA" w:rsidP="00D95611">
      <w:r>
        <w:tab/>
        <w:t>Assumptions:</w:t>
      </w:r>
    </w:p>
    <w:p w14:paraId="5792B6E6" w14:textId="12F965B3" w:rsidR="008909EA" w:rsidRDefault="008909EA" w:rsidP="008909EA">
      <w:pPr>
        <w:pStyle w:val="ListParagraph"/>
        <w:numPr>
          <w:ilvl w:val="0"/>
          <w:numId w:val="31"/>
        </w:numPr>
      </w:pPr>
      <w:r>
        <w:t xml:space="preserve">President </w:t>
      </w:r>
      <w:r w:rsidR="00F053A7">
        <w:t xml:space="preserve">of the Welsh Tribunals </w:t>
      </w:r>
      <w:r>
        <w:t xml:space="preserve">sits </w:t>
      </w:r>
      <w:r w:rsidR="00EB03D6">
        <w:t xml:space="preserve">with another judge </w:t>
      </w:r>
      <w:r>
        <w:t>on</w:t>
      </w:r>
      <w:r w:rsidR="00EC5B19">
        <w:t xml:space="preserve"> particularly complex appeals or ones with significance for tribunals system as a whole</w:t>
      </w:r>
    </w:p>
    <w:p w14:paraId="327F81D4" w14:textId="0AAA172E" w:rsidR="008909EA" w:rsidRDefault="00477111" w:rsidP="008909EA">
      <w:pPr>
        <w:pStyle w:val="ListParagraph"/>
        <w:numPr>
          <w:ilvl w:val="0"/>
          <w:numId w:val="31"/>
        </w:numPr>
      </w:pPr>
      <w:r>
        <w:t xml:space="preserve">Fees paid for judicial time are </w:t>
      </w:r>
      <w:r w:rsidR="00074533">
        <w:t>the same as fee-paid rates for Upper Tribunal judges</w:t>
      </w:r>
      <w:r w:rsidR="00A43602">
        <w:t xml:space="preserve"> (£676.</w:t>
      </w:r>
      <w:r w:rsidR="00E91452">
        <w:t>36/day)</w:t>
      </w:r>
      <w:r w:rsidR="0085629D">
        <w:rPr>
          <w:rStyle w:val="FootnoteReference"/>
        </w:rPr>
        <w:footnoteReference w:id="30"/>
      </w:r>
    </w:p>
    <w:p w14:paraId="60A4678C" w14:textId="3A47EAF2" w:rsidR="008909EA" w:rsidRDefault="008909EA" w:rsidP="008909EA">
      <w:pPr>
        <w:pStyle w:val="ListParagraph"/>
        <w:numPr>
          <w:ilvl w:val="0"/>
          <w:numId w:val="31"/>
        </w:numPr>
      </w:pPr>
      <w:r>
        <w:t>Appeals take between ½ to 1 day</w:t>
      </w:r>
      <w:r w:rsidR="002B560A">
        <w:t xml:space="preserve"> -</w:t>
      </w:r>
      <w:r>
        <w:t xml:space="preserve"> low estimate all appeals take ½ a day</w:t>
      </w:r>
      <w:r w:rsidR="002B560A">
        <w:t>,</w:t>
      </w:r>
      <w:r>
        <w:t xml:space="preserve"> </w:t>
      </w:r>
      <w:r w:rsidR="003B3910">
        <w:t>best</w:t>
      </w:r>
      <w:r>
        <w:t xml:space="preserve"> estimate 50:50 </w:t>
      </w:r>
      <w:r w:rsidR="002B560A">
        <w:t xml:space="preserve">½ </w:t>
      </w:r>
      <w:r>
        <w:t xml:space="preserve">days and </w:t>
      </w:r>
      <w:r w:rsidR="002B560A">
        <w:t>1</w:t>
      </w:r>
      <w:r>
        <w:t xml:space="preserve"> day</w:t>
      </w:r>
      <w:r w:rsidR="003B3910">
        <w:t xml:space="preserve"> with the high estimate being all appeals take 1 day</w:t>
      </w:r>
      <w:r>
        <w:t>.</w:t>
      </w:r>
    </w:p>
    <w:p w14:paraId="1E255548" w14:textId="77777777" w:rsidR="002B560A" w:rsidRDefault="002B560A" w:rsidP="008909EA">
      <w:pPr>
        <w:pStyle w:val="ListParagraph"/>
        <w:numPr>
          <w:ilvl w:val="0"/>
          <w:numId w:val="31"/>
        </w:numPr>
      </w:pPr>
      <w:r>
        <w:t>Reading time of appeals refused/granted = ½ day</w:t>
      </w:r>
    </w:p>
    <w:p w14:paraId="6EA5AFAF" w14:textId="2BCD7FEB" w:rsidR="003B3910" w:rsidRDefault="003B3910" w:rsidP="008909EA">
      <w:pPr>
        <w:pStyle w:val="ListParagraph"/>
        <w:numPr>
          <w:ilvl w:val="0"/>
          <w:numId w:val="31"/>
        </w:numPr>
      </w:pPr>
      <w:r>
        <w:t>President reads all applications; The sitting judge reads just the assigned case.</w:t>
      </w:r>
    </w:p>
    <w:p w14:paraId="2BEC3F06" w14:textId="7C7CED1C" w:rsidR="003B3910" w:rsidRDefault="003B3910" w:rsidP="008909EA">
      <w:pPr>
        <w:pStyle w:val="ListParagraph"/>
        <w:numPr>
          <w:ilvl w:val="0"/>
          <w:numId w:val="31"/>
        </w:numPr>
      </w:pPr>
      <w:r>
        <w:t>President sits on: 0 appeals [low estimate], 1</w:t>
      </w:r>
      <w:r w:rsidR="006B1E8A">
        <w:t xml:space="preserve"> </w:t>
      </w:r>
      <w:r>
        <w:t>appeal [central estimate], 2 appeals [high estimate]</w:t>
      </w:r>
    </w:p>
    <w:p w14:paraId="19456275" w14:textId="77777777" w:rsidR="002B560A" w:rsidRDefault="002B560A" w:rsidP="008909EA">
      <w:pPr>
        <w:pStyle w:val="ListParagraph"/>
        <w:numPr>
          <w:ilvl w:val="0"/>
          <w:numId w:val="31"/>
        </w:numPr>
      </w:pPr>
      <w:r>
        <w:t>Administration support of new appeal route can be accommodated using WTU resources</w:t>
      </w:r>
    </w:p>
    <w:p w14:paraId="15DED7EE" w14:textId="77777777" w:rsidR="00F053A7" w:rsidRDefault="00F053A7" w:rsidP="002B560A">
      <w:pPr>
        <w:pStyle w:val="ListParagraph"/>
        <w:ind w:left="1212"/>
      </w:pPr>
    </w:p>
    <w:p w14:paraId="210E8C7F" w14:textId="7558054E" w:rsidR="002B560A" w:rsidRPr="00402C3D" w:rsidRDefault="002B560A" w:rsidP="002B560A">
      <w:pPr>
        <w:pStyle w:val="ListParagraph"/>
        <w:ind w:left="1212"/>
        <w:rPr>
          <w:b/>
        </w:rPr>
      </w:pPr>
      <w:r w:rsidRPr="00402C3D">
        <w:rPr>
          <w:b/>
        </w:rPr>
        <w:t>Annual cost =</w:t>
      </w:r>
      <w:r w:rsidR="00F053A7" w:rsidRPr="00402C3D">
        <w:rPr>
          <w:b/>
        </w:rPr>
        <w:t xml:space="preserve"> £</w:t>
      </w:r>
      <w:r w:rsidR="00DF484B">
        <w:rPr>
          <w:b/>
        </w:rPr>
        <w:t>4,</w:t>
      </w:r>
      <w:r w:rsidR="006B1E8A">
        <w:rPr>
          <w:b/>
        </w:rPr>
        <w:t xml:space="preserve">900 </w:t>
      </w:r>
      <w:r w:rsidR="00EB03D6" w:rsidRPr="00402C3D">
        <w:rPr>
          <w:b/>
        </w:rPr>
        <w:t xml:space="preserve"> </w:t>
      </w:r>
      <w:r w:rsidR="00F053A7" w:rsidRPr="00402C3D">
        <w:rPr>
          <w:b/>
        </w:rPr>
        <w:t>[central estimate]</w:t>
      </w:r>
    </w:p>
    <w:p w14:paraId="46309F1B" w14:textId="77777777" w:rsidR="002B560A" w:rsidRPr="00402C3D" w:rsidRDefault="002B560A" w:rsidP="002B560A">
      <w:pPr>
        <w:pStyle w:val="ListParagraph"/>
        <w:ind w:left="1212"/>
        <w:rPr>
          <w:b/>
        </w:rPr>
      </w:pPr>
    </w:p>
    <w:p w14:paraId="5254A6C6" w14:textId="0AC846E4" w:rsidR="002B560A" w:rsidRPr="00402C3D" w:rsidRDefault="002B560A" w:rsidP="00402C3D">
      <w:pPr>
        <w:pStyle w:val="ListParagraph"/>
        <w:ind w:left="1212"/>
        <w:rPr>
          <w:b/>
        </w:rPr>
      </w:pPr>
      <w:r w:rsidRPr="00402C3D">
        <w:rPr>
          <w:b/>
        </w:rPr>
        <w:t xml:space="preserve">Present value </w:t>
      </w:r>
      <w:r w:rsidR="00F053A7" w:rsidRPr="00402C3D">
        <w:rPr>
          <w:b/>
        </w:rPr>
        <w:t xml:space="preserve">over 10 years </w:t>
      </w:r>
      <w:r w:rsidRPr="00402C3D">
        <w:rPr>
          <w:b/>
        </w:rPr>
        <w:t xml:space="preserve">= </w:t>
      </w:r>
      <w:r w:rsidR="00F053A7" w:rsidRPr="00402C3D">
        <w:rPr>
          <w:b/>
        </w:rPr>
        <w:t>£</w:t>
      </w:r>
      <w:r w:rsidR="006B1E8A">
        <w:rPr>
          <w:b/>
        </w:rPr>
        <w:t xml:space="preserve">0.04 million </w:t>
      </w:r>
      <w:r w:rsidR="00F053A7" w:rsidRPr="00402C3D">
        <w:rPr>
          <w:b/>
        </w:rPr>
        <w:t xml:space="preserve"> [central estimate]</w:t>
      </w:r>
    </w:p>
    <w:p w14:paraId="148EDD36" w14:textId="77777777" w:rsidR="008909EA" w:rsidRDefault="008909EA" w:rsidP="008909EA"/>
    <w:p w14:paraId="47C92DF1" w14:textId="7C35064E" w:rsidR="00CF6E18" w:rsidRPr="000B308F" w:rsidRDefault="0005305F" w:rsidP="000B308F">
      <w:pPr>
        <w:spacing w:after="240"/>
        <w:ind w:left="720"/>
        <w:rPr>
          <w:rFonts w:cs="Arial"/>
          <w:bCs/>
          <w:color w:val="000000"/>
          <w:lang w:eastAsia="en-GB"/>
        </w:rPr>
      </w:pPr>
      <w:r>
        <w:rPr>
          <w:rFonts w:cs="Arial"/>
          <w:bCs/>
          <w:color w:val="000000"/>
          <w:lang w:eastAsia="en-GB"/>
        </w:rPr>
        <w:t xml:space="preserve">6. </w:t>
      </w:r>
      <w:r w:rsidR="00AA6A31" w:rsidRPr="000B308F">
        <w:rPr>
          <w:rFonts w:cs="Arial"/>
          <w:bCs/>
          <w:color w:val="000000"/>
          <w:u w:val="single"/>
          <w:lang w:eastAsia="en-GB"/>
        </w:rPr>
        <w:t>Re-distribution</w:t>
      </w:r>
      <w:r w:rsidR="00DF567C">
        <w:rPr>
          <w:rFonts w:cs="Arial"/>
          <w:bCs/>
          <w:color w:val="000000"/>
          <w:u w:val="single"/>
          <w:lang w:eastAsia="en-GB"/>
        </w:rPr>
        <w:t xml:space="preserve"> of funding</w:t>
      </w:r>
      <w:r w:rsidR="00AA6A31" w:rsidRPr="000B308F">
        <w:rPr>
          <w:rFonts w:cs="Arial"/>
          <w:bCs/>
          <w:color w:val="000000"/>
          <w:u w:val="single"/>
          <w:lang w:eastAsia="en-GB"/>
        </w:rPr>
        <w:t xml:space="preserve"> from LAs</w:t>
      </w:r>
    </w:p>
    <w:p w14:paraId="3957BFFF" w14:textId="77777777" w:rsidR="008A71AA" w:rsidRDefault="00AF0034" w:rsidP="00BA5F1B">
      <w:pPr>
        <w:spacing w:after="240"/>
        <w:ind w:left="720"/>
        <w:rPr>
          <w:rFonts w:cs="Arial"/>
          <w:bCs/>
          <w:color w:val="000000"/>
          <w:lang w:eastAsia="en-GB"/>
        </w:rPr>
      </w:pPr>
      <w:r>
        <w:rPr>
          <w:rFonts w:cs="Arial"/>
          <w:bCs/>
          <w:color w:val="000000"/>
          <w:lang w:eastAsia="en-GB"/>
        </w:rPr>
        <w:t>School admission and exclusion appeal panels</w:t>
      </w:r>
      <w:r w:rsidR="00CF6E18" w:rsidRPr="000B308F">
        <w:rPr>
          <w:rFonts w:cs="Arial"/>
          <w:bCs/>
          <w:color w:val="000000"/>
          <w:lang w:eastAsia="en-GB"/>
        </w:rPr>
        <w:t xml:space="preserve"> are currently funded by </w:t>
      </w:r>
      <w:r w:rsidR="00025C49">
        <w:rPr>
          <w:rFonts w:cs="Arial"/>
          <w:bCs/>
          <w:color w:val="000000"/>
          <w:lang w:eastAsia="en-GB"/>
        </w:rPr>
        <w:t>LAs</w:t>
      </w:r>
      <w:r w:rsidR="00CF6E18" w:rsidRPr="000B308F">
        <w:rPr>
          <w:rFonts w:cs="Arial"/>
          <w:bCs/>
          <w:color w:val="000000"/>
          <w:lang w:eastAsia="en-GB"/>
        </w:rPr>
        <w:t xml:space="preserve">. </w:t>
      </w:r>
    </w:p>
    <w:p w14:paraId="766D7605" w14:textId="40544E1A" w:rsidR="000978BB" w:rsidRDefault="00CF6E18" w:rsidP="00BA5F1B">
      <w:pPr>
        <w:spacing w:after="240"/>
        <w:ind w:left="720"/>
        <w:rPr>
          <w:rFonts w:cs="Arial"/>
          <w:bCs/>
          <w:color w:val="000000"/>
          <w:lang w:eastAsia="en-GB"/>
        </w:rPr>
      </w:pPr>
      <w:r w:rsidRPr="000B308F">
        <w:rPr>
          <w:rFonts w:cs="Arial"/>
          <w:bCs/>
          <w:color w:val="000000"/>
          <w:lang w:eastAsia="en-GB"/>
        </w:rPr>
        <w:t xml:space="preserve">The </w:t>
      </w:r>
      <w:r w:rsidR="00AF0034">
        <w:rPr>
          <w:rFonts w:cs="Arial"/>
          <w:bCs/>
          <w:color w:val="000000"/>
          <w:lang w:eastAsia="en-GB"/>
        </w:rPr>
        <w:t>transfer of the work</w:t>
      </w:r>
      <w:r w:rsidR="00AF0034" w:rsidRPr="000B308F">
        <w:rPr>
          <w:rFonts w:cs="Arial"/>
          <w:bCs/>
          <w:color w:val="000000"/>
          <w:lang w:eastAsia="en-GB"/>
        </w:rPr>
        <w:t xml:space="preserve"> </w:t>
      </w:r>
      <w:r w:rsidR="00025C49">
        <w:rPr>
          <w:rFonts w:cs="Arial"/>
          <w:bCs/>
          <w:color w:val="000000"/>
          <w:lang w:eastAsia="en-GB"/>
        </w:rPr>
        <w:t xml:space="preserve">of </w:t>
      </w:r>
      <w:r w:rsidR="007D2D03">
        <w:rPr>
          <w:rFonts w:cs="Arial"/>
          <w:bCs/>
          <w:color w:val="000000"/>
          <w:lang w:eastAsia="en-GB"/>
        </w:rPr>
        <w:t>school exclusion appeal panels</w:t>
      </w:r>
      <w:r w:rsidR="00025C49">
        <w:rPr>
          <w:rFonts w:cs="Arial"/>
          <w:bCs/>
          <w:color w:val="000000"/>
          <w:lang w:eastAsia="en-GB"/>
        </w:rPr>
        <w:t xml:space="preserve"> </w:t>
      </w:r>
      <w:r w:rsidR="00AF0034">
        <w:rPr>
          <w:rFonts w:cs="Arial"/>
          <w:bCs/>
          <w:color w:val="000000"/>
          <w:lang w:eastAsia="en-GB"/>
        </w:rPr>
        <w:t>into</w:t>
      </w:r>
      <w:r w:rsidR="00AF0034" w:rsidRPr="000B308F">
        <w:rPr>
          <w:rFonts w:cs="Arial"/>
          <w:bCs/>
          <w:color w:val="000000"/>
          <w:lang w:eastAsia="en-GB"/>
        </w:rPr>
        <w:t xml:space="preserve"> </w:t>
      </w:r>
      <w:r w:rsidRPr="000B308F">
        <w:rPr>
          <w:rFonts w:cs="Arial"/>
          <w:bCs/>
          <w:color w:val="000000"/>
          <w:lang w:eastAsia="en-GB"/>
        </w:rPr>
        <w:t xml:space="preserve">the unified </w:t>
      </w:r>
      <w:r w:rsidR="00025C49">
        <w:rPr>
          <w:rFonts w:cs="Arial"/>
          <w:bCs/>
          <w:color w:val="000000"/>
          <w:lang w:eastAsia="en-GB"/>
        </w:rPr>
        <w:t xml:space="preserve">first-tier tribunal </w:t>
      </w:r>
      <w:r w:rsidRPr="000B308F">
        <w:rPr>
          <w:rFonts w:cs="Arial"/>
          <w:bCs/>
          <w:color w:val="000000"/>
          <w:lang w:eastAsia="en-GB"/>
        </w:rPr>
        <w:t xml:space="preserve">system means </w:t>
      </w:r>
      <w:r w:rsidR="00AF0034">
        <w:rPr>
          <w:rFonts w:cs="Arial"/>
          <w:bCs/>
          <w:color w:val="000000"/>
          <w:lang w:eastAsia="en-GB"/>
        </w:rPr>
        <w:t>the funding of these appeals would fall to</w:t>
      </w:r>
      <w:r w:rsidR="001E579D">
        <w:rPr>
          <w:rFonts w:cs="Arial"/>
          <w:bCs/>
          <w:color w:val="000000"/>
          <w:lang w:eastAsia="en-GB"/>
        </w:rPr>
        <w:t xml:space="preserve"> central government (most</w:t>
      </w:r>
      <w:r w:rsidRPr="000B308F">
        <w:rPr>
          <w:rFonts w:cs="Arial"/>
          <w:bCs/>
          <w:color w:val="000000"/>
          <w:lang w:eastAsia="en-GB"/>
        </w:rPr>
        <w:t xml:space="preserve"> </w:t>
      </w:r>
      <w:r w:rsidR="001E579D">
        <w:rPr>
          <w:rFonts w:cs="Arial"/>
          <w:bCs/>
          <w:color w:val="000000"/>
          <w:lang w:eastAsia="en-GB"/>
        </w:rPr>
        <w:t xml:space="preserve">likely the Office of the First Minister Group). </w:t>
      </w:r>
      <w:r w:rsidR="000978BB">
        <w:rPr>
          <w:rFonts w:cs="Arial"/>
          <w:bCs/>
          <w:color w:val="000000"/>
          <w:lang w:eastAsia="en-GB"/>
        </w:rPr>
        <w:t xml:space="preserve">It is difficult to estimate the </w:t>
      </w:r>
      <w:r w:rsidR="00AF0034">
        <w:rPr>
          <w:rFonts w:cs="Arial"/>
          <w:bCs/>
          <w:color w:val="000000"/>
          <w:lang w:eastAsia="en-GB"/>
        </w:rPr>
        <w:t xml:space="preserve">ongoing cost of </w:t>
      </w:r>
      <w:r w:rsidR="00EB4DCB">
        <w:rPr>
          <w:rFonts w:cs="Arial"/>
          <w:bCs/>
          <w:color w:val="000000"/>
          <w:lang w:eastAsia="en-GB"/>
        </w:rPr>
        <w:t>administering and holding panel hearings</w:t>
      </w:r>
      <w:r w:rsidR="000978BB">
        <w:rPr>
          <w:rFonts w:cs="Arial"/>
          <w:bCs/>
          <w:color w:val="000000"/>
          <w:lang w:eastAsia="en-GB"/>
        </w:rPr>
        <w:t xml:space="preserve"> as there is no comprehensive centralised data available. </w:t>
      </w:r>
    </w:p>
    <w:p w14:paraId="60559C98" w14:textId="77777777" w:rsidR="000978BB" w:rsidRDefault="000978BB" w:rsidP="00BA5F1B">
      <w:pPr>
        <w:spacing w:after="240"/>
        <w:ind w:left="720"/>
        <w:rPr>
          <w:rFonts w:cs="Arial"/>
          <w:bCs/>
          <w:color w:val="000000"/>
          <w:lang w:eastAsia="en-GB"/>
        </w:rPr>
      </w:pPr>
      <w:r>
        <w:rPr>
          <w:rFonts w:cs="Arial"/>
          <w:bCs/>
          <w:color w:val="000000"/>
          <w:lang w:eastAsia="en-GB"/>
        </w:rPr>
        <w:t xml:space="preserve">A recent study </w:t>
      </w:r>
      <w:r w:rsidR="007D2D03">
        <w:rPr>
          <w:rFonts w:cs="Arial"/>
          <w:bCs/>
          <w:color w:val="000000"/>
          <w:lang w:eastAsia="en-GB"/>
        </w:rPr>
        <w:t>reports</w:t>
      </w:r>
      <w:r>
        <w:rPr>
          <w:rFonts w:cs="Arial"/>
          <w:bCs/>
          <w:color w:val="000000"/>
          <w:lang w:eastAsia="en-GB"/>
        </w:rPr>
        <w:t xml:space="preserve"> that for 9 local authorities in Wales in 2018-2019, there were 18 school exclusion appeal panel hearings.</w:t>
      </w:r>
      <w:r w:rsidR="007D2D03">
        <w:rPr>
          <w:rStyle w:val="FootnoteReference"/>
          <w:bCs/>
          <w:color w:val="000000"/>
          <w:lang w:eastAsia="en-GB"/>
        </w:rPr>
        <w:footnoteReference w:id="31"/>
      </w:r>
      <w:r>
        <w:rPr>
          <w:rFonts w:cs="Arial"/>
          <w:bCs/>
          <w:color w:val="000000"/>
          <w:lang w:eastAsia="en-GB"/>
        </w:rPr>
        <w:t xml:space="preserve"> This suggests that there may be in the region of 44 per year across Wales. </w:t>
      </w:r>
    </w:p>
    <w:p w14:paraId="7E3873E0" w14:textId="4EE12E10" w:rsidR="000978BB" w:rsidRDefault="000978BB" w:rsidP="00BA5F1B">
      <w:pPr>
        <w:spacing w:after="240"/>
        <w:ind w:left="720"/>
        <w:rPr>
          <w:rFonts w:cs="Arial"/>
          <w:bCs/>
          <w:color w:val="000000"/>
          <w:lang w:eastAsia="en-GB"/>
        </w:rPr>
      </w:pPr>
      <w:r>
        <w:rPr>
          <w:rFonts w:cs="Arial"/>
          <w:bCs/>
          <w:color w:val="000000"/>
          <w:lang w:eastAsia="en-GB"/>
        </w:rPr>
        <w:t>This c</w:t>
      </w:r>
      <w:r w:rsidR="007D2D03">
        <w:rPr>
          <w:rFonts w:cs="Arial"/>
          <w:bCs/>
          <w:color w:val="000000"/>
          <w:lang w:eastAsia="en-GB"/>
        </w:rPr>
        <w:t>an be compared</w:t>
      </w:r>
      <w:r>
        <w:rPr>
          <w:rFonts w:cs="Arial"/>
          <w:bCs/>
          <w:color w:val="000000"/>
          <w:lang w:eastAsia="en-GB"/>
        </w:rPr>
        <w:t xml:space="preserve"> with the 172 cases heard by </w:t>
      </w:r>
      <w:r w:rsidR="000B7779">
        <w:rPr>
          <w:rFonts w:cs="Arial"/>
          <w:bCs/>
          <w:color w:val="000000"/>
          <w:lang w:eastAsia="en-GB"/>
        </w:rPr>
        <w:t xml:space="preserve">the </w:t>
      </w:r>
      <w:r>
        <w:rPr>
          <w:rFonts w:cs="Arial"/>
          <w:bCs/>
          <w:color w:val="000000"/>
          <w:lang w:eastAsia="en-GB"/>
        </w:rPr>
        <w:t xml:space="preserve">SENTW in 2019-20. An additional 44 cases heard by </w:t>
      </w:r>
      <w:r w:rsidR="000B7779">
        <w:rPr>
          <w:rFonts w:cs="Arial"/>
          <w:bCs/>
          <w:color w:val="000000"/>
          <w:lang w:eastAsia="en-GB"/>
        </w:rPr>
        <w:t xml:space="preserve">the ETW </w:t>
      </w:r>
      <w:r>
        <w:rPr>
          <w:rFonts w:cs="Arial"/>
          <w:bCs/>
          <w:color w:val="000000"/>
          <w:lang w:eastAsia="en-GB"/>
        </w:rPr>
        <w:t xml:space="preserve">would represent an increase in cases of approximately 25%. The proportion of the WTU’s budget allocated to </w:t>
      </w:r>
      <w:r w:rsidR="000B7779">
        <w:rPr>
          <w:rFonts w:cs="Arial"/>
          <w:bCs/>
          <w:color w:val="000000"/>
          <w:lang w:eastAsia="en-GB"/>
        </w:rPr>
        <w:t xml:space="preserve">the </w:t>
      </w:r>
      <w:r>
        <w:rPr>
          <w:rFonts w:cs="Arial"/>
          <w:bCs/>
          <w:color w:val="000000"/>
          <w:lang w:eastAsia="en-GB"/>
        </w:rPr>
        <w:t xml:space="preserve">SENTW in 2018-2019 was £322,562.79. A 25% increase to that budget would </w:t>
      </w:r>
      <w:r w:rsidR="007D2D03">
        <w:rPr>
          <w:rFonts w:cs="Arial"/>
          <w:bCs/>
          <w:color w:val="000000"/>
          <w:lang w:eastAsia="en-GB"/>
        </w:rPr>
        <w:t>amount to</w:t>
      </w:r>
      <w:r>
        <w:rPr>
          <w:rFonts w:cs="Arial"/>
          <w:bCs/>
          <w:color w:val="000000"/>
          <w:lang w:eastAsia="en-GB"/>
        </w:rPr>
        <w:t xml:space="preserve"> </w:t>
      </w:r>
      <w:r w:rsidR="0080193C">
        <w:rPr>
          <w:rFonts w:cs="Arial"/>
          <w:bCs/>
          <w:color w:val="000000"/>
          <w:lang w:eastAsia="en-GB"/>
        </w:rPr>
        <w:t xml:space="preserve">just under </w:t>
      </w:r>
      <w:r w:rsidR="002C377D">
        <w:rPr>
          <w:rFonts w:cs="Arial"/>
          <w:bCs/>
          <w:color w:val="000000"/>
          <w:lang w:eastAsia="en-GB"/>
        </w:rPr>
        <w:t xml:space="preserve"> </w:t>
      </w:r>
      <w:r>
        <w:rPr>
          <w:rFonts w:cs="Arial"/>
          <w:bCs/>
          <w:color w:val="000000"/>
          <w:lang w:eastAsia="en-GB"/>
        </w:rPr>
        <w:t>£8</w:t>
      </w:r>
      <w:r w:rsidR="0080193C">
        <w:rPr>
          <w:rFonts w:cs="Arial"/>
          <w:bCs/>
          <w:color w:val="000000"/>
          <w:lang w:eastAsia="en-GB"/>
        </w:rPr>
        <w:t>1,000</w:t>
      </w:r>
      <w:r w:rsidR="002C377D">
        <w:rPr>
          <w:rFonts w:cs="Arial"/>
          <w:bCs/>
          <w:color w:val="000000"/>
          <w:lang w:eastAsia="en-GB"/>
        </w:rPr>
        <w:t>.</w:t>
      </w:r>
      <w:r w:rsidR="00293884">
        <w:rPr>
          <w:rFonts w:cs="Arial"/>
          <w:bCs/>
          <w:color w:val="000000"/>
          <w:lang w:eastAsia="en-GB"/>
        </w:rPr>
        <w:t xml:space="preserve"> See Table </w:t>
      </w:r>
      <w:r w:rsidR="0045151F">
        <w:rPr>
          <w:rFonts w:cs="Arial"/>
          <w:bCs/>
          <w:color w:val="000000"/>
          <w:lang w:eastAsia="en-GB"/>
        </w:rPr>
        <w:t>7</w:t>
      </w:r>
      <w:r w:rsidR="00293884">
        <w:rPr>
          <w:rFonts w:cs="Arial"/>
          <w:bCs/>
          <w:color w:val="000000"/>
          <w:lang w:eastAsia="en-GB"/>
        </w:rPr>
        <w:t xml:space="preserve"> below</w:t>
      </w:r>
      <w:r w:rsidR="00763BC8">
        <w:rPr>
          <w:rFonts w:cs="Arial"/>
          <w:bCs/>
          <w:color w:val="000000"/>
          <w:lang w:eastAsia="en-GB"/>
        </w:rPr>
        <w:t>.</w:t>
      </w:r>
    </w:p>
    <w:p w14:paraId="56C245D8" w14:textId="433239FD" w:rsidR="00293884" w:rsidRDefault="00293884" w:rsidP="00BA5F1B">
      <w:pPr>
        <w:spacing w:after="240"/>
        <w:ind w:left="720"/>
        <w:rPr>
          <w:rFonts w:cs="Arial"/>
          <w:bCs/>
          <w:color w:val="000000"/>
          <w:lang w:eastAsia="en-GB"/>
        </w:rPr>
      </w:pPr>
      <w:r>
        <w:rPr>
          <w:rFonts w:cs="Arial"/>
          <w:bCs/>
          <w:color w:val="000000"/>
          <w:lang w:eastAsia="en-GB"/>
        </w:rPr>
        <w:t xml:space="preserve">Table </w:t>
      </w:r>
      <w:r w:rsidR="0045151F">
        <w:rPr>
          <w:rFonts w:cs="Arial"/>
          <w:bCs/>
          <w:color w:val="000000"/>
          <w:lang w:eastAsia="en-GB"/>
        </w:rPr>
        <w:t>7</w:t>
      </w:r>
      <w:r>
        <w:rPr>
          <w:rFonts w:cs="Arial"/>
          <w:bCs/>
          <w:color w:val="000000"/>
          <w:lang w:eastAsia="en-GB"/>
        </w:rPr>
        <w:t xml:space="preserve">: Increased </w:t>
      </w:r>
      <w:r w:rsidR="000B7779">
        <w:rPr>
          <w:rFonts w:cs="Arial"/>
          <w:bCs/>
          <w:color w:val="000000"/>
          <w:lang w:eastAsia="en-GB"/>
        </w:rPr>
        <w:t>ETW</w:t>
      </w:r>
      <w:r>
        <w:rPr>
          <w:rFonts w:cs="Arial"/>
          <w:bCs/>
          <w:color w:val="000000"/>
          <w:lang w:eastAsia="en-GB"/>
        </w:rPr>
        <w:t xml:space="preserve"> Costs following inclusion of </w:t>
      </w:r>
      <w:r w:rsidR="008D09C4">
        <w:rPr>
          <w:rFonts w:cs="Arial"/>
          <w:bCs/>
          <w:color w:val="000000"/>
          <w:lang w:eastAsia="en-GB"/>
        </w:rPr>
        <w:t>school exclusion panel</w:t>
      </w:r>
      <w:r w:rsidR="00ED48FB">
        <w:rPr>
          <w:rFonts w:cs="Arial"/>
          <w:bCs/>
          <w:color w:val="000000"/>
          <w:lang w:eastAsia="en-GB"/>
        </w:rPr>
        <w:t xml:space="preserve"> </w:t>
      </w:r>
      <w:r w:rsidR="008C1F52">
        <w:rPr>
          <w:rFonts w:cs="Arial"/>
          <w:bCs/>
          <w:color w:val="000000"/>
          <w:lang w:eastAsia="en-GB"/>
        </w:rPr>
        <w:t>work</w:t>
      </w:r>
    </w:p>
    <w:tbl>
      <w:tblPr>
        <w:tblStyle w:val="TableGrid"/>
        <w:tblW w:w="0" w:type="auto"/>
        <w:tblInd w:w="720" w:type="dxa"/>
        <w:tblLook w:val="04A0" w:firstRow="1" w:lastRow="0" w:firstColumn="1" w:lastColumn="0" w:noHBand="0" w:noVBand="1"/>
      </w:tblPr>
      <w:tblGrid>
        <w:gridCol w:w="2392"/>
        <w:gridCol w:w="2361"/>
        <w:gridCol w:w="2361"/>
        <w:gridCol w:w="2361"/>
      </w:tblGrid>
      <w:tr w:rsidR="002E58F7" w:rsidRPr="002A6CB2" w14:paraId="03B026C8" w14:textId="77777777" w:rsidTr="00B3499D">
        <w:trPr>
          <w:trHeight w:val="789"/>
        </w:trPr>
        <w:tc>
          <w:tcPr>
            <w:tcW w:w="2548" w:type="dxa"/>
            <w:shd w:val="clear" w:color="auto" w:fill="D9D9D9" w:themeFill="background1" w:themeFillShade="D9"/>
          </w:tcPr>
          <w:p w14:paraId="75FE57D7" w14:textId="77777777" w:rsidR="00293884" w:rsidRPr="00DE306B" w:rsidRDefault="00293884" w:rsidP="00B3499D">
            <w:pPr>
              <w:spacing w:after="120"/>
              <w:rPr>
                <w:rFonts w:cs="Arial"/>
                <w:bCs/>
                <w:color w:val="000000"/>
                <w:lang w:eastAsia="en-GB"/>
              </w:rPr>
            </w:pPr>
          </w:p>
        </w:tc>
        <w:tc>
          <w:tcPr>
            <w:tcW w:w="2549" w:type="dxa"/>
            <w:shd w:val="clear" w:color="auto" w:fill="D9D9D9" w:themeFill="background1" w:themeFillShade="D9"/>
          </w:tcPr>
          <w:p w14:paraId="397CD448" w14:textId="77777777" w:rsidR="00293884" w:rsidRPr="00DE306B" w:rsidRDefault="00293884" w:rsidP="00B3499D">
            <w:pPr>
              <w:spacing w:after="120"/>
              <w:rPr>
                <w:rFonts w:cs="Arial"/>
                <w:bCs/>
                <w:color w:val="000000"/>
                <w:lang w:eastAsia="en-GB"/>
              </w:rPr>
            </w:pPr>
            <w:r w:rsidRPr="00DE306B">
              <w:rPr>
                <w:rFonts w:cs="Arial"/>
                <w:bCs/>
                <w:color w:val="000000"/>
                <w:lang w:eastAsia="en-GB"/>
              </w:rPr>
              <w:t>Low estimate</w:t>
            </w:r>
          </w:p>
        </w:tc>
        <w:tc>
          <w:tcPr>
            <w:tcW w:w="2549" w:type="dxa"/>
            <w:shd w:val="clear" w:color="auto" w:fill="D9D9D9" w:themeFill="background1" w:themeFillShade="D9"/>
          </w:tcPr>
          <w:p w14:paraId="04E8ADB2" w14:textId="77777777" w:rsidR="00293884" w:rsidRPr="00DE306B" w:rsidRDefault="00293884" w:rsidP="00B3499D">
            <w:pPr>
              <w:spacing w:after="120"/>
              <w:rPr>
                <w:rFonts w:cs="Arial"/>
                <w:bCs/>
                <w:color w:val="000000"/>
                <w:lang w:eastAsia="en-GB"/>
              </w:rPr>
            </w:pPr>
            <w:r w:rsidRPr="00DE306B">
              <w:rPr>
                <w:rFonts w:cs="Arial"/>
                <w:bCs/>
                <w:color w:val="000000"/>
                <w:lang w:eastAsia="en-GB"/>
              </w:rPr>
              <w:t>Central estimate</w:t>
            </w:r>
          </w:p>
        </w:tc>
        <w:tc>
          <w:tcPr>
            <w:tcW w:w="2549" w:type="dxa"/>
            <w:shd w:val="clear" w:color="auto" w:fill="D9D9D9" w:themeFill="background1" w:themeFillShade="D9"/>
          </w:tcPr>
          <w:p w14:paraId="6D5C297A" w14:textId="77777777" w:rsidR="00293884" w:rsidRPr="00DE306B" w:rsidRDefault="00293884" w:rsidP="00B3499D">
            <w:pPr>
              <w:spacing w:after="120"/>
              <w:rPr>
                <w:rFonts w:cs="Arial"/>
                <w:bCs/>
                <w:color w:val="000000"/>
                <w:lang w:eastAsia="en-GB"/>
              </w:rPr>
            </w:pPr>
            <w:r w:rsidRPr="00DE306B">
              <w:rPr>
                <w:rFonts w:cs="Arial"/>
                <w:bCs/>
                <w:color w:val="000000"/>
                <w:lang w:eastAsia="en-GB"/>
              </w:rPr>
              <w:t>High estimate</w:t>
            </w:r>
          </w:p>
        </w:tc>
      </w:tr>
      <w:tr w:rsidR="002E58F7" w:rsidRPr="002A6CB2" w14:paraId="32A5D3DA" w14:textId="77777777" w:rsidTr="00B3499D">
        <w:tc>
          <w:tcPr>
            <w:tcW w:w="2548" w:type="dxa"/>
          </w:tcPr>
          <w:p w14:paraId="17CC8B12" w14:textId="3C97A2AD" w:rsidR="00293884" w:rsidRPr="00DE306B" w:rsidRDefault="000B7779" w:rsidP="00B3499D">
            <w:pPr>
              <w:spacing w:after="120"/>
              <w:rPr>
                <w:rFonts w:cs="Arial"/>
                <w:bCs/>
                <w:color w:val="000000"/>
                <w:lang w:eastAsia="en-GB"/>
              </w:rPr>
            </w:pPr>
            <w:r>
              <w:rPr>
                <w:rFonts w:cs="Arial"/>
                <w:bCs/>
                <w:color w:val="000000"/>
                <w:lang w:eastAsia="en-GB"/>
              </w:rPr>
              <w:t>ETW</w:t>
            </w:r>
            <w:r w:rsidR="008D09C4">
              <w:rPr>
                <w:rFonts w:cs="Arial"/>
                <w:bCs/>
                <w:color w:val="000000"/>
                <w:lang w:eastAsia="en-GB"/>
              </w:rPr>
              <w:t xml:space="preserve"> budget</w:t>
            </w:r>
          </w:p>
        </w:tc>
        <w:tc>
          <w:tcPr>
            <w:tcW w:w="2549" w:type="dxa"/>
          </w:tcPr>
          <w:p w14:paraId="1CFFDECC" w14:textId="77777777" w:rsidR="00293884" w:rsidRPr="00DE306B" w:rsidRDefault="002E58F7" w:rsidP="00B3499D">
            <w:pPr>
              <w:spacing w:after="120"/>
              <w:jc w:val="center"/>
              <w:rPr>
                <w:rFonts w:cs="Arial"/>
                <w:bCs/>
                <w:color w:val="000000"/>
                <w:lang w:eastAsia="en-GB"/>
              </w:rPr>
            </w:pPr>
            <w:r>
              <w:rPr>
                <w:rFonts w:cs="Arial"/>
                <w:bCs/>
                <w:color w:val="000000"/>
                <w:lang w:eastAsia="en-GB"/>
              </w:rPr>
              <w:t>£322,562</w:t>
            </w:r>
          </w:p>
        </w:tc>
        <w:tc>
          <w:tcPr>
            <w:tcW w:w="2549" w:type="dxa"/>
          </w:tcPr>
          <w:p w14:paraId="1F1306DD" w14:textId="77777777" w:rsidR="00293884" w:rsidRPr="00DE306B" w:rsidRDefault="002E58F7" w:rsidP="00B3499D">
            <w:pPr>
              <w:spacing w:after="120"/>
              <w:jc w:val="center"/>
              <w:rPr>
                <w:rFonts w:cs="Arial"/>
                <w:bCs/>
                <w:color w:val="000000"/>
                <w:lang w:eastAsia="en-GB"/>
              </w:rPr>
            </w:pPr>
            <w:r>
              <w:rPr>
                <w:rFonts w:cs="Arial"/>
                <w:bCs/>
                <w:color w:val="000000"/>
                <w:lang w:eastAsia="en-GB"/>
              </w:rPr>
              <w:t>£322,562</w:t>
            </w:r>
          </w:p>
        </w:tc>
        <w:tc>
          <w:tcPr>
            <w:tcW w:w="2549" w:type="dxa"/>
          </w:tcPr>
          <w:p w14:paraId="37FAFC17" w14:textId="77777777" w:rsidR="00293884" w:rsidRPr="00DE306B" w:rsidRDefault="002E58F7" w:rsidP="00B3499D">
            <w:pPr>
              <w:spacing w:after="120"/>
              <w:jc w:val="center"/>
              <w:rPr>
                <w:rFonts w:cs="Arial"/>
                <w:bCs/>
                <w:color w:val="000000"/>
                <w:lang w:eastAsia="en-GB"/>
              </w:rPr>
            </w:pPr>
            <w:r>
              <w:rPr>
                <w:rFonts w:cs="Arial"/>
                <w:bCs/>
                <w:color w:val="000000"/>
                <w:lang w:eastAsia="en-GB"/>
              </w:rPr>
              <w:t>£322,562</w:t>
            </w:r>
          </w:p>
        </w:tc>
      </w:tr>
      <w:tr w:rsidR="002E58F7" w:rsidRPr="002A6CB2" w14:paraId="487AAAB8" w14:textId="77777777" w:rsidTr="00B3499D">
        <w:tc>
          <w:tcPr>
            <w:tcW w:w="2548" w:type="dxa"/>
          </w:tcPr>
          <w:p w14:paraId="1EBD0F57" w14:textId="77777777" w:rsidR="00293884" w:rsidRPr="00DE306B" w:rsidRDefault="002E58F7" w:rsidP="00B3499D">
            <w:pPr>
              <w:spacing w:after="120"/>
              <w:rPr>
                <w:rFonts w:cs="Arial"/>
                <w:bCs/>
                <w:color w:val="000000"/>
                <w:lang w:eastAsia="en-GB"/>
              </w:rPr>
            </w:pPr>
            <w:r>
              <w:rPr>
                <w:rFonts w:cs="Arial"/>
                <w:bCs/>
                <w:color w:val="000000"/>
                <w:lang w:eastAsia="en-GB"/>
              </w:rPr>
              <w:t>Percentage adjustment</w:t>
            </w:r>
          </w:p>
        </w:tc>
        <w:tc>
          <w:tcPr>
            <w:tcW w:w="2549" w:type="dxa"/>
          </w:tcPr>
          <w:p w14:paraId="56023879" w14:textId="77777777" w:rsidR="00293884" w:rsidRPr="00DE306B" w:rsidRDefault="002E58F7" w:rsidP="00B3499D">
            <w:pPr>
              <w:spacing w:after="120"/>
              <w:jc w:val="center"/>
              <w:rPr>
                <w:rFonts w:cs="Arial"/>
                <w:bCs/>
                <w:color w:val="000000"/>
                <w:lang w:eastAsia="en-GB"/>
              </w:rPr>
            </w:pPr>
            <w:r>
              <w:rPr>
                <w:rFonts w:cs="Arial"/>
                <w:bCs/>
                <w:color w:val="000000"/>
                <w:lang w:eastAsia="en-GB"/>
              </w:rPr>
              <w:t>20%</w:t>
            </w:r>
          </w:p>
        </w:tc>
        <w:tc>
          <w:tcPr>
            <w:tcW w:w="2549" w:type="dxa"/>
          </w:tcPr>
          <w:p w14:paraId="2E3D58D1" w14:textId="77777777" w:rsidR="00293884" w:rsidRPr="00DE306B" w:rsidRDefault="002E58F7" w:rsidP="00B3499D">
            <w:pPr>
              <w:spacing w:after="120"/>
              <w:jc w:val="center"/>
              <w:rPr>
                <w:rFonts w:cs="Arial"/>
                <w:bCs/>
                <w:color w:val="000000"/>
                <w:lang w:eastAsia="en-GB"/>
              </w:rPr>
            </w:pPr>
            <w:r>
              <w:rPr>
                <w:rFonts w:cs="Arial"/>
                <w:bCs/>
                <w:color w:val="000000"/>
                <w:lang w:eastAsia="en-GB"/>
              </w:rPr>
              <w:t>25%</w:t>
            </w:r>
          </w:p>
        </w:tc>
        <w:tc>
          <w:tcPr>
            <w:tcW w:w="2549" w:type="dxa"/>
          </w:tcPr>
          <w:p w14:paraId="0285221F" w14:textId="77777777" w:rsidR="00293884" w:rsidRPr="00DE306B" w:rsidRDefault="002E58F7" w:rsidP="00B3499D">
            <w:pPr>
              <w:spacing w:after="120"/>
              <w:jc w:val="center"/>
              <w:rPr>
                <w:rFonts w:cs="Arial"/>
                <w:bCs/>
                <w:color w:val="000000"/>
                <w:lang w:eastAsia="en-GB"/>
              </w:rPr>
            </w:pPr>
            <w:r>
              <w:rPr>
                <w:rFonts w:cs="Arial"/>
                <w:bCs/>
                <w:color w:val="000000"/>
                <w:lang w:eastAsia="en-GB"/>
              </w:rPr>
              <w:t>30%</w:t>
            </w:r>
          </w:p>
        </w:tc>
      </w:tr>
      <w:tr w:rsidR="002E58F7" w:rsidRPr="002A6CB2" w14:paraId="6A71E253" w14:textId="77777777" w:rsidTr="00B3499D">
        <w:trPr>
          <w:trHeight w:val="543"/>
        </w:trPr>
        <w:tc>
          <w:tcPr>
            <w:tcW w:w="2548" w:type="dxa"/>
          </w:tcPr>
          <w:p w14:paraId="24F43C2D" w14:textId="77777777" w:rsidR="00293884" w:rsidRPr="00DE306B" w:rsidRDefault="00DB09E9" w:rsidP="00B3499D">
            <w:pPr>
              <w:spacing w:after="120"/>
              <w:rPr>
                <w:rFonts w:cs="Arial"/>
                <w:b/>
                <w:bCs/>
                <w:color w:val="000000"/>
                <w:lang w:eastAsia="en-GB"/>
              </w:rPr>
            </w:pPr>
            <w:r>
              <w:rPr>
                <w:rFonts w:cs="Arial"/>
                <w:b/>
                <w:bCs/>
                <w:color w:val="000000"/>
                <w:lang w:eastAsia="en-GB"/>
              </w:rPr>
              <w:t>A</w:t>
            </w:r>
            <w:r w:rsidR="00293884" w:rsidRPr="00DE306B">
              <w:rPr>
                <w:rFonts w:cs="Arial"/>
                <w:b/>
                <w:bCs/>
                <w:color w:val="000000"/>
                <w:lang w:eastAsia="en-GB"/>
              </w:rPr>
              <w:t xml:space="preserve">nnual </w:t>
            </w:r>
            <w:r>
              <w:rPr>
                <w:rFonts w:cs="Arial"/>
                <w:b/>
                <w:bCs/>
                <w:color w:val="000000"/>
                <w:lang w:eastAsia="en-GB"/>
              </w:rPr>
              <w:t xml:space="preserve">additional </w:t>
            </w:r>
            <w:r w:rsidR="00293884" w:rsidRPr="00DE306B">
              <w:rPr>
                <w:rFonts w:cs="Arial"/>
                <w:b/>
                <w:bCs/>
                <w:color w:val="000000"/>
                <w:lang w:eastAsia="en-GB"/>
              </w:rPr>
              <w:t>cost</w:t>
            </w:r>
            <w:r w:rsidR="00293884">
              <w:rPr>
                <w:rStyle w:val="FootnoteReference"/>
                <w:b/>
                <w:bCs/>
                <w:color w:val="000000"/>
                <w:lang w:eastAsia="en-GB"/>
              </w:rPr>
              <w:footnoteReference w:id="32"/>
            </w:r>
          </w:p>
        </w:tc>
        <w:tc>
          <w:tcPr>
            <w:tcW w:w="2549" w:type="dxa"/>
          </w:tcPr>
          <w:p w14:paraId="6C8A53E4" w14:textId="77777777" w:rsidR="00293884" w:rsidRPr="00DE306B" w:rsidRDefault="00293884" w:rsidP="00B3499D">
            <w:pPr>
              <w:spacing w:after="120"/>
              <w:jc w:val="center"/>
              <w:rPr>
                <w:rFonts w:cs="Arial"/>
                <w:b/>
                <w:bCs/>
                <w:color w:val="000000"/>
                <w:lang w:eastAsia="en-GB"/>
              </w:rPr>
            </w:pPr>
            <w:r w:rsidRPr="00DE306B">
              <w:rPr>
                <w:rFonts w:cs="Arial"/>
                <w:b/>
                <w:bCs/>
                <w:color w:val="000000"/>
                <w:lang w:eastAsia="en-GB"/>
              </w:rPr>
              <w:t>£</w:t>
            </w:r>
            <w:r w:rsidR="00DB09E9">
              <w:rPr>
                <w:rFonts w:cs="Arial"/>
                <w:b/>
                <w:bCs/>
                <w:color w:val="000000"/>
                <w:lang w:eastAsia="en-GB"/>
              </w:rPr>
              <w:t>64,500</w:t>
            </w:r>
          </w:p>
        </w:tc>
        <w:tc>
          <w:tcPr>
            <w:tcW w:w="2549" w:type="dxa"/>
          </w:tcPr>
          <w:p w14:paraId="11C13DF4" w14:textId="77777777" w:rsidR="00293884" w:rsidRPr="00DE306B" w:rsidRDefault="00293884" w:rsidP="00B3499D">
            <w:pPr>
              <w:spacing w:after="120"/>
              <w:jc w:val="center"/>
              <w:rPr>
                <w:rFonts w:cs="Arial"/>
                <w:b/>
                <w:bCs/>
                <w:color w:val="000000"/>
                <w:lang w:eastAsia="en-GB"/>
              </w:rPr>
            </w:pPr>
            <w:r w:rsidRPr="00DE306B">
              <w:rPr>
                <w:rFonts w:cs="Arial"/>
                <w:b/>
                <w:bCs/>
                <w:color w:val="000000"/>
                <w:lang w:eastAsia="en-GB"/>
              </w:rPr>
              <w:t>£</w:t>
            </w:r>
            <w:r w:rsidR="002E58F7">
              <w:rPr>
                <w:rFonts w:cs="Arial"/>
                <w:b/>
                <w:bCs/>
                <w:color w:val="000000"/>
                <w:lang w:eastAsia="en-GB"/>
              </w:rPr>
              <w:t>80,6</w:t>
            </w:r>
            <w:r w:rsidR="00DB09E9">
              <w:rPr>
                <w:rFonts w:cs="Arial"/>
                <w:b/>
                <w:bCs/>
                <w:color w:val="000000"/>
                <w:lang w:eastAsia="en-GB"/>
              </w:rPr>
              <w:t>00</w:t>
            </w:r>
          </w:p>
        </w:tc>
        <w:tc>
          <w:tcPr>
            <w:tcW w:w="2549" w:type="dxa"/>
          </w:tcPr>
          <w:p w14:paraId="3D727150" w14:textId="77777777" w:rsidR="00293884" w:rsidRPr="00DE306B" w:rsidRDefault="00293884" w:rsidP="00B3499D">
            <w:pPr>
              <w:spacing w:after="120"/>
              <w:jc w:val="center"/>
              <w:rPr>
                <w:rFonts w:cs="Arial"/>
                <w:b/>
                <w:bCs/>
                <w:color w:val="000000"/>
                <w:lang w:eastAsia="en-GB"/>
              </w:rPr>
            </w:pPr>
            <w:r w:rsidRPr="00DE306B">
              <w:rPr>
                <w:rFonts w:cs="Arial"/>
                <w:b/>
                <w:bCs/>
                <w:color w:val="000000"/>
                <w:lang w:eastAsia="en-GB"/>
              </w:rPr>
              <w:t>£</w:t>
            </w:r>
            <w:r w:rsidR="00DB09E9">
              <w:rPr>
                <w:rFonts w:cs="Arial"/>
                <w:b/>
                <w:bCs/>
                <w:color w:val="000000"/>
                <w:lang w:eastAsia="en-GB"/>
              </w:rPr>
              <w:t>96,800</w:t>
            </w:r>
          </w:p>
        </w:tc>
      </w:tr>
    </w:tbl>
    <w:p w14:paraId="2E04894F" w14:textId="77777777" w:rsidR="00293884" w:rsidRDefault="00293884" w:rsidP="00BA5F1B">
      <w:pPr>
        <w:spacing w:after="240"/>
        <w:ind w:left="720"/>
        <w:rPr>
          <w:rFonts w:cs="Arial"/>
          <w:bCs/>
          <w:color w:val="000000"/>
          <w:lang w:eastAsia="en-GB"/>
        </w:rPr>
      </w:pPr>
    </w:p>
    <w:p w14:paraId="7F14588A" w14:textId="77777777" w:rsidR="00293884" w:rsidRDefault="002E58F7" w:rsidP="00BA5F1B">
      <w:pPr>
        <w:spacing w:after="240"/>
        <w:ind w:left="720"/>
        <w:rPr>
          <w:rFonts w:cs="Arial"/>
          <w:bCs/>
          <w:color w:val="000000"/>
          <w:lang w:eastAsia="en-GB"/>
        </w:rPr>
      </w:pPr>
      <w:r>
        <w:rPr>
          <w:rFonts w:cs="Arial"/>
          <w:bCs/>
          <w:color w:val="000000"/>
          <w:lang w:eastAsia="en-GB"/>
        </w:rPr>
        <w:t>Assumptions:</w:t>
      </w:r>
    </w:p>
    <w:p w14:paraId="4A9592DA" w14:textId="20489693" w:rsidR="002E58F7" w:rsidRDefault="00DB09E9" w:rsidP="002E58F7">
      <w:pPr>
        <w:pStyle w:val="ListParagraph"/>
        <w:numPr>
          <w:ilvl w:val="0"/>
          <w:numId w:val="31"/>
        </w:numPr>
        <w:spacing w:after="240"/>
        <w:rPr>
          <w:rFonts w:cs="Arial"/>
          <w:bCs/>
          <w:color w:val="000000"/>
          <w:lang w:eastAsia="en-GB"/>
        </w:rPr>
      </w:pPr>
      <w:r>
        <w:rPr>
          <w:rFonts w:cs="Arial"/>
          <w:bCs/>
          <w:color w:val="000000"/>
          <w:lang w:eastAsia="en-GB"/>
        </w:rPr>
        <w:t xml:space="preserve">20-30% of </w:t>
      </w:r>
      <w:r w:rsidR="000B7779">
        <w:rPr>
          <w:rFonts w:cs="Arial"/>
          <w:bCs/>
          <w:color w:val="000000"/>
          <w:lang w:eastAsia="en-GB"/>
        </w:rPr>
        <w:t>ETW</w:t>
      </w:r>
      <w:r>
        <w:rPr>
          <w:rFonts w:cs="Arial"/>
          <w:bCs/>
          <w:color w:val="000000"/>
          <w:lang w:eastAsia="en-GB"/>
        </w:rPr>
        <w:t xml:space="preserve"> budget represents the additional cost implications from the increased number of hearing following the absorption of the school exclusion panel.</w:t>
      </w:r>
    </w:p>
    <w:p w14:paraId="672FA49D" w14:textId="77777777" w:rsidR="00ED5140" w:rsidRDefault="00ED5140" w:rsidP="002E58F7">
      <w:pPr>
        <w:pStyle w:val="ListParagraph"/>
        <w:numPr>
          <w:ilvl w:val="0"/>
          <w:numId w:val="31"/>
        </w:numPr>
        <w:spacing w:after="240"/>
        <w:rPr>
          <w:rFonts w:cs="Arial"/>
          <w:bCs/>
          <w:color w:val="000000"/>
          <w:lang w:eastAsia="en-GB"/>
        </w:rPr>
      </w:pPr>
      <w:r>
        <w:rPr>
          <w:rFonts w:cs="Arial"/>
          <w:bCs/>
          <w:color w:val="000000"/>
          <w:lang w:eastAsia="en-GB"/>
        </w:rPr>
        <w:t>Members are paid;</w:t>
      </w:r>
    </w:p>
    <w:p w14:paraId="29CAF8B2" w14:textId="77777777" w:rsidR="00EB4DCB" w:rsidRDefault="00EB4DCB" w:rsidP="002E58F7">
      <w:pPr>
        <w:pStyle w:val="ListParagraph"/>
        <w:numPr>
          <w:ilvl w:val="0"/>
          <w:numId w:val="31"/>
        </w:numPr>
        <w:spacing w:after="240"/>
        <w:rPr>
          <w:rFonts w:cs="Arial"/>
          <w:bCs/>
          <w:color w:val="000000"/>
          <w:lang w:eastAsia="en-GB"/>
        </w:rPr>
      </w:pPr>
      <w:r>
        <w:rPr>
          <w:rFonts w:cs="Arial"/>
          <w:bCs/>
          <w:color w:val="000000"/>
          <w:lang w:eastAsia="en-GB"/>
        </w:rPr>
        <w:t xml:space="preserve">The budget is significantly affected </w:t>
      </w:r>
      <w:r w:rsidR="00670EC7">
        <w:rPr>
          <w:rFonts w:cs="Arial"/>
          <w:bCs/>
          <w:color w:val="000000"/>
          <w:lang w:eastAsia="en-GB"/>
        </w:rPr>
        <w:t>by the number of hearings as staffing costs account for upwards of 80% of the total budget;</w:t>
      </w:r>
    </w:p>
    <w:p w14:paraId="6AB3A073" w14:textId="77777777" w:rsidR="00ED5140" w:rsidRDefault="00ED5140" w:rsidP="002E58F7">
      <w:pPr>
        <w:pStyle w:val="ListParagraph"/>
        <w:numPr>
          <w:ilvl w:val="0"/>
          <w:numId w:val="31"/>
        </w:numPr>
        <w:spacing w:after="240"/>
        <w:rPr>
          <w:rFonts w:cs="Arial"/>
          <w:bCs/>
          <w:color w:val="000000"/>
          <w:lang w:eastAsia="en-GB"/>
        </w:rPr>
      </w:pPr>
      <w:r>
        <w:rPr>
          <w:rFonts w:cs="Arial"/>
          <w:bCs/>
          <w:color w:val="000000"/>
          <w:lang w:eastAsia="en-GB"/>
        </w:rPr>
        <w:t>Premises attract a rental fee.</w:t>
      </w:r>
    </w:p>
    <w:p w14:paraId="081F492D" w14:textId="4BD22FC6" w:rsidR="008A71AA" w:rsidRDefault="008A71AA" w:rsidP="008A71AA">
      <w:pPr>
        <w:spacing w:after="240"/>
        <w:ind w:left="720"/>
        <w:rPr>
          <w:rFonts w:cs="Arial"/>
          <w:bCs/>
          <w:color w:val="000000"/>
          <w:lang w:eastAsia="en-GB"/>
        </w:rPr>
      </w:pPr>
      <w:r>
        <w:t xml:space="preserve">Preliminary cost implications of the </w:t>
      </w:r>
      <w:r w:rsidR="00FE04C1">
        <w:t>creation of a new route of appeal from school admission appeal panels</w:t>
      </w:r>
      <w:r>
        <w:t xml:space="preserve"> suggest a cost in the region of £11</w:t>
      </w:r>
      <w:r w:rsidR="00344AD3">
        <w:t>3</w:t>
      </w:r>
      <w:r>
        <w:t>,000</w:t>
      </w:r>
      <w:r>
        <w:rPr>
          <w:rStyle w:val="FootnoteReference"/>
        </w:rPr>
        <w:footnoteReference w:id="33"/>
      </w:r>
      <w:r>
        <w:t xml:space="preserve"> based on a similar approach applied to school exclusion panels. This is based on a rate of onward appeal of approximately 10% [60 appeals] using the estimate of about 600 school admission appeals per year with each onward appeal taking 4 hours. This is a simplified approach that assumes similarities in time allocations which may be overly optimistic.</w:t>
      </w:r>
    </w:p>
    <w:p w14:paraId="56B47C9B" w14:textId="77777777" w:rsidR="00DB09E9" w:rsidRPr="000B308F" w:rsidRDefault="00DB09E9" w:rsidP="000B308F">
      <w:pPr>
        <w:ind w:left="852"/>
        <w:rPr>
          <w:rFonts w:cs="Arial"/>
          <w:b/>
        </w:rPr>
      </w:pPr>
      <w:r w:rsidRPr="000B308F">
        <w:rPr>
          <w:rFonts w:cs="Arial"/>
          <w:b/>
        </w:rPr>
        <w:t xml:space="preserve">Annual </w:t>
      </w:r>
      <w:r w:rsidR="002452CE">
        <w:rPr>
          <w:rFonts w:cs="Arial"/>
          <w:b/>
        </w:rPr>
        <w:t>costs</w:t>
      </w:r>
      <w:r w:rsidRPr="000B308F">
        <w:rPr>
          <w:rFonts w:cs="Arial"/>
          <w:b/>
        </w:rPr>
        <w:t xml:space="preserve"> =   £</w:t>
      </w:r>
      <w:r w:rsidR="00213E7A">
        <w:rPr>
          <w:rFonts w:cs="Arial"/>
          <w:b/>
        </w:rPr>
        <w:t>193,2</w:t>
      </w:r>
      <w:r>
        <w:rPr>
          <w:rFonts w:cs="Arial"/>
          <w:b/>
        </w:rPr>
        <w:t>00</w:t>
      </w:r>
      <w:r w:rsidRPr="000B308F">
        <w:rPr>
          <w:rFonts w:cs="Arial"/>
          <w:b/>
        </w:rPr>
        <w:t xml:space="preserve"> [central estimate]</w:t>
      </w:r>
    </w:p>
    <w:p w14:paraId="651D39FF" w14:textId="77777777" w:rsidR="00DB09E9" w:rsidRPr="000B308F" w:rsidRDefault="00DB09E9" w:rsidP="000B308F">
      <w:pPr>
        <w:ind w:left="852"/>
        <w:rPr>
          <w:rFonts w:cs="Arial"/>
          <w:b/>
        </w:rPr>
      </w:pPr>
    </w:p>
    <w:p w14:paraId="2D46D6DC" w14:textId="77777777" w:rsidR="00DB09E9" w:rsidRPr="000B308F" w:rsidRDefault="00DB09E9" w:rsidP="000B308F">
      <w:pPr>
        <w:ind w:left="852"/>
        <w:rPr>
          <w:rFonts w:cs="Arial"/>
          <w:b/>
        </w:rPr>
      </w:pPr>
      <w:r w:rsidRPr="000B308F">
        <w:rPr>
          <w:rFonts w:cs="Arial"/>
          <w:b/>
        </w:rPr>
        <w:t xml:space="preserve">Present value over 10 years = </w:t>
      </w:r>
      <w:r w:rsidR="001115BB">
        <w:rPr>
          <w:rFonts w:cs="Arial"/>
          <w:b/>
        </w:rPr>
        <w:t>£</w:t>
      </w:r>
      <w:r w:rsidR="00213E7A">
        <w:rPr>
          <w:rFonts w:cs="Arial"/>
          <w:b/>
        </w:rPr>
        <w:t>1.61</w:t>
      </w:r>
      <w:r w:rsidR="001A6A92">
        <w:rPr>
          <w:rFonts w:cs="Arial"/>
          <w:b/>
        </w:rPr>
        <w:t xml:space="preserve"> </w:t>
      </w:r>
      <w:r w:rsidR="002452CE">
        <w:rPr>
          <w:rFonts w:cs="Arial"/>
          <w:b/>
        </w:rPr>
        <w:t>million [</w:t>
      </w:r>
      <w:r w:rsidRPr="000B308F">
        <w:rPr>
          <w:rFonts w:cs="Arial"/>
          <w:b/>
        </w:rPr>
        <w:t>central estimate]</w:t>
      </w:r>
    </w:p>
    <w:p w14:paraId="11AD8CFE" w14:textId="77777777" w:rsidR="00293884" w:rsidRDefault="00293884" w:rsidP="00BA5F1B">
      <w:pPr>
        <w:spacing w:after="240"/>
        <w:ind w:left="720"/>
        <w:rPr>
          <w:rFonts w:cs="Arial"/>
          <w:bCs/>
          <w:color w:val="000000"/>
          <w:lang w:eastAsia="en-GB"/>
        </w:rPr>
      </w:pPr>
    </w:p>
    <w:p w14:paraId="4A06A24C" w14:textId="77777777" w:rsidR="00CF6E18" w:rsidRPr="000B308F" w:rsidRDefault="0005305F" w:rsidP="000B308F">
      <w:pPr>
        <w:spacing w:after="240"/>
        <w:ind w:left="720"/>
        <w:rPr>
          <w:rFonts w:cs="Arial"/>
          <w:bCs/>
          <w:color w:val="000000"/>
          <w:lang w:eastAsia="en-GB"/>
        </w:rPr>
      </w:pPr>
      <w:r>
        <w:rPr>
          <w:rFonts w:cs="Arial"/>
          <w:bCs/>
          <w:color w:val="000000"/>
          <w:lang w:eastAsia="en-GB"/>
        </w:rPr>
        <w:t>7</w:t>
      </w:r>
      <w:r w:rsidR="00CF6E18" w:rsidRPr="000B308F">
        <w:rPr>
          <w:rFonts w:cs="Arial"/>
          <w:bCs/>
          <w:color w:val="000000"/>
          <w:lang w:eastAsia="en-GB"/>
        </w:rPr>
        <w:t xml:space="preserve">. </w:t>
      </w:r>
      <w:r w:rsidR="00CF6E18" w:rsidRPr="000B308F">
        <w:rPr>
          <w:rFonts w:cs="Arial"/>
          <w:bCs/>
          <w:color w:val="000000"/>
          <w:u w:val="single"/>
          <w:lang w:eastAsia="en-GB"/>
        </w:rPr>
        <w:t xml:space="preserve">Inclusion of the </w:t>
      </w:r>
      <w:r w:rsidR="00C25BE0">
        <w:rPr>
          <w:rFonts w:cs="Arial"/>
          <w:bCs/>
          <w:color w:val="000000"/>
          <w:u w:val="single"/>
          <w:lang w:eastAsia="en-GB"/>
        </w:rPr>
        <w:t>Valuation Tribunal for Wales</w:t>
      </w:r>
    </w:p>
    <w:p w14:paraId="7B8D1605" w14:textId="5C1FD253" w:rsidR="00CF6E18" w:rsidRDefault="003C2889" w:rsidP="00BA5F1B">
      <w:pPr>
        <w:spacing w:after="240"/>
        <w:ind w:left="720"/>
        <w:rPr>
          <w:rFonts w:cs="Arial"/>
          <w:bCs/>
          <w:color w:val="000000"/>
          <w:lang w:eastAsia="en-GB"/>
        </w:rPr>
      </w:pPr>
      <w:r>
        <w:rPr>
          <w:rFonts w:cs="Arial"/>
          <w:bCs/>
          <w:color w:val="000000"/>
          <w:lang w:eastAsia="en-GB"/>
        </w:rPr>
        <w:t>Panels of the</w:t>
      </w:r>
      <w:r w:rsidR="00025C49">
        <w:rPr>
          <w:rFonts w:cs="Arial"/>
          <w:bCs/>
          <w:color w:val="000000"/>
          <w:lang w:eastAsia="en-GB"/>
        </w:rPr>
        <w:t xml:space="preserve"> </w:t>
      </w:r>
      <w:r w:rsidR="00C25BE0">
        <w:rPr>
          <w:rFonts w:cs="Arial"/>
          <w:bCs/>
          <w:color w:val="000000"/>
          <w:lang w:eastAsia="en-GB"/>
        </w:rPr>
        <w:t>Valuation Tribunal for Wales</w:t>
      </w:r>
      <w:r w:rsidR="00025C49">
        <w:rPr>
          <w:rFonts w:cs="Arial"/>
          <w:bCs/>
          <w:color w:val="000000"/>
          <w:lang w:eastAsia="en-GB"/>
        </w:rPr>
        <w:t xml:space="preserve"> </w:t>
      </w:r>
      <w:r>
        <w:rPr>
          <w:rFonts w:cs="Arial"/>
          <w:bCs/>
          <w:color w:val="000000"/>
          <w:lang w:eastAsia="en-GB"/>
        </w:rPr>
        <w:t>are currently made up of</w:t>
      </w:r>
      <w:r w:rsidR="00CF6E18" w:rsidRPr="000B308F">
        <w:rPr>
          <w:rFonts w:cs="Arial"/>
          <w:bCs/>
          <w:color w:val="000000"/>
          <w:lang w:eastAsia="en-GB"/>
        </w:rPr>
        <w:t xml:space="preserve"> volunteers </w:t>
      </w:r>
      <w:r w:rsidR="00025C49">
        <w:rPr>
          <w:rFonts w:cs="Arial"/>
          <w:bCs/>
          <w:color w:val="000000"/>
          <w:lang w:eastAsia="en-GB"/>
        </w:rPr>
        <w:t>who receive expenses</w:t>
      </w:r>
      <w:r>
        <w:rPr>
          <w:rFonts w:cs="Arial"/>
          <w:bCs/>
          <w:color w:val="000000"/>
          <w:lang w:eastAsia="en-GB"/>
        </w:rPr>
        <w:t>, and are advised by a specialist clerk. This is</w:t>
      </w:r>
      <w:r w:rsidR="008E130B">
        <w:rPr>
          <w:rFonts w:cs="Arial"/>
          <w:bCs/>
          <w:color w:val="000000"/>
          <w:lang w:eastAsia="en-GB"/>
        </w:rPr>
        <w:t xml:space="preserve"> </w:t>
      </w:r>
      <w:r w:rsidR="00CF6E18" w:rsidRPr="000B308F">
        <w:rPr>
          <w:rFonts w:cs="Arial"/>
          <w:bCs/>
          <w:color w:val="000000"/>
          <w:lang w:eastAsia="en-GB"/>
        </w:rPr>
        <w:t>unlike other</w:t>
      </w:r>
      <w:r w:rsidR="00DF0C53">
        <w:rPr>
          <w:rFonts w:cs="Arial"/>
          <w:bCs/>
          <w:color w:val="000000"/>
          <w:lang w:eastAsia="en-GB"/>
        </w:rPr>
        <w:t xml:space="preserve"> lay</w:t>
      </w:r>
      <w:r w:rsidR="00CF6E18" w:rsidRPr="000B308F">
        <w:rPr>
          <w:rFonts w:cs="Arial"/>
          <w:bCs/>
          <w:color w:val="000000"/>
          <w:lang w:eastAsia="en-GB"/>
        </w:rPr>
        <w:t xml:space="preserve"> tribunal members </w:t>
      </w:r>
      <w:r w:rsidR="008E130B">
        <w:rPr>
          <w:rFonts w:cs="Arial"/>
          <w:bCs/>
          <w:color w:val="000000"/>
          <w:lang w:eastAsia="en-GB"/>
        </w:rPr>
        <w:t>included within the Welsh Tribunal system</w:t>
      </w:r>
      <w:r>
        <w:rPr>
          <w:rFonts w:cs="Arial"/>
          <w:bCs/>
          <w:color w:val="000000"/>
          <w:lang w:eastAsia="en-GB"/>
        </w:rPr>
        <w:t>,</w:t>
      </w:r>
      <w:r w:rsidR="008E130B">
        <w:rPr>
          <w:rFonts w:cs="Arial"/>
          <w:bCs/>
          <w:color w:val="000000"/>
          <w:lang w:eastAsia="en-GB"/>
        </w:rPr>
        <w:t xml:space="preserve"> </w:t>
      </w:r>
      <w:r w:rsidR="00111A41">
        <w:rPr>
          <w:rFonts w:cs="Arial"/>
          <w:bCs/>
          <w:color w:val="000000"/>
          <w:lang w:eastAsia="en-GB"/>
        </w:rPr>
        <w:t>who</w:t>
      </w:r>
      <w:r w:rsidR="00CF6E18" w:rsidRPr="000B308F">
        <w:rPr>
          <w:rFonts w:cs="Arial"/>
          <w:bCs/>
          <w:color w:val="000000"/>
          <w:lang w:eastAsia="en-GB"/>
        </w:rPr>
        <w:t xml:space="preserve"> receive a fee </w:t>
      </w:r>
      <w:r w:rsidR="00670EC7">
        <w:rPr>
          <w:rFonts w:cs="Arial"/>
          <w:bCs/>
          <w:color w:val="000000"/>
          <w:lang w:eastAsia="en-GB"/>
        </w:rPr>
        <w:t>as set out in table 3</w:t>
      </w:r>
      <w:r w:rsidR="00CF6E18" w:rsidRPr="000B308F">
        <w:rPr>
          <w:rFonts w:cs="Arial"/>
          <w:bCs/>
          <w:color w:val="000000"/>
          <w:lang w:eastAsia="en-GB"/>
        </w:rPr>
        <w:t xml:space="preserve">. </w:t>
      </w:r>
      <w:r w:rsidR="00FB0CEE">
        <w:rPr>
          <w:rFonts w:cs="Arial"/>
          <w:bCs/>
          <w:color w:val="000000"/>
          <w:lang w:eastAsia="en-GB"/>
        </w:rPr>
        <w:t>T</w:t>
      </w:r>
      <w:r w:rsidR="00CF6E18" w:rsidRPr="000B308F">
        <w:rPr>
          <w:rFonts w:cs="Arial"/>
          <w:bCs/>
          <w:color w:val="000000"/>
          <w:lang w:eastAsia="en-GB"/>
        </w:rPr>
        <w:t>he parallel body in England also has unpaid members who receive expenses only.</w:t>
      </w:r>
      <w:r w:rsidR="00FB0CEE">
        <w:rPr>
          <w:rFonts w:cs="Arial"/>
          <w:bCs/>
          <w:color w:val="000000"/>
          <w:lang w:eastAsia="en-GB"/>
        </w:rPr>
        <w:t xml:space="preserve"> </w:t>
      </w:r>
      <w:r w:rsidR="00B30A5D">
        <w:rPr>
          <w:rFonts w:cs="Arial"/>
          <w:bCs/>
          <w:color w:val="000000"/>
          <w:lang w:eastAsia="en-GB"/>
        </w:rPr>
        <w:t xml:space="preserve">While our </w:t>
      </w:r>
      <w:r w:rsidR="002578D1">
        <w:rPr>
          <w:rFonts w:cs="Arial"/>
          <w:bCs/>
          <w:color w:val="000000"/>
          <w:lang w:eastAsia="en-GB"/>
        </w:rPr>
        <w:t>final report recommends</w:t>
      </w:r>
      <w:r w:rsidR="00B30A5D">
        <w:rPr>
          <w:rFonts w:cs="Arial"/>
          <w:bCs/>
          <w:color w:val="000000"/>
          <w:lang w:eastAsia="en-GB"/>
        </w:rPr>
        <w:t xml:space="preserve"> including the Valuation Tribunal for Wales within a unified tribunal it does not express a view on what model of adjudication the tribunal should adopt in </w:t>
      </w:r>
      <w:r w:rsidR="00F9634D">
        <w:rPr>
          <w:rFonts w:cs="Arial"/>
          <w:bCs/>
          <w:color w:val="000000"/>
          <w:lang w:eastAsia="en-GB"/>
        </w:rPr>
        <w:t>future. Table</w:t>
      </w:r>
      <w:r w:rsidR="008E130B">
        <w:rPr>
          <w:rFonts w:cs="Arial"/>
          <w:bCs/>
          <w:color w:val="000000"/>
          <w:lang w:eastAsia="en-GB"/>
        </w:rPr>
        <w:t xml:space="preserve"> </w:t>
      </w:r>
      <w:r w:rsidR="0045151F">
        <w:rPr>
          <w:rFonts w:cs="Arial"/>
          <w:bCs/>
          <w:color w:val="000000"/>
          <w:lang w:eastAsia="en-GB"/>
        </w:rPr>
        <w:t>8</w:t>
      </w:r>
      <w:r w:rsidR="008E130B">
        <w:rPr>
          <w:rFonts w:cs="Arial"/>
          <w:bCs/>
          <w:color w:val="000000"/>
          <w:lang w:eastAsia="en-GB"/>
        </w:rPr>
        <w:t xml:space="preserve"> below </w:t>
      </w:r>
      <w:r w:rsidR="00B30A5D">
        <w:rPr>
          <w:rFonts w:cs="Arial"/>
          <w:bCs/>
          <w:color w:val="000000"/>
          <w:lang w:eastAsia="en-GB"/>
        </w:rPr>
        <w:t xml:space="preserve">therefore </w:t>
      </w:r>
      <w:r w:rsidR="008E130B">
        <w:rPr>
          <w:rFonts w:cs="Arial"/>
          <w:bCs/>
          <w:color w:val="000000"/>
          <w:lang w:eastAsia="en-GB"/>
        </w:rPr>
        <w:t>outlin</w:t>
      </w:r>
      <w:r w:rsidR="00B30A5D">
        <w:rPr>
          <w:rFonts w:cs="Arial"/>
          <w:bCs/>
          <w:color w:val="000000"/>
          <w:lang w:eastAsia="en-GB"/>
        </w:rPr>
        <w:t>es</w:t>
      </w:r>
      <w:r w:rsidR="008E130B">
        <w:rPr>
          <w:rFonts w:cs="Arial"/>
          <w:bCs/>
          <w:color w:val="000000"/>
          <w:lang w:eastAsia="en-GB"/>
        </w:rPr>
        <w:t xml:space="preserve"> the cost implications</w:t>
      </w:r>
      <w:r w:rsidR="00025C49">
        <w:rPr>
          <w:rFonts w:cs="Arial"/>
          <w:bCs/>
          <w:color w:val="000000"/>
          <w:lang w:eastAsia="en-GB"/>
        </w:rPr>
        <w:t xml:space="preserve"> of different payment structures from</w:t>
      </w:r>
      <w:r w:rsidR="008E130B">
        <w:rPr>
          <w:rFonts w:cs="Arial"/>
          <w:bCs/>
          <w:color w:val="000000"/>
          <w:lang w:eastAsia="en-GB"/>
        </w:rPr>
        <w:t xml:space="preserve"> maintaining a voluntary arrangement through to the </w:t>
      </w:r>
      <w:r w:rsidR="00B30A5D">
        <w:rPr>
          <w:rFonts w:cs="Arial"/>
          <w:bCs/>
          <w:color w:val="000000"/>
          <w:lang w:eastAsia="en-GB"/>
        </w:rPr>
        <w:t>introduction of a fee-paid legal chair and lay members</w:t>
      </w:r>
      <w:r w:rsidR="008E130B">
        <w:rPr>
          <w:rFonts w:cs="Arial"/>
          <w:bCs/>
          <w:color w:val="000000"/>
          <w:lang w:eastAsia="en-GB"/>
        </w:rPr>
        <w:t>.</w:t>
      </w:r>
    </w:p>
    <w:p w14:paraId="6E92CAE7" w14:textId="504F8F71" w:rsidR="005C04A4" w:rsidRPr="000B308F" w:rsidRDefault="005C04A4" w:rsidP="006977F9">
      <w:pPr>
        <w:spacing w:after="120"/>
        <w:ind w:left="720"/>
        <w:rPr>
          <w:rFonts w:cs="Arial"/>
          <w:bCs/>
          <w:color w:val="000000"/>
          <w:lang w:eastAsia="en-GB"/>
        </w:rPr>
      </w:pPr>
      <w:r w:rsidRPr="000B308F">
        <w:rPr>
          <w:rFonts w:cs="Arial"/>
          <w:bCs/>
          <w:color w:val="000000"/>
          <w:lang w:eastAsia="en-GB"/>
        </w:rPr>
        <w:tab/>
        <w:t>Table</w:t>
      </w:r>
      <w:r w:rsidR="008E130B">
        <w:rPr>
          <w:rFonts w:cs="Arial"/>
          <w:bCs/>
          <w:color w:val="000000"/>
          <w:lang w:eastAsia="en-GB"/>
        </w:rPr>
        <w:t xml:space="preserve"> </w:t>
      </w:r>
      <w:r w:rsidR="00650361">
        <w:rPr>
          <w:rFonts w:cs="Arial"/>
          <w:bCs/>
          <w:color w:val="000000"/>
          <w:lang w:eastAsia="en-GB"/>
        </w:rPr>
        <w:t>8</w:t>
      </w:r>
      <w:r w:rsidRPr="000B308F">
        <w:rPr>
          <w:rFonts w:cs="Arial"/>
          <w:bCs/>
          <w:color w:val="000000"/>
          <w:lang w:eastAsia="en-GB"/>
        </w:rPr>
        <w:t xml:space="preserve">: </w:t>
      </w:r>
      <w:r w:rsidR="00044129">
        <w:rPr>
          <w:rFonts w:cs="Arial"/>
          <w:bCs/>
          <w:color w:val="000000"/>
          <w:lang w:eastAsia="en-GB"/>
        </w:rPr>
        <w:t>Fees</w:t>
      </w:r>
      <w:r w:rsidR="007F3A2D">
        <w:rPr>
          <w:rFonts w:cs="Arial"/>
          <w:bCs/>
          <w:color w:val="000000"/>
          <w:lang w:eastAsia="en-GB"/>
        </w:rPr>
        <w:t xml:space="preserve"> paid to </w:t>
      </w:r>
      <w:r w:rsidR="00C25BE0">
        <w:rPr>
          <w:rFonts w:cs="Arial"/>
          <w:bCs/>
          <w:color w:val="000000"/>
          <w:lang w:eastAsia="en-GB"/>
        </w:rPr>
        <w:t>Valuation Tribunal for Wales</w:t>
      </w:r>
      <w:r w:rsidR="00B42656">
        <w:rPr>
          <w:rFonts w:cs="Arial"/>
          <w:bCs/>
          <w:color w:val="000000"/>
          <w:lang w:eastAsia="en-GB"/>
        </w:rPr>
        <w:t xml:space="preserve"> </w:t>
      </w:r>
      <w:r w:rsidR="007F3A2D">
        <w:rPr>
          <w:rFonts w:cs="Arial"/>
          <w:bCs/>
          <w:color w:val="000000"/>
          <w:lang w:eastAsia="en-GB"/>
        </w:rPr>
        <w:t xml:space="preserve">members </w:t>
      </w:r>
      <w:r w:rsidRPr="000B308F">
        <w:rPr>
          <w:rFonts w:cs="Arial"/>
          <w:bCs/>
          <w:color w:val="000000"/>
          <w:lang w:eastAsia="en-GB"/>
        </w:rPr>
        <w:t xml:space="preserve">within </w:t>
      </w:r>
      <w:r w:rsidR="00B42656">
        <w:rPr>
          <w:rFonts w:cs="Arial"/>
          <w:bCs/>
          <w:color w:val="000000"/>
          <w:lang w:eastAsia="en-GB"/>
        </w:rPr>
        <w:t>u</w:t>
      </w:r>
      <w:r w:rsidRPr="000B308F">
        <w:rPr>
          <w:rFonts w:cs="Arial"/>
          <w:bCs/>
          <w:color w:val="000000"/>
          <w:lang w:eastAsia="en-GB"/>
        </w:rPr>
        <w:t>nified system</w:t>
      </w:r>
    </w:p>
    <w:tbl>
      <w:tblPr>
        <w:tblStyle w:val="TableGrid"/>
        <w:tblW w:w="0" w:type="auto"/>
        <w:tblInd w:w="720" w:type="dxa"/>
        <w:tblLook w:val="04A0" w:firstRow="1" w:lastRow="0" w:firstColumn="1" w:lastColumn="0" w:noHBand="0" w:noVBand="1"/>
      </w:tblPr>
      <w:tblGrid>
        <w:gridCol w:w="2388"/>
        <w:gridCol w:w="2358"/>
        <w:gridCol w:w="2358"/>
        <w:gridCol w:w="2371"/>
      </w:tblGrid>
      <w:tr w:rsidR="005C04A4" w:rsidRPr="002A6CB2" w14:paraId="19CF66DB" w14:textId="77777777" w:rsidTr="000B308F">
        <w:trPr>
          <w:trHeight w:val="789"/>
        </w:trPr>
        <w:tc>
          <w:tcPr>
            <w:tcW w:w="2548" w:type="dxa"/>
            <w:shd w:val="clear" w:color="auto" w:fill="D9D9D9" w:themeFill="background1" w:themeFillShade="D9"/>
          </w:tcPr>
          <w:p w14:paraId="107F0153" w14:textId="77777777" w:rsidR="005C04A4" w:rsidRPr="000B308F" w:rsidRDefault="005C04A4" w:rsidP="006977F9">
            <w:pPr>
              <w:spacing w:after="120"/>
              <w:rPr>
                <w:rFonts w:cs="Arial"/>
                <w:bCs/>
                <w:color w:val="000000"/>
                <w:lang w:eastAsia="en-GB"/>
              </w:rPr>
            </w:pPr>
          </w:p>
        </w:tc>
        <w:tc>
          <w:tcPr>
            <w:tcW w:w="2549" w:type="dxa"/>
            <w:shd w:val="clear" w:color="auto" w:fill="D9D9D9" w:themeFill="background1" w:themeFillShade="D9"/>
          </w:tcPr>
          <w:p w14:paraId="736274F0" w14:textId="77777777" w:rsidR="005C04A4" w:rsidRPr="000B308F" w:rsidRDefault="005C04A4" w:rsidP="006977F9">
            <w:pPr>
              <w:spacing w:after="120"/>
              <w:rPr>
                <w:rFonts w:cs="Arial"/>
                <w:bCs/>
                <w:color w:val="000000"/>
                <w:lang w:eastAsia="en-GB"/>
              </w:rPr>
            </w:pPr>
            <w:r w:rsidRPr="000B308F">
              <w:rPr>
                <w:rFonts w:cs="Arial"/>
                <w:bCs/>
                <w:color w:val="000000"/>
                <w:lang w:eastAsia="en-GB"/>
              </w:rPr>
              <w:t>Low estimate</w:t>
            </w:r>
          </w:p>
        </w:tc>
        <w:tc>
          <w:tcPr>
            <w:tcW w:w="2549" w:type="dxa"/>
            <w:shd w:val="clear" w:color="auto" w:fill="D9D9D9" w:themeFill="background1" w:themeFillShade="D9"/>
          </w:tcPr>
          <w:p w14:paraId="232D0656" w14:textId="77777777" w:rsidR="005C04A4" w:rsidRPr="000B308F" w:rsidRDefault="005C04A4" w:rsidP="006977F9">
            <w:pPr>
              <w:spacing w:after="120"/>
              <w:rPr>
                <w:rFonts w:cs="Arial"/>
                <w:bCs/>
                <w:color w:val="000000"/>
                <w:lang w:eastAsia="en-GB"/>
              </w:rPr>
            </w:pPr>
            <w:r w:rsidRPr="000B308F">
              <w:rPr>
                <w:rFonts w:cs="Arial"/>
                <w:bCs/>
                <w:color w:val="000000"/>
                <w:lang w:eastAsia="en-GB"/>
              </w:rPr>
              <w:t>Central estimate</w:t>
            </w:r>
          </w:p>
        </w:tc>
        <w:tc>
          <w:tcPr>
            <w:tcW w:w="2549" w:type="dxa"/>
            <w:shd w:val="clear" w:color="auto" w:fill="D9D9D9" w:themeFill="background1" w:themeFillShade="D9"/>
          </w:tcPr>
          <w:p w14:paraId="1158E17E" w14:textId="77777777" w:rsidR="005C04A4" w:rsidRPr="000B308F" w:rsidRDefault="005C04A4" w:rsidP="006977F9">
            <w:pPr>
              <w:spacing w:after="120"/>
              <w:rPr>
                <w:rFonts w:cs="Arial"/>
                <w:bCs/>
                <w:color w:val="000000"/>
                <w:lang w:eastAsia="en-GB"/>
              </w:rPr>
            </w:pPr>
            <w:r w:rsidRPr="000B308F">
              <w:rPr>
                <w:rFonts w:cs="Arial"/>
                <w:bCs/>
                <w:color w:val="000000"/>
                <w:lang w:eastAsia="en-GB"/>
              </w:rPr>
              <w:t>High estimate</w:t>
            </w:r>
          </w:p>
        </w:tc>
      </w:tr>
      <w:tr w:rsidR="005C04A4" w:rsidRPr="002A6CB2" w14:paraId="16707AF9" w14:textId="77777777" w:rsidTr="005C04A4">
        <w:tc>
          <w:tcPr>
            <w:tcW w:w="2548" w:type="dxa"/>
          </w:tcPr>
          <w:p w14:paraId="44A9AF5B" w14:textId="77777777" w:rsidR="005C04A4" w:rsidRPr="000B308F" w:rsidRDefault="00B42656" w:rsidP="006977F9">
            <w:pPr>
              <w:spacing w:after="120"/>
              <w:rPr>
                <w:rFonts w:cs="Arial"/>
                <w:bCs/>
                <w:color w:val="000000"/>
                <w:lang w:eastAsia="en-GB"/>
              </w:rPr>
            </w:pPr>
            <w:r>
              <w:rPr>
                <w:rFonts w:cs="Arial"/>
                <w:bCs/>
                <w:color w:val="000000"/>
                <w:lang w:eastAsia="en-GB"/>
              </w:rPr>
              <w:t>Number of tribunal meetings</w:t>
            </w:r>
            <w:r w:rsidR="007F3A2D">
              <w:rPr>
                <w:rStyle w:val="FootnoteReference"/>
                <w:bCs/>
                <w:color w:val="000000"/>
                <w:lang w:eastAsia="en-GB"/>
              </w:rPr>
              <w:footnoteReference w:id="34"/>
            </w:r>
          </w:p>
        </w:tc>
        <w:tc>
          <w:tcPr>
            <w:tcW w:w="2549" w:type="dxa"/>
          </w:tcPr>
          <w:p w14:paraId="2535FE9D" w14:textId="77777777" w:rsidR="005C04A4" w:rsidRPr="000B308F" w:rsidRDefault="00B42656" w:rsidP="000B308F">
            <w:pPr>
              <w:spacing w:after="120"/>
              <w:jc w:val="center"/>
              <w:rPr>
                <w:rFonts w:cs="Arial"/>
                <w:bCs/>
                <w:color w:val="000000"/>
                <w:lang w:eastAsia="en-GB"/>
              </w:rPr>
            </w:pPr>
            <w:r>
              <w:rPr>
                <w:rFonts w:cs="Arial"/>
                <w:bCs/>
                <w:color w:val="000000"/>
                <w:lang w:eastAsia="en-GB"/>
              </w:rPr>
              <w:t>154</w:t>
            </w:r>
          </w:p>
        </w:tc>
        <w:tc>
          <w:tcPr>
            <w:tcW w:w="2549" w:type="dxa"/>
          </w:tcPr>
          <w:p w14:paraId="23758F6C" w14:textId="77777777" w:rsidR="005C04A4" w:rsidRPr="000B308F" w:rsidRDefault="00B42656" w:rsidP="000B308F">
            <w:pPr>
              <w:spacing w:after="120"/>
              <w:jc w:val="center"/>
              <w:rPr>
                <w:rFonts w:cs="Arial"/>
                <w:bCs/>
                <w:color w:val="000000"/>
                <w:lang w:eastAsia="en-GB"/>
              </w:rPr>
            </w:pPr>
            <w:r>
              <w:rPr>
                <w:rFonts w:cs="Arial"/>
                <w:bCs/>
                <w:color w:val="000000"/>
                <w:lang w:eastAsia="en-GB"/>
              </w:rPr>
              <w:t>181</w:t>
            </w:r>
          </w:p>
        </w:tc>
        <w:tc>
          <w:tcPr>
            <w:tcW w:w="2549" w:type="dxa"/>
          </w:tcPr>
          <w:p w14:paraId="700BF986" w14:textId="77777777" w:rsidR="005C04A4" w:rsidRPr="000B308F" w:rsidRDefault="00B42656" w:rsidP="000B308F">
            <w:pPr>
              <w:spacing w:after="120"/>
              <w:jc w:val="center"/>
              <w:rPr>
                <w:rFonts w:cs="Arial"/>
                <w:bCs/>
                <w:color w:val="000000"/>
                <w:lang w:eastAsia="en-GB"/>
              </w:rPr>
            </w:pPr>
            <w:r>
              <w:rPr>
                <w:rFonts w:cs="Arial"/>
                <w:bCs/>
                <w:color w:val="000000"/>
                <w:lang w:eastAsia="en-GB"/>
              </w:rPr>
              <w:t>209</w:t>
            </w:r>
          </w:p>
        </w:tc>
      </w:tr>
      <w:tr w:rsidR="005C04A4" w:rsidRPr="002A6CB2" w14:paraId="60B9610F" w14:textId="77777777" w:rsidTr="005C04A4">
        <w:tc>
          <w:tcPr>
            <w:tcW w:w="2548" w:type="dxa"/>
          </w:tcPr>
          <w:p w14:paraId="742A6E82" w14:textId="77777777" w:rsidR="005C04A4" w:rsidRPr="000B308F" w:rsidRDefault="005C04A4" w:rsidP="006977F9">
            <w:pPr>
              <w:spacing w:after="120"/>
              <w:rPr>
                <w:rFonts w:cs="Arial"/>
                <w:bCs/>
                <w:color w:val="000000"/>
                <w:lang w:eastAsia="en-GB"/>
              </w:rPr>
            </w:pPr>
            <w:r w:rsidRPr="000B308F">
              <w:rPr>
                <w:rFonts w:cs="Arial"/>
                <w:bCs/>
                <w:color w:val="000000"/>
                <w:lang w:eastAsia="en-GB"/>
              </w:rPr>
              <w:t xml:space="preserve">Average </w:t>
            </w:r>
            <w:r w:rsidR="00B42656">
              <w:rPr>
                <w:rFonts w:cs="Arial"/>
                <w:bCs/>
                <w:color w:val="000000"/>
                <w:lang w:eastAsia="en-GB"/>
              </w:rPr>
              <w:t xml:space="preserve">daily </w:t>
            </w:r>
            <w:r w:rsidRPr="000B308F">
              <w:rPr>
                <w:rFonts w:cs="Arial"/>
                <w:bCs/>
                <w:color w:val="000000"/>
                <w:lang w:eastAsia="en-GB"/>
              </w:rPr>
              <w:t>fee</w:t>
            </w:r>
            <w:r w:rsidR="006D177F">
              <w:rPr>
                <w:rStyle w:val="FootnoteReference"/>
                <w:bCs/>
                <w:color w:val="000000"/>
                <w:lang w:eastAsia="en-GB"/>
              </w:rPr>
              <w:footnoteReference w:id="35"/>
            </w:r>
          </w:p>
        </w:tc>
        <w:tc>
          <w:tcPr>
            <w:tcW w:w="2549" w:type="dxa"/>
          </w:tcPr>
          <w:p w14:paraId="5F0C24D0" w14:textId="77777777" w:rsidR="005C04A4" w:rsidRPr="000B308F" w:rsidRDefault="005C04A4" w:rsidP="000B308F">
            <w:pPr>
              <w:spacing w:after="120"/>
              <w:jc w:val="center"/>
              <w:rPr>
                <w:rFonts w:cs="Arial"/>
                <w:bCs/>
                <w:color w:val="000000"/>
                <w:lang w:eastAsia="en-GB"/>
              </w:rPr>
            </w:pPr>
            <w:r w:rsidRPr="000B308F">
              <w:rPr>
                <w:rFonts w:cs="Arial"/>
                <w:bCs/>
                <w:color w:val="000000"/>
                <w:lang w:eastAsia="en-GB"/>
              </w:rPr>
              <w:t>£0</w:t>
            </w:r>
          </w:p>
        </w:tc>
        <w:tc>
          <w:tcPr>
            <w:tcW w:w="2549" w:type="dxa"/>
          </w:tcPr>
          <w:p w14:paraId="6FED2384" w14:textId="77777777" w:rsidR="005C04A4" w:rsidRPr="000B308F" w:rsidRDefault="001701B1" w:rsidP="000B308F">
            <w:pPr>
              <w:spacing w:after="120"/>
              <w:jc w:val="center"/>
              <w:rPr>
                <w:rFonts w:cs="Arial"/>
                <w:bCs/>
                <w:color w:val="000000"/>
                <w:lang w:eastAsia="en-GB"/>
              </w:rPr>
            </w:pPr>
            <w:r>
              <w:rPr>
                <w:rFonts w:cs="Arial"/>
                <w:bCs/>
                <w:color w:val="000000"/>
                <w:lang w:eastAsia="en-GB"/>
              </w:rPr>
              <w:t>£</w:t>
            </w:r>
            <w:r w:rsidR="00A63E61">
              <w:rPr>
                <w:rFonts w:cs="Arial"/>
                <w:bCs/>
                <w:color w:val="000000"/>
                <w:lang w:eastAsia="en-GB"/>
              </w:rPr>
              <w:t>143</w:t>
            </w:r>
          </w:p>
        </w:tc>
        <w:tc>
          <w:tcPr>
            <w:tcW w:w="2549" w:type="dxa"/>
          </w:tcPr>
          <w:p w14:paraId="777864A1" w14:textId="77777777" w:rsidR="005C04A4" w:rsidRPr="000B308F" w:rsidRDefault="001701B1" w:rsidP="000B308F">
            <w:pPr>
              <w:spacing w:after="120"/>
              <w:jc w:val="center"/>
              <w:rPr>
                <w:rFonts w:cs="Arial"/>
                <w:bCs/>
                <w:color w:val="000000"/>
                <w:lang w:eastAsia="en-GB"/>
              </w:rPr>
            </w:pPr>
            <w:r>
              <w:rPr>
                <w:rFonts w:cs="Arial"/>
                <w:bCs/>
                <w:color w:val="000000"/>
                <w:lang w:eastAsia="en-GB"/>
              </w:rPr>
              <w:t>£</w:t>
            </w:r>
            <w:r w:rsidR="00DF0C53">
              <w:rPr>
                <w:rFonts w:cs="Arial"/>
                <w:bCs/>
                <w:color w:val="000000"/>
                <w:lang w:eastAsia="en-GB"/>
              </w:rPr>
              <w:t>2</w:t>
            </w:r>
            <w:r w:rsidR="00A63E61">
              <w:rPr>
                <w:rFonts w:cs="Arial"/>
                <w:bCs/>
                <w:color w:val="000000"/>
                <w:lang w:eastAsia="en-GB"/>
              </w:rPr>
              <w:t>92</w:t>
            </w:r>
          </w:p>
        </w:tc>
      </w:tr>
      <w:tr w:rsidR="005C04A4" w:rsidRPr="002A6CB2" w14:paraId="49DDD80B" w14:textId="77777777" w:rsidTr="000B308F">
        <w:trPr>
          <w:trHeight w:val="543"/>
        </w:trPr>
        <w:tc>
          <w:tcPr>
            <w:tcW w:w="2548" w:type="dxa"/>
          </w:tcPr>
          <w:p w14:paraId="42CD5DEE" w14:textId="77777777" w:rsidR="005C04A4" w:rsidRPr="000B308F" w:rsidRDefault="005C04A4" w:rsidP="006977F9">
            <w:pPr>
              <w:spacing w:after="120"/>
              <w:rPr>
                <w:rFonts w:cs="Arial"/>
                <w:b/>
                <w:bCs/>
                <w:color w:val="000000"/>
                <w:lang w:eastAsia="en-GB"/>
              </w:rPr>
            </w:pPr>
            <w:r w:rsidRPr="000B308F">
              <w:rPr>
                <w:rFonts w:cs="Arial"/>
                <w:b/>
                <w:bCs/>
                <w:color w:val="000000"/>
                <w:lang w:eastAsia="en-GB"/>
              </w:rPr>
              <w:t xml:space="preserve">Total </w:t>
            </w:r>
            <w:r w:rsidR="009246BB" w:rsidRPr="000B308F">
              <w:rPr>
                <w:rFonts w:cs="Arial"/>
                <w:b/>
                <w:bCs/>
                <w:color w:val="000000"/>
                <w:lang w:eastAsia="en-GB"/>
              </w:rPr>
              <w:t xml:space="preserve">annual </w:t>
            </w:r>
            <w:r w:rsidRPr="000B308F">
              <w:rPr>
                <w:rFonts w:cs="Arial"/>
                <w:b/>
                <w:bCs/>
                <w:color w:val="000000"/>
                <w:lang w:eastAsia="en-GB"/>
              </w:rPr>
              <w:t>cost</w:t>
            </w:r>
            <w:r w:rsidR="00293884">
              <w:rPr>
                <w:rStyle w:val="FootnoteReference"/>
                <w:b/>
                <w:bCs/>
                <w:color w:val="000000"/>
                <w:lang w:eastAsia="en-GB"/>
              </w:rPr>
              <w:footnoteReference w:id="36"/>
            </w:r>
          </w:p>
        </w:tc>
        <w:tc>
          <w:tcPr>
            <w:tcW w:w="2549" w:type="dxa"/>
          </w:tcPr>
          <w:p w14:paraId="25061FD3" w14:textId="77777777" w:rsidR="005C04A4" w:rsidRPr="000B308F" w:rsidRDefault="007F3A2D" w:rsidP="000B308F">
            <w:pPr>
              <w:spacing w:after="120"/>
              <w:jc w:val="center"/>
              <w:rPr>
                <w:rFonts w:cs="Arial"/>
                <w:b/>
                <w:bCs/>
                <w:color w:val="000000"/>
                <w:lang w:eastAsia="en-GB"/>
              </w:rPr>
            </w:pPr>
            <w:r w:rsidRPr="000B308F">
              <w:rPr>
                <w:rFonts w:cs="Arial"/>
                <w:b/>
                <w:bCs/>
                <w:color w:val="000000"/>
                <w:lang w:eastAsia="en-GB"/>
              </w:rPr>
              <w:t>£0</w:t>
            </w:r>
          </w:p>
        </w:tc>
        <w:tc>
          <w:tcPr>
            <w:tcW w:w="2549" w:type="dxa"/>
          </w:tcPr>
          <w:p w14:paraId="76FFAFB9" w14:textId="77777777" w:rsidR="005C04A4" w:rsidRPr="000B308F" w:rsidRDefault="004230A6" w:rsidP="000B308F">
            <w:pPr>
              <w:spacing w:after="120"/>
              <w:jc w:val="center"/>
              <w:rPr>
                <w:rFonts w:cs="Arial"/>
                <w:b/>
                <w:bCs/>
                <w:color w:val="000000"/>
                <w:lang w:eastAsia="en-GB"/>
              </w:rPr>
            </w:pPr>
            <w:r w:rsidRPr="000B308F">
              <w:rPr>
                <w:rFonts w:cs="Arial"/>
                <w:b/>
                <w:bCs/>
                <w:color w:val="000000"/>
                <w:lang w:eastAsia="en-GB"/>
              </w:rPr>
              <w:t>£</w:t>
            </w:r>
            <w:r w:rsidR="00A63E61">
              <w:rPr>
                <w:rFonts w:cs="Arial"/>
                <w:b/>
                <w:bCs/>
                <w:color w:val="000000"/>
                <w:lang w:eastAsia="en-GB"/>
              </w:rPr>
              <w:t>77,600</w:t>
            </w:r>
          </w:p>
        </w:tc>
        <w:tc>
          <w:tcPr>
            <w:tcW w:w="2549" w:type="dxa"/>
          </w:tcPr>
          <w:p w14:paraId="4A0556C0" w14:textId="77777777" w:rsidR="005C04A4" w:rsidRPr="000B308F" w:rsidRDefault="00FB0CEE" w:rsidP="000B308F">
            <w:pPr>
              <w:spacing w:after="120"/>
              <w:jc w:val="center"/>
              <w:rPr>
                <w:rFonts w:cs="Arial"/>
                <w:b/>
                <w:bCs/>
                <w:color w:val="000000"/>
                <w:lang w:eastAsia="en-GB"/>
              </w:rPr>
            </w:pPr>
            <w:r w:rsidRPr="000B308F">
              <w:rPr>
                <w:rFonts w:cs="Arial"/>
                <w:b/>
                <w:bCs/>
                <w:color w:val="000000"/>
                <w:lang w:eastAsia="en-GB"/>
              </w:rPr>
              <w:t>£</w:t>
            </w:r>
            <w:r w:rsidR="00E82DAA">
              <w:rPr>
                <w:rFonts w:cs="Arial"/>
                <w:b/>
                <w:bCs/>
                <w:color w:val="000000"/>
                <w:lang w:eastAsia="en-GB"/>
              </w:rPr>
              <w:t>1</w:t>
            </w:r>
            <w:r w:rsidR="00B673E4">
              <w:rPr>
                <w:rFonts w:cs="Arial"/>
                <w:b/>
                <w:bCs/>
                <w:color w:val="000000"/>
                <w:lang w:eastAsia="en-GB"/>
              </w:rPr>
              <w:t>83,100</w:t>
            </w:r>
          </w:p>
        </w:tc>
      </w:tr>
    </w:tbl>
    <w:p w14:paraId="5EB60519" w14:textId="77777777" w:rsidR="005C04A4" w:rsidRPr="000B308F" w:rsidRDefault="005C04A4" w:rsidP="006977F9">
      <w:pPr>
        <w:spacing w:after="120"/>
        <w:ind w:left="720"/>
        <w:rPr>
          <w:rFonts w:cs="Arial"/>
          <w:bCs/>
          <w:color w:val="000000"/>
          <w:lang w:eastAsia="en-GB"/>
        </w:rPr>
      </w:pPr>
    </w:p>
    <w:p w14:paraId="07EE6787" w14:textId="77777777" w:rsidR="00AA6A31" w:rsidRDefault="000D5412" w:rsidP="006977F9">
      <w:pPr>
        <w:spacing w:after="120"/>
        <w:ind w:left="720"/>
        <w:rPr>
          <w:rFonts w:cs="Arial"/>
          <w:bCs/>
          <w:color w:val="000000"/>
          <w:lang w:eastAsia="en-GB"/>
        </w:rPr>
      </w:pPr>
      <w:r w:rsidRPr="000B308F">
        <w:rPr>
          <w:rFonts w:cs="Arial"/>
          <w:bCs/>
          <w:color w:val="000000"/>
          <w:lang w:eastAsia="en-GB"/>
        </w:rPr>
        <w:t>Assumptions</w:t>
      </w:r>
      <w:r w:rsidR="00FE1C6D" w:rsidRPr="000B308F">
        <w:rPr>
          <w:rFonts w:cs="Arial"/>
          <w:bCs/>
          <w:color w:val="000000"/>
          <w:lang w:eastAsia="en-GB"/>
        </w:rPr>
        <w:t>:</w:t>
      </w:r>
    </w:p>
    <w:p w14:paraId="6006588B" w14:textId="77777777" w:rsidR="00B42656" w:rsidRDefault="00B42656">
      <w:pPr>
        <w:pStyle w:val="ListParagraph"/>
        <w:numPr>
          <w:ilvl w:val="0"/>
          <w:numId w:val="31"/>
        </w:numPr>
        <w:spacing w:after="120"/>
        <w:rPr>
          <w:rFonts w:cs="Arial"/>
          <w:bCs/>
          <w:color w:val="000000"/>
          <w:lang w:eastAsia="en-GB"/>
        </w:rPr>
      </w:pPr>
      <w:r>
        <w:rPr>
          <w:rFonts w:cs="Arial"/>
          <w:bCs/>
          <w:color w:val="000000"/>
          <w:lang w:eastAsia="en-GB"/>
        </w:rPr>
        <w:t>Central estimate</w:t>
      </w:r>
      <w:r w:rsidR="00E82DAA">
        <w:rPr>
          <w:rFonts w:cs="Arial"/>
          <w:bCs/>
          <w:color w:val="000000"/>
          <w:lang w:eastAsia="en-GB"/>
        </w:rPr>
        <w:t xml:space="preserve"> of number of tribunal meetings</w:t>
      </w:r>
      <w:r>
        <w:rPr>
          <w:rFonts w:cs="Arial"/>
          <w:bCs/>
          <w:color w:val="000000"/>
          <w:lang w:eastAsia="en-GB"/>
        </w:rPr>
        <w:t xml:space="preserve"> is taken from 2018/2019 number of tribunal meetings, while the low estimate is taken from the 2019/20</w:t>
      </w:r>
      <w:r w:rsidR="00E82DAA">
        <w:rPr>
          <w:rFonts w:cs="Arial"/>
          <w:bCs/>
          <w:color w:val="000000"/>
          <w:lang w:eastAsia="en-GB"/>
        </w:rPr>
        <w:t>20 number of tribunal meetings. 15% has been added to the central estimate to reach the high estimate of tribunal meetings.</w:t>
      </w:r>
    </w:p>
    <w:p w14:paraId="6E7FB6AB" w14:textId="77777777" w:rsidR="000F754D" w:rsidRDefault="00A63E61">
      <w:pPr>
        <w:pStyle w:val="ListParagraph"/>
        <w:numPr>
          <w:ilvl w:val="0"/>
          <w:numId w:val="31"/>
        </w:numPr>
        <w:spacing w:after="120"/>
        <w:rPr>
          <w:rFonts w:cs="Arial"/>
          <w:bCs/>
          <w:color w:val="000000"/>
          <w:lang w:eastAsia="en-GB"/>
        </w:rPr>
      </w:pPr>
      <w:r>
        <w:rPr>
          <w:rFonts w:cs="Arial"/>
          <w:bCs/>
          <w:color w:val="000000"/>
          <w:lang w:eastAsia="en-GB"/>
        </w:rPr>
        <w:t xml:space="preserve">Tribunal fee </w:t>
      </w:r>
      <w:r w:rsidR="000F754D">
        <w:rPr>
          <w:rFonts w:cs="Arial"/>
          <w:bCs/>
          <w:color w:val="000000"/>
          <w:lang w:eastAsia="en-GB"/>
        </w:rPr>
        <w:t xml:space="preserve">ranges from volunteer [£0] to the </w:t>
      </w:r>
      <w:r>
        <w:rPr>
          <w:rFonts w:cs="Arial"/>
          <w:bCs/>
          <w:color w:val="000000"/>
          <w:lang w:eastAsia="en-GB"/>
        </w:rPr>
        <w:t xml:space="preserve">average cost of a legal Chair plus two lay members </w:t>
      </w:r>
      <w:r w:rsidR="000F754D">
        <w:rPr>
          <w:rFonts w:cs="Arial"/>
          <w:bCs/>
          <w:color w:val="000000"/>
          <w:lang w:eastAsia="en-GB"/>
        </w:rPr>
        <w:t>fees</w:t>
      </w:r>
      <w:r w:rsidR="001701B1">
        <w:rPr>
          <w:rFonts w:cs="Arial"/>
          <w:bCs/>
          <w:color w:val="000000"/>
          <w:lang w:eastAsia="en-GB"/>
        </w:rPr>
        <w:t xml:space="preserve"> (£</w:t>
      </w:r>
      <w:r w:rsidR="00DF0C53">
        <w:rPr>
          <w:rFonts w:cs="Arial"/>
          <w:bCs/>
          <w:color w:val="000000"/>
          <w:lang w:eastAsia="en-GB"/>
        </w:rPr>
        <w:t>2</w:t>
      </w:r>
      <w:r>
        <w:rPr>
          <w:rFonts w:cs="Arial"/>
          <w:bCs/>
          <w:color w:val="000000"/>
          <w:lang w:eastAsia="en-GB"/>
        </w:rPr>
        <w:t>92</w:t>
      </w:r>
      <w:r w:rsidR="001701B1">
        <w:rPr>
          <w:rFonts w:cs="Arial"/>
          <w:bCs/>
          <w:color w:val="000000"/>
          <w:lang w:eastAsia="en-GB"/>
        </w:rPr>
        <w:t>)</w:t>
      </w:r>
      <w:r w:rsidR="000F754D">
        <w:rPr>
          <w:rFonts w:cs="Arial"/>
          <w:bCs/>
          <w:color w:val="000000"/>
          <w:lang w:eastAsia="en-GB"/>
        </w:rPr>
        <w:t>, with the central estimate being the</w:t>
      </w:r>
      <w:r w:rsidR="001701B1">
        <w:rPr>
          <w:rFonts w:cs="Arial"/>
          <w:bCs/>
          <w:color w:val="000000"/>
          <w:lang w:eastAsia="en-GB"/>
        </w:rPr>
        <w:t xml:space="preserve"> </w:t>
      </w:r>
      <w:r>
        <w:rPr>
          <w:rFonts w:cs="Arial"/>
          <w:bCs/>
          <w:color w:val="000000"/>
          <w:lang w:eastAsia="en-GB"/>
        </w:rPr>
        <w:t xml:space="preserve">average of the lowest combined tribunal fees [Legal Chair plus two lay members] </w:t>
      </w:r>
      <w:r w:rsidR="001701B1">
        <w:rPr>
          <w:rFonts w:cs="Arial"/>
          <w:bCs/>
          <w:color w:val="000000"/>
          <w:lang w:eastAsia="en-GB"/>
        </w:rPr>
        <w:t>£</w:t>
      </w:r>
      <w:r>
        <w:rPr>
          <w:rFonts w:cs="Arial"/>
          <w:bCs/>
          <w:color w:val="000000"/>
          <w:lang w:eastAsia="en-GB"/>
        </w:rPr>
        <w:t>143</w:t>
      </w:r>
      <w:r w:rsidR="000F754D">
        <w:rPr>
          <w:rFonts w:cs="Arial"/>
          <w:bCs/>
          <w:color w:val="000000"/>
          <w:lang w:eastAsia="en-GB"/>
        </w:rPr>
        <w:t>;</w:t>
      </w:r>
    </w:p>
    <w:p w14:paraId="348FA6B9" w14:textId="77777777" w:rsidR="00B42656" w:rsidRDefault="00B42656">
      <w:pPr>
        <w:pStyle w:val="ListParagraph"/>
        <w:numPr>
          <w:ilvl w:val="0"/>
          <w:numId w:val="31"/>
        </w:numPr>
        <w:spacing w:after="120"/>
        <w:rPr>
          <w:rFonts w:cs="Arial"/>
          <w:bCs/>
          <w:color w:val="000000"/>
          <w:lang w:eastAsia="en-GB"/>
        </w:rPr>
      </w:pPr>
      <w:r>
        <w:rPr>
          <w:rFonts w:cs="Arial"/>
          <w:bCs/>
          <w:color w:val="000000"/>
          <w:lang w:eastAsia="en-GB"/>
        </w:rPr>
        <w:t>Three panel members will attend each tribunal meeting.</w:t>
      </w:r>
    </w:p>
    <w:p w14:paraId="05FBD091" w14:textId="4BD4A5E6" w:rsidR="008E130B" w:rsidRPr="000B308F" w:rsidRDefault="008E130B" w:rsidP="000B308F">
      <w:pPr>
        <w:pStyle w:val="ListParagraph"/>
        <w:numPr>
          <w:ilvl w:val="0"/>
          <w:numId w:val="31"/>
        </w:numPr>
        <w:spacing w:after="120"/>
        <w:rPr>
          <w:rFonts w:cs="Arial"/>
          <w:bCs/>
          <w:color w:val="000000"/>
          <w:lang w:eastAsia="en-GB"/>
        </w:rPr>
      </w:pPr>
      <w:r>
        <w:rPr>
          <w:rFonts w:cs="Arial"/>
          <w:bCs/>
          <w:color w:val="000000"/>
          <w:lang w:eastAsia="en-GB"/>
        </w:rPr>
        <w:t>No new pension arrangements put in place to address employer change in moving to Welsh government employ</w:t>
      </w:r>
      <w:r w:rsidR="00622E79">
        <w:rPr>
          <w:rFonts w:cs="Arial"/>
          <w:bCs/>
          <w:color w:val="000000"/>
          <w:lang w:eastAsia="en-GB"/>
        </w:rPr>
        <w:t>ment</w:t>
      </w:r>
      <w:r>
        <w:rPr>
          <w:rFonts w:cs="Arial"/>
          <w:bCs/>
          <w:color w:val="000000"/>
          <w:lang w:eastAsia="en-GB"/>
        </w:rPr>
        <w:t xml:space="preserve"> [from local authority].</w:t>
      </w:r>
    </w:p>
    <w:p w14:paraId="287CF77C" w14:textId="77777777" w:rsidR="000F754D" w:rsidRDefault="000F754D" w:rsidP="006977F9">
      <w:pPr>
        <w:spacing w:after="120"/>
        <w:ind w:left="720"/>
        <w:rPr>
          <w:rFonts w:cs="Arial"/>
          <w:bCs/>
          <w:color w:val="000000"/>
          <w:lang w:eastAsia="en-GB"/>
        </w:rPr>
      </w:pPr>
    </w:p>
    <w:p w14:paraId="5D2F1B59" w14:textId="77777777" w:rsidR="000F754D" w:rsidRPr="000B308F" w:rsidRDefault="000F754D" w:rsidP="000F754D">
      <w:pPr>
        <w:ind w:left="720"/>
        <w:rPr>
          <w:rFonts w:cs="Arial"/>
          <w:b/>
        </w:rPr>
      </w:pPr>
      <w:r w:rsidRPr="000B308F">
        <w:rPr>
          <w:rFonts w:cs="Arial"/>
          <w:b/>
        </w:rPr>
        <w:t xml:space="preserve">Annual </w:t>
      </w:r>
      <w:r w:rsidR="00046D0F">
        <w:rPr>
          <w:rFonts w:cs="Arial"/>
          <w:b/>
        </w:rPr>
        <w:t xml:space="preserve">costs </w:t>
      </w:r>
      <w:r w:rsidRPr="000B308F">
        <w:rPr>
          <w:rFonts w:cs="Arial"/>
          <w:b/>
        </w:rPr>
        <w:t xml:space="preserve">=   </w:t>
      </w:r>
      <w:r w:rsidR="00FB0CEE" w:rsidRPr="000B308F">
        <w:rPr>
          <w:rFonts w:cs="Arial"/>
          <w:b/>
        </w:rPr>
        <w:t>£</w:t>
      </w:r>
      <w:r w:rsidR="00B673E4">
        <w:rPr>
          <w:rFonts w:cs="Arial"/>
          <w:b/>
        </w:rPr>
        <w:t>77,6</w:t>
      </w:r>
      <w:r w:rsidR="00293884">
        <w:rPr>
          <w:rFonts w:cs="Arial"/>
          <w:b/>
        </w:rPr>
        <w:t>00</w:t>
      </w:r>
      <w:r w:rsidRPr="000B308F">
        <w:rPr>
          <w:rFonts w:cs="Arial"/>
          <w:b/>
        </w:rPr>
        <w:t xml:space="preserve"> [central estimate]</w:t>
      </w:r>
    </w:p>
    <w:p w14:paraId="73391439" w14:textId="77777777" w:rsidR="000F754D" w:rsidRPr="000B308F" w:rsidRDefault="000F754D" w:rsidP="000F754D">
      <w:pPr>
        <w:ind w:left="720"/>
        <w:rPr>
          <w:rFonts w:cs="Arial"/>
          <w:b/>
        </w:rPr>
      </w:pPr>
    </w:p>
    <w:p w14:paraId="6FC9C850" w14:textId="77777777" w:rsidR="000F754D" w:rsidRPr="000B308F" w:rsidRDefault="000F754D" w:rsidP="000F754D">
      <w:pPr>
        <w:ind w:left="720"/>
        <w:rPr>
          <w:rFonts w:cs="Arial"/>
          <w:b/>
        </w:rPr>
      </w:pPr>
      <w:r w:rsidRPr="000B308F">
        <w:rPr>
          <w:rFonts w:cs="Arial"/>
          <w:b/>
        </w:rPr>
        <w:t xml:space="preserve">Present value over 10 years =  </w:t>
      </w:r>
      <w:r w:rsidR="001A6A92">
        <w:rPr>
          <w:rFonts w:cs="Arial"/>
          <w:b/>
        </w:rPr>
        <w:t>£</w:t>
      </w:r>
      <w:r w:rsidR="00670EC7">
        <w:rPr>
          <w:rFonts w:cs="Arial"/>
          <w:b/>
        </w:rPr>
        <w:t xml:space="preserve">0.65 </w:t>
      </w:r>
      <w:r w:rsidR="001A6A92">
        <w:rPr>
          <w:rFonts w:cs="Arial"/>
          <w:b/>
        </w:rPr>
        <w:t>million</w:t>
      </w:r>
      <w:r w:rsidRPr="000B308F">
        <w:rPr>
          <w:rFonts w:cs="Arial"/>
          <w:b/>
        </w:rPr>
        <w:t xml:space="preserve">  [central estimate]</w:t>
      </w:r>
    </w:p>
    <w:p w14:paraId="2B169DC6" w14:textId="77777777" w:rsidR="000F754D" w:rsidRPr="005F140B" w:rsidRDefault="000F754D" w:rsidP="000F754D">
      <w:pPr>
        <w:spacing w:after="120"/>
        <w:ind w:left="720"/>
        <w:rPr>
          <w:rFonts w:cs="Arial"/>
          <w:bCs/>
          <w:color w:val="000000"/>
          <w:lang w:eastAsia="en-GB"/>
        </w:rPr>
      </w:pPr>
    </w:p>
    <w:p w14:paraId="1DAF8063" w14:textId="77777777" w:rsidR="006977F9" w:rsidRPr="000B308F" w:rsidRDefault="006977F9" w:rsidP="006977F9">
      <w:pPr>
        <w:spacing w:after="120"/>
        <w:ind w:left="720"/>
        <w:rPr>
          <w:rFonts w:cs="Arial"/>
          <w:b/>
          <w:bCs/>
          <w:color w:val="000000"/>
          <w:sz w:val="28"/>
          <w:szCs w:val="28"/>
          <w:lang w:eastAsia="en-GB"/>
        </w:rPr>
      </w:pPr>
      <w:r w:rsidRPr="000B308F">
        <w:rPr>
          <w:rFonts w:cs="Arial"/>
          <w:b/>
          <w:bCs/>
          <w:color w:val="000000"/>
          <w:sz w:val="28"/>
          <w:szCs w:val="28"/>
          <w:lang w:eastAsia="en-GB"/>
        </w:rPr>
        <w:t>Benefits</w:t>
      </w:r>
    </w:p>
    <w:p w14:paraId="70DD0611" w14:textId="77777777" w:rsidR="006977F9" w:rsidRPr="000B308F" w:rsidRDefault="006977F9" w:rsidP="006977F9">
      <w:pPr>
        <w:spacing w:after="120"/>
        <w:ind w:left="720"/>
        <w:rPr>
          <w:rFonts w:cs="Arial"/>
          <w:bCs/>
          <w:i/>
          <w:color w:val="000000"/>
          <w:lang w:eastAsia="en-GB"/>
        </w:rPr>
      </w:pPr>
      <w:r w:rsidRPr="000B308F">
        <w:rPr>
          <w:rFonts w:cs="Arial"/>
          <w:bCs/>
          <w:i/>
          <w:color w:val="000000"/>
          <w:lang w:eastAsia="en-GB"/>
        </w:rPr>
        <w:t>Transitional benefits</w:t>
      </w:r>
    </w:p>
    <w:p w14:paraId="6A3EAB8A" w14:textId="77777777" w:rsidR="006977F9" w:rsidRPr="000B308F" w:rsidRDefault="006977F9" w:rsidP="006977F9">
      <w:pPr>
        <w:spacing w:after="120"/>
        <w:ind w:left="720"/>
        <w:rPr>
          <w:rFonts w:cs="Arial"/>
          <w:bCs/>
          <w:color w:val="000000"/>
          <w:lang w:eastAsia="en-GB"/>
        </w:rPr>
      </w:pPr>
      <w:r w:rsidRPr="000B308F">
        <w:rPr>
          <w:rFonts w:cs="Arial"/>
          <w:bCs/>
          <w:color w:val="000000"/>
          <w:lang w:eastAsia="en-GB"/>
        </w:rPr>
        <w:t>None identified.</w:t>
      </w:r>
    </w:p>
    <w:p w14:paraId="0147C699" w14:textId="77777777" w:rsidR="006977F9" w:rsidRPr="000B308F" w:rsidRDefault="006977F9" w:rsidP="006977F9">
      <w:pPr>
        <w:spacing w:after="120"/>
        <w:ind w:left="720"/>
        <w:rPr>
          <w:rFonts w:cs="Arial"/>
          <w:bCs/>
          <w:color w:val="000000"/>
          <w:lang w:eastAsia="en-GB"/>
        </w:rPr>
      </w:pPr>
    </w:p>
    <w:p w14:paraId="399A798E" w14:textId="77777777" w:rsidR="006977F9" w:rsidRPr="000B308F" w:rsidRDefault="006977F9" w:rsidP="000B308F">
      <w:pPr>
        <w:spacing w:after="240"/>
        <w:ind w:left="720"/>
        <w:rPr>
          <w:rFonts w:cs="Arial"/>
          <w:bCs/>
          <w:i/>
          <w:color w:val="000000"/>
          <w:sz w:val="28"/>
          <w:szCs w:val="28"/>
          <w:lang w:eastAsia="en-GB"/>
        </w:rPr>
      </w:pPr>
      <w:r w:rsidRPr="000B308F">
        <w:rPr>
          <w:rFonts w:cs="Arial"/>
          <w:bCs/>
          <w:i/>
          <w:color w:val="000000"/>
          <w:sz w:val="28"/>
          <w:szCs w:val="28"/>
          <w:lang w:eastAsia="en-GB"/>
        </w:rPr>
        <w:t>On-going benefits</w:t>
      </w:r>
    </w:p>
    <w:p w14:paraId="7636093C" w14:textId="77777777" w:rsidR="006977F9" w:rsidRDefault="006977F9" w:rsidP="000B308F">
      <w:pPr>
        <w:spacing w:after="240"/>
        <w:rPr>
          <w:rFonts w:cs="Arial"/>
          <w:bCs/>
          <w:color w:val="000000"/>
          <w:lang w:eastAsia="en-GB"/>
        </w:rPr>
      </w:pPr>
      <w:r w:rsidRPr="000B308F">
        <w:rPr>
          <w:rFonts w:cs="Arial"/>
          <w:bCs/>
          <w:color w:val="000000"/>
          <w:lang w:eastAsia="en-GB"/>
        </w:rPr>
        <w:tab/>
      </w:r>
      <w:r w:rsidR="0005305F">
        <w:rPr>
          <w:rFonts w:cs="Arial"/>
          <w:bCs/>
          <w:color w:val="000000"/>
          <w:lang w:eastAsia="en-GB"/>
        </w:rPr>
        <w:t>8</w:t>
      </w:r>
      <w:r w:rsidR="0004167A">
        <w:rPr>
          <w:rFonts w:cs="Arial"/>
          <w:bCs/>
          <w:color w:val="000000"/>
          <w:lang w:eastAsia="en-GB"/>
        </w:rPr>
        <w:t>.</w:t>
      </w:r>
      <w:r w:rsidR="00AA6A31" w:rsidRPr="000B308F">
        <w:rPr>
          <w:rFonts w:cs="Arial"/>
          <w:bCs/>
          <w:color w:val="000000"/>
          <w:lang w:eastAsia="en-GB"/>
        </w:rPr>
        <w:t xml:space="preserve"> </w:t>
      </w:r>
      <w:r w:rsidRPr="000B308F">
        <w:rPr>
          <w:rFonts w:cs="Arial"/>
          <w:bCs/>
          <w:color w:val="000000"/>
          <w:u w:val="single"/>
          <w:lang w:eastAsia="en-GB"/>
        </w:rPr>
        <w:t>Avoided costs of setting up new Tribunals</w:t>
      </w:r>
      <w:r w:rsidR="007B7EE4" w:rsidRPr="000B308F">
        <w:rPr>
          <w:rFonts w:cs="Arial"/>
          <w:bCs/>
          <w:color w:val="000000"/>
          <w:u w:val="single"/>
          <w:lang w:eastAsia="en-GB"/>
        </w:rPr>
        <w:t xml:space="preserve"> and/or arranging new appeal routes</w:t>
      </w:r>
    </w:p>
    <w:p w14:paraId="120D477F" w14:textId="77777777" w:rsidR="00046D0F" w:rsidRDefault="00046D0F" w:rsidP="00101897">
      <w:pPr>
        <w:spacing w:after="120"/>
        <w:ind w:left="720"/>
        <w:rPr>
          <w:rFonts w:cs="Arial"/>
          <w:bCs/>
          <w:color w:val="000000"/>
          <w:lang w:eastAsia="en-GB"/>
        </w:rPr>
      </w:pPr>
      <w:r w:rsidRPr="00046D0F">
        <w:rPr>
          <w:rFonts w:cs="Arial"/>
          <w:bCs/>
          <w:color w:val="000000"/>
          <w:lang w:eastAsia="en-GB"/>
        </w:rPr>
        <w:t xml:space="preserve">New appeals may be routed through the creation of a new Tribunal. Only one tribunal has been set up in the last decade; the Welsh Language Tribunal was established in 2015. </w:t>
      </w:r>
    </w:p>
    <w:p w14:paraId="227CA0FD" w14:textId="77777777" w:rsidR="00101897" w:rsidRDefault="00101897" w:rsidP="00101897">
      <w:pPr>
        <w:spacing w:after="120"/>
        <w:ind w:left="720"/>
        <w:rPr>
          <w:rFonts w:cs="Arial"/>
          <w:bCs/>
          <w:color w:val="000000"/>
          <w:lang w:eastAsia="en-GB"/>
        </w:rPr>
      </w:pPr>
      <w:r>
        <w:rPr>
          <w:rFonts w:cs="Arial"/>
          <w:bCs/>
          <w:color w:val="000000"/>
          <w:lang w:eastAsia="en-GB"/>
        </w:rPr>
        <w:t>That tribunal gives an illustrative example of the magnitude of set-up costs.</w:t>
      </w:r>
      <w:r>
        <w:rPr>
          <w:rStyle w:val="FootnoteReference"/>
          <w:bCs/>
          <w:color w:val="000000"/>
          <w:lang w:eastAsia="en-GB"/>
        </w:rPr>
        <w:footnoteReference w:id="37"/>
      </w:r>
      <w:r>
        <w:rPr>
          <w:rFonts w:cs="Arial"/>
          <w:bCs/>
          <w:color w:val="000000"/>
          <w:lang w:eastAsia="en-GB"/>
        </w:rPr>
        <w:t xml:space="preserve"> It cost just under £38,400</w:t>
      </w:r>
      <w:r>
        <w:rPr>
          <w:rStyle w:val="FootnoteReference"/>
          <w:bCs/>
          <w:color w:val="000000"/>
          <w:lang w:eastAsia="en-GB"/>
        </w:rPr>
        <w:footnoteReference w:id="38"/>
      </w:r>
      <w:r>
        <w:rPr>
          <w:rFonts w:cs="Arial"/>
          <w:bCs/>
          <w:color w:val="000000"/>
          <w:lang w:eastAsia="en-GB"/>
        </w:rPr>
        <w:t xml:space="preserve"> to set up with 6 lay members. </w:t>
      </w:r>
      <w:r w:rsidR="003E0408">
        <w:rPr>
          <w:rFonts w:cs="Arial"/>
          <w:bCs/>
          <w:color w:val="000000"/>
          <w:lang w:eastAsia="en-GB"/>
        </w:rPr>
        <w:t xml:space="preserve">The two most significant expenses were £19,627.35 allocated to President’s fees, and £18,292.18 allocated to the cost of appointing members. </w:t>
      </w:r>
      <w:r>
        <w:rPr>
          <w:rFonts w:cs="Arial"/>
          <w:bCs/>
          <w:color w:val="000000"/>
          <w:lang w:eastAsia="en-GB"/>
        </w:rPr>
        <w:t xml:space="preserve">However, being one of the smaller tribunals means it may not be sufficiently representative of average set-up costs. </w:t>
      </w:r>
    </w:p>
    <w:p w14:paraId="241BCC0B" w14:textId="77777777" w:rsidR="002C7DDA" w:rsidRDefault="00EA7E7C" w:rsidP="000B308F">
      <w:pPr>
        <w:spacing w:after="120"/>
        <w:ind w:left="720"/>
        <w:rPr>
          <w:rFonts w:cs="Arial"/>
          <w:bCs/>
          <w:color w:val="000000"/>
          <w:lang w:eastAsia="en-GB"/>
        </w:rPr>
      </w:pPr>
      <w:r>
        <w:rPr>
          <w:rFonts w:cs="Arial"/>
          <w:bCs/>
          <w:color w:val="000000"/>
          <w:lang w:eastAsia="en-GB"/>
        </w:rPr>
        <w:t>Alternatively, new appeal routes are set</w:t>
      </w:r>
      <w:r w:rsidR="00101897">
        <w:rPr>
          <w:rFonts w:cs="Arial"/>
          <w:bCs/>
          <w:color w:val="000000"/>
          <w:lang w:eastAsia="en-GB"/>
        </w:rPr>
        <w:t xml:space="preserve"> up by Senedd legislation</w:t>
      </w:r>
      <w:r>
        <w:rPr>
          <w:rFonts w:cs="Arial"/>
          <w:bCs/>
          <w:color w:val="000000"/>
          <w:lang w:eastAsia="en-GB"/>
        </w:rPr>
        <w:t xml:space="preserve"> to the First Tier Tribunal a</w:t>
      </w:r>
      <w:r w:rsidR="007B7EE4">
        <w:rPr>
          <w:rFonts w:cs="Arial"/>
          <w:bCs/>
          <w:color w:val="000000"/>
          <w:lang w:eastAsia="en-GB"/>
        </w:rPr>
        <w:t xml:space="preserve">pproximately </w:t>
      </w:r>
      <w:r w:rsidR="00150E2D">
        <w:rPr>
          <w:rFonts w:cs="Arial"/>
          <w:bCs/>
          <w:color w:val="000000"/>
          <w:lang w:eastAsia="en-GB"/>
        </w:rPr>
        <w:t>twice</w:t>
      </w:r>
      <w:r w:rsidR="007B7EE4">
        <w:rPr>
          <w:rFonts w:cs="Arial"/>
          <w:bCs/>
          <w:color w:val="000000"/>
          <w:lang w:eastAsia="en-GB"/>
        </w:rPr>
        <w:t xml:space="preserve"> a year.</w:t>
      </w:r>
      <w:r>
        <w:rPr>
          <w:rFonts w:cs="Arial"/>
          <w:bCs/>
          <w:color w:val="000000"/>
          <w:lang w:eastAsia="en-GB"/>
        </w:rPr>
        <w:t xml:space="preserve"> </w:t>
      </w:r>
      <w:r w:rsidR="002C7DDA">
        <w:rPr>
          <w:rFonts w:cs="Arial"/>
          <w:bCs/>
          <w:color w:val="000000"/>
          <w:lang w:eastAsia="en-GB"/>
        </w:rPr>
        <w:t xml:space="preserve">Compared with creating a new tribunal, this avoids the costs of appointing </w:t>
      </w:r>
      <w:r w:rsidR="00AF45CD">
        <w:rPr>
          <w:rFonts w:cs="Arial"/>
          <w:bCs/>
          <w:color w:val="000000"/>
          <w:lang w:eastAsia="en-GB"/>
        </w:rPr>
        <w:t xml:space="preserve">and funding </w:t>
      </w:r>
      <w:r w:rsidR="002C7DDA">
        <w:rPr>
          <w:rFonts w:cs="Arial"/>
          <w:bCs/>
          <w:color w:val="000000"/>
          <w:lang w:eastAsia="en-GB"/>
        </w:rPr>
        <w:t>a judicial lead</w:t>
      </w:r>
      <w:r w:rsidR="00AF45CD">
        <w:rPr>
          <w:rFonts w:cs="Arial"/>
          <w:bCs/>
          <w:color w:val="000000"/>
          <w:lang w:eastAsia="en-GB"/>
        </w:rPr>
        <w:t>, and the need to create new procedural rules</w:t>
      </w:r>
      <w:r w:rsidR="002C7DDA">
        <w:rPr>
          <w:rFonts w:cs="Arial"/>
          <w:bCs/>
          <w:color w:val="000000"/>
          <w:lang w:eastAsia="en-GB"/>
        </w:rPr>
        <w:t>.</w:t>
      </w:r>
    </w:p>
    <w:p w14:paraId="596F81C2" w14:textId="5A7B7CE7" w:rsidR="007B7EE4" w:rsidRPr="00FE6328" w:rsidRDefault="00EA7E7C" w:rsidP="00FE6328">
      <w:pPr>
        <w:spacing w:after="120"/>
        <w:ind w:left="720"/>
      </w:pPr>
      <w:r>
        <w:rPr>
          <w:rFonts w:cs="Arial"/>
          <w:bCs/>
          <w:color w:val="000000"/>
          <w:lang w:eastAsia="en-GB"/>
        </w:rPr>
        <w:t>U</w:t>
      </w:r>
      <w:r w:rsidR="005A0A96">
        <w:t xml:space="preserve">nder the new, unified First-tier Tribunal </w:t>
      </w:r>
      <w:r w:rsidR="00025C49">
        <w:t>system</w:t>
      </w:r>
      <w:r w:rsidR="005A0A96">
        <w:t xml:space="preserve"> there will be no need to send cases to the existing First-tier Tribunal</w:t>
      </w:r>
      <w:r w:rsidR="00CD2B0B">
        <w:t xml:space="preserve"> [FTT]</w:t>
      </w:r>
      <w:r w:rsidR="00AF45CD">
        <w:t xml:space="preserve"> (as set out above at paragraph 31</w:t>
      </w:r>
      <w:r w:rsidR="00FE6328">
        <w:t>)</w:t>
      </w:r>
      <w:r w:rsidR="00AF45CD">
        <w:t xml:space="preserve">, the Welsh Government has historically been quoted between </w:t>
      </w:r>
      <w:r w:rsidR="00AF45CD" w:rsidRPr="00AF45CD">
        <w:t>£35-40,000 for set up costs for</w:t>
      </w:r>
      <w:r w:rsidR="00AF45CD">
        <w:t xml:space="preserve"> a new appeal route lying to the FTT)</w:t>
      </w:r>
      <w:r w:rsidR="005A0A96">
        <w:t xml:space="preserve">. </w:t>
      </w:r>
      <w:r w:rsidR="00D61601">
        <w:t xml:space="preserve">Lower </w:t>
      </w:r>
      <w:r w:rsidR="00D551C8">
        <w:t xml:space="preserve">costs might be expected to be incurred by sending appeal routes to a chamber of the new unified First-tier Tribunal instead. </w:t>
      </w:r>
      <w:r w:rsidR="007B7EE4">
        <w:rPr>
          <w:rFonts w:cs="Arial"/>
          <w:bCs/>
          <w:color w:val="000000"/>
          <w:lang w:eastAsia="en-GB"/>
        </w:rPr>
        <w:t xml:space="preserve">See table </w:t>
      </w:r>
      <w:r w:rsidR="00650361">
        <w:rPr>
          <w:rFonts w:cs="Arial"/>
          <w:bCs/>
          <w:color w:val="000000"/>
          <w:lang w:eastAsia="en-GB"/>
        </w:rPr>
        <w:t>9</w:t>
      </w:r>
      <w:r w:rsidR="007B7EE4">
        <w:rPr>
          <w:rFonts w:cs="Arial"/>
          <w:bCs/>
          <w:color w:val="000000"/>
          <w:lang w:eastAsia="en-GB"/>
        </w:rPr>
        <w:t xml:space="preserve"> below. </w:t>
      </w:r>
    </w:p>
    <w:p w14:paraId="25D1DF6C" w14:textId="77777777" w:rsidR="006D139F" w:rsidRPr="00BC6A59" w:rsidRDefault="006D139F" w:rsidP="006D139F">
      <w:pPr>
        <w:spacing w:after="120"/>
        <w:rPr>
          <w:rFonts w:cs="Arial"/>
          <w:bCs/>
          <w:color w:val="000000"/>
          <w:lang w:eastAsia="en-GB"/>
        </w:rPr>
      </w:pPr>
    </w:p>
    <w:p w14:paraId="7F74F3F1" w14:textId="5F83CB6D" w:rsidR="006D139F" w:rsidRPr="00BC6A59" w:rsidRDefault="006D139F" w:rsidP="00D8157F">
      <w:pPr>
        <w:keepNext/>
        <w:spacing w:after="120"/>
        <w:ind w:left="720"/>
        <w:rPr>
          <w:rFonts w:cs="Arial"/>
          <w:bCs/>
          <w:color w:val="000000"/>
          <w:lang w:eastAsia="en-GB"/>
        </w:rPr>
      </w:pPr>
      <w:r w:rsidRPr="00BC6A59">
        <w:rPr>
          <w:rFonts w:cs="Arial"/>
          <w:bCs/>
          <w:color w:val="000000"/>
          <w:lang w:eastAsia="en-GB"/>
        </w:rPr>
        <w:tab/>
        <w:t>Table</w:t>
      </w:r>
      <w:r>
        <w:rPr>
          <w:rFonts w:cs="Arial"/>
          <w:bCs/>
          <w:color w:val="000000"/>
          <w:lang w:eastAsia="en-GB"/>
        </w:rPr>
        <w:t xml:space="preserve"> </w:t>
      </w:r>
      <w:r w:rsidR="00650361">
        <w:rPr>
          <w:rFonts w:cs="Arial"/>
          <w:bCs/>
          <w:color w:val="000000"/>
          <w:lang w:eastAsia="en-GB"/>
        </w:rPr>
        <w:t>9</w:t>
      </w:r>
      <w:r w:rsidRPr="00BC6A59">
        <w:rPr>
          <w:rFonts w:cs="Arial"/>
          <w:bCs/>
          <w:color w:val="000000"/>
          <w:lang w:eastAsia="en-GB"/>
        </w:rPr>
        <w:t xml:space="preserve">: </w:t>
      </w:r>
      <w:r>
        <w:rPr>
          <w:rFonts w:cs="Arial"/>
          <w:bCs/>
          <w:color w:val="000000"/>
          <w:lang w:eastAsia="en-GB"/>
        </w:rPr>
        <w:t>Annual savings from avoiding creating</w:t>
      </w:r>
      <w:r w:rsidRPr="00BC6A59">
        <w:rPr>
          <w:rFonts w:cs="Arial"/>
          <w:bCs/>
          <w:color w:val="000000"/>
          <w:lang w:eastAsia="en-GB"/>
        </w:rPr>
        <w:t xml:space="preserve"> </w:t>
      </w:r>
      <w:r>
        <w:rPr>
          <w:rFonts w:cs="Arial"/>
          <w:bCs/>
          <w:color w:val="000000"/>
          <w:lang w:eastAsia="en-GB"/>
        </w:rPr>
        <w:t>new Tribunals</w:t>
      </w:r>
    </w:p>
    <w:tbl>
      <w:tblPr>
        <w:tblStyle w:val="TableGrid"/>
        <w:tblW w:w="0" w:type="auto"/>
        <w:tblInd w:w="720" w:type="dxa"/>
        <w:tblLook w:val="04A0" w:firstRow="1" w:lastRow="0" w:firstColumn="1" w:lastColumn="0" w:noHBand="0" w:noVBand="1"/>
      </w:tblPr>
      <w:tblGrid>
        <w:gridCol w:w="2362"/>
        <w:gridCol w:w="2371"/>
        <w:gridCol w:w="2371"/>
        <w:gridCol w:w="2371"/>
      </w:tblGrid>
      <w:tr w:rsidR="006D139F" w:rsidRPr="002A6CB2" w14:paraId="48E5AE89" w14:textId="77777777" w:rsidTr="00B3499D">
        <w:trPr>
          <w:trHeight w:val="722"/>
        </w:trPr>
        <w:tc>
          <w:tcPr>
            <w:tcW w:w="2362" w:type="dxa"/>
            <w:shd w:val="clear" w:color="auto" w:fill="D9D9D9" w:themeFill="background1" w:themeFillShade="D9"/>
          </w:tcPr>
          <w:p w14:paraId="44BF7038" w14:textId="77777777" w:rsidR="006D139F" w:rsidRPr="00BC6A59" w:rsidRDefault="006D139F" w:rsidP="00B3499D">
            <w:pPr>
              <w:spacing w:after="120"/>
              <w:rPr>
                <w:rFonts w:cs="Arial"/>
                <w:bCs/>
                <w:color w:val="000000"/>
                <w:lang w:eastAsia="en-GB"/>
              </w:rPr>
            </w:pPr>
          </w:p>
        </w:tc>
        <w:tc>
          <w:tcPr>
            <w:tcW w:w="2371" w:type="dxa"/>
            <w:shd w:val="clear" w:color="auto" w:fill="D9D9D9" w:themeFill="background1" w:themeFillShade="D9"/>
          </w:tcPr>
          <w:p w14:paraId="7F40DDFF" w14:textId="77777777" w:rsidR="006D139F" w:rsidRPr="00BC6A59" w:rsidRDefault="006D139F" w:rsidP="00B3499D">
            <w:pPr>
              <w:spacing w:after="120"/>
              <w:rPr>
                <w:rFonts w:cs="Arial"/>
                <w:bCs/>
                <w:color w:val="000000"/>
                <w:lang w:eastAsia="en-GB"/>
              </w:rPr>
            </w:pPr>
            <w:r w:rsidRPr="00BC6A59">
              <w:rPr>
                <w:rFonts w:cs="Arial"/>
                <w:bCs/>
                <w:color w:val="000000"/>
                <w:lang w:eastAsia="en-GB"/>
              </w:rPr>
              <w:t>Low estimate</w:t>
            </w:r>
          </w:p>
        </w:tc>
        <w:tc>
          <w:tcPr>
            <w:tcW w:w="2371" w:type="dxa"/>
            <w:shd w:val="clear" w:color="auto" w:fill="D9D9D9" w:themeFill="background1" w:themeFillShade="D9"/>
          </w:tcPr>
          <w:p w14:paraId="76916EAD" w14:textId="77777777" w:rsidR="006D139F" w:rsidRPr="00BC6A59" w:rsidRDefault="006D139F" w:rsidP="00B3499D">
            <w:pPr>
              <w:spacing w:after="120"/>
              <w:rPr>
                <w:rFonts w:cs="Arial"/>
                <w:bCs/>
                <w:color w:val="000000"/>
                <w:lang w:eastAsia="en-GB"/>
              </w:rPr>
            </w:pPr>
            <w:r w:rsidRPr="00BC6A59">
              <w:rPr>
                <w:rFonts w:cs="Arial"/>
                <w:bCs/>
                <w:color w:val="000000"/>
                <w:lang w:eastAsia="en-GB"/>
              </w:rPr>
              <w:t>Central estimate</w:t>
            </w:r>
          </w:p>
        </w:tc>
        <w:tc>
          <w:tcPr>
            <w:tcW w:w="2371" w:type="dxa"/>
            <w:shd w:val="clear" w:color="auto" w:fill="D9D9D9" w:themeFill="background1" w:themeFillShade="D9"/>
          </w:tcPr>
          <w:p w14:paraId="444FEA8B" w14:textId="77777777" w:rsidR="006D139F" w:rsidRPr="00BC6A59" w:rsidRDefault="006D139F" w:rsidP="00B3499D">
            <w:pPr>
              <w:spacing w:after="120"/>
              <w:rPr>
                <w:rFonts w:cs="Arial"/>
                <w:bCs/>
                <w:color w:val="000000"/>
                <w:lang w:eastAsia="en-GB"/>
              </w:rPr>
            </w:pPr>
            <w:r w:rsidRPr="00BC6A59">
              <w:rPr>
                <w:rFonts w:cs="Arial"/>
                <w:bCs/>
                <w:color w:val="000000"/>
                <w:lang w:eastAsia="en-GB"/>
              </w:rPr>
              <w:t>High estimate</w:t>
            </w:r>
          </w:p>
        </w:tc>
      </w:tr>
      <w:tr w:rsidR="006D139F" w:rsidRPr="002A6CB2" w14:paraId="04431CF1" w14:textId="77777777" w:rsidTr="00B3499D">
        <w:tc>
          <w:tcPr>
            <w:tcW w:w="2362" w:type="dxa"/>
          </w:tcPr>
          <w:p w14:paraId="2E65A805" w14:textId="77777777" w:rsidR="006D139F" w:rsidRPr="00BC6A59" w:rsidRDefault="006D139F" w:rsidP="00B3499D">
            <w:pPr>
              <w:spacing w:after="120"/>
              <w:rPr>
                <w:rFonts w:cs="Arial"/>
                <w:bCs/>
                <w:color w:val="000000"/>
                <w:lang w:eastAsia="en-GB"/>
              </w:rPr>
            </w:pPr>
            <w:r>
              <w:rPr>
                <w:rFonts w:cs="Arial"/>
                <w:bCs/>
                <w:color w:val="000000"/>
                <w:lang w:eastAsia="en-GB"/>
              </w:rPr>
              <w:t>Cost of creating new tribunal</w:t>
            </w:r>
            <w:r>
              <w:rPr>
                <w:rStyle w:val="FootnoteReference"/>
                <w:bCs/>
                <w:color w:val="000000"/>
                <w:lang w:eastAsia="en-GB"/>
              </w:rPr>
              <w:footnoteReference w:id="39"/>
            </w:r>
          </w:p>
        </w:tc>
        <w:tc>
          <w:tcPr>
            <w:tcW w:w="2371" w:type="dxa"/>
          </w:tcPr>
          <w:p w14:paraId="4427586A" w14:textId="77777777" w:rsidR="006D139F" w:rsidRPr="00BC6A59" w:rsidRDefault="006D139F" w:rsidP="00B3499D">
            <w:pPr>
              <w:spacing w:after="120"/>
              <w:jc w:val="center"/>
              <w:rPr>
                <w:rFonts w:cs="Arial"/>
                <w:bCs/>
                <w:color w:val="000000"/>
                <w:lang w:eastAsia="en-GB"/>
              </w:rPr>
            </w:pPr>
            <w:r>
              <w:rPr>
                <w:rFonts w:cs="Arial"/>
                <w:bCs/>
                <w:color w:val="000000"/>
                <w:lang w:eastAsia="en-GB"/>
              </w:rPr>
              <w:t>£41,800</w:t>
            </w:r>
          </w:p>
        </w:tc>
        <w:tc>
          <w:tcPr>
            <w:tcW w:w="2371" w:type="dxa"/>
          </w:tcPr>
          <w:p w14:paraId="3477AE0E" w14:textId="77777777" w:rsidR="006D139F" w:rsidRPr="00BC6A59" w:rsidRDefault="006D139F" w:rsidP="00B3499D">
            <w:pPr>
              <w:spacing w:after="120"/>
              <w:jc w:val="center"/>
              <w:rPr>
                <w:rFonts w:cs="Arial"/>
                <w:bCs/>
                <w:color w:val="000000"/>
                <w:lang w:eastAsia="en-GB"/>
              </w:rPr>
            </w:pPr>
            <w:r>
              <w:rPr>
                <w:rFonts w:cs="Arial"/>
                <w:bCs/>
                <w:color w:val="000000"/>
                <w:lang w:eastAsia="en-GB"/>
              </w:rPr>
              <w:t>£50,100</w:t>
            </w:r>
          </w:p>
        </w:tc>
        <w:tc>
          <w:tcPr>
            <w:tcW w:w="2371" w:type="dxa"/>
          </w:tcPr>
          <w:p w14:paraId="6E5D16DD" w14:textId="77777777" w:rsidR="006D139F" w:rsidRPr="00BC6A59" w:rsidRDefault="006D139F" w:rsidP="00B3499D">
            <w:pPr>
              <w:spacing w:after="120"/>
              <w:jc w:val="center"/>
              <w:rPr>
                <w:rFonts w:cs="Arial"/>
                <w:bCs/>
                <w:color w:val="000000"/>
                <w:lang w:eastAsia="en-GB"/>
              </w:rPr>
            </w:pPr>
            <w:r>
              <w:rPr>
                <w:rFonts w:cs="Arial"/>
                <w:bCs/>
                <w:color w:val="000000"/>
                <w:lang w:eastAsia="en-GB"/>
              </w:rPr>
              <w:t>£54,300</w:t>
            </w:r>
          </w:p>
        </w:tc>
      </w:tr>
      <w:tr w:rsidR="006D139F" w:rsidRPr="002A6CB2" w14:paraId="6B65A089" w14:textId="77777777" w:rsidTr="00B3499D">
        <w:tc>
          <w:tcPr>
            <w:tcW w:w="2362" w:type="dxa"/>
          </w:tcPr>
          <w:p w14:paraId="1DB9F862" w14:textId="77777777" w:rsidR="006D139F" w:rsidRPr="00BC6A59" w:rsidRDefault="006D139F" w:rsidP="00B3499D">
            <w:pPr>
              <w:spacing w:after="120"/>
              <w:rPr>
                <w:rFonts w:cs="Arial"/>
                <w:bCs/>
                <w:color w:val="000000"/>
                <w:lang w:eastAsia="en-GB"/>
              </w:rPr>
            </w:pPr>
            <w:r>
              <w:rPr>
                <w:rFonts w:cs="Arial"/>
                <w:bCs/>
                <w:color w:val="000000"/>
                <w:lang w:eastAsia="en-GB"/>
              </w:rPr>
              <w:t>Number created within 10 years</w:t>
            </w:r>
          </w:p>
        </w:tc>
        <w:tc>
          <w:tcPr>
            <w:tcW w:w="2371" w:type="dxa"/>
          </w:tcPr>
          <w:p w14:paraId="027A8F3D" w14:textId="77777777" w:rsidR="006D139F" w:rsidRPr="00BC6A59" w:rsidRDefault="006D139F" w:rsidP="00B3499D">
            <w:pPr>
              <w:spacing w:after="120"/>
              <w:jc w:val="center"/>
              <w:rPr>
                <w:rFonts w:cs="Arial"/>
                <w:bCs/>
                <w:color w:val="000000"/>
                <w:lang w:eastAsia="en-GB"/>
              </w:rPr>
            </w:pPr>
            <w:r>
              <w:rPr>
                <w:rFonts w:cs="Arial"/>
                <w:bCs/>
                <w:color w:val="000000"/>
                <w:lang w:eastAsia="en-GB"/>
              </w:rPr>
              <w:t>1</w:t>
            </w:r>
          </w:p>
        </w:tc>
        <w:tc>
          <w:tcPr>
            <w:tcW w:w="2371" w:type="dxa"/>
          </w:tcPr>
          <w:p w14:paraId="32D5BD26" w14:textId="77777777" w:rsidR="006D139F" w:rsidRPr="00BC6A59" w:rsidRDefault="006D139F" w:rsidP="00B3499D">
            <w:pPr>
              <w:spacing w:after="120"/>
              <w:jc w:val="center"/>
              <w:rPr>
                <w:rFonts w:cs="Arial"/>
                <w:bCs/>
                <w:color w:val="000000"/>
                <w:lang w:eastAsia="en-GB"/>
              </w:rPr>
            </w:pPr>
            <w:r>
              <w:rPr>
                <w:rFonts w:cs="Arial"/>
                <w:bCs/>
                <w:color w:val="000000"/>
                <w:lang w:eastAsia="en-GB"/>
              </w:rPr>
              <w:t>2</w:t>
            </w:r>
          </w:p>
        </w:tc>
        <w:tc>
          <w:tcPr>
            <w:tcW w:w="2371" w:type="dxa"/>
          </w:tcPr>
          <w:p w14:paraId="4CC6382B" w14:textId="77777777" w:rsidR="006D139F" w:rsidRPr="00BC6A59" w:rsidRDefault="006D139F" w:rsidP="00B3499D">
            <w:pPr>
              <w:spacing w:after="120"/>
              <w:jc w:val="center"/>
              <w:rPr>
                <w:rFonts w:cs="Arial"/>
                <w:bCs/>
                <w:color w:val="000000"/>
                <w:lang w:eastAsia="en-GB"/>
              </w:rPr>
            </w:pPr>
            <w:r>
              <w:rPr>
                <w:rFonts w:cs="Arial"/>
                <w:bCs/>
                <w:color w:val="000000"/>
                <w:lang w:eastAsia="en-GB"/>
              </w:rPr>
              <w:t>3</w:t>
            </w:r>
          </w:p>
        </w:tc>
      </w:tr>
      <w:tr w:rsidR="006D139F" w:rsidRPr="002A6CB2" w14:paraId="7A6B1018" w14:textId="77777777" w:rsidTr="00B3499D">
        <w:trPr>
          <w:trHeight w:val="623"/>
        </w:trPr>
        <w:tc>
          <w:tcPr>
            <w:tcW w:w="2362" w:type="dxa"/>
          </w:tcPr>
          <w:p w14:paraId="34CC9C95" w14:textId="77777777" w:rsidR="006D139F" w:rsidRPr="00BC6A59" w:rsidRDefault="006D139F" w:rsidP="00B3499D">
            <w:pPr>
              <w:spacing w:after="120"/>
              <w:rPr>
                <w:rFonts w:cs="Arial"/>
                <w:b/>
                <w:bCs/>
                <w:color w:val="000000"/>
                <w:lang w:eastAsia="en-GB"/>
              </w:rPr>
            </w:pPr>
            <w:r w:rsidRPr="00BC6A59">
              <w:rPr>
                <w:rFonts w:cs="Arial"/>
                <w:b/>
                <w:bCs/>
                <w:color w:val="000000"/>
                <w:lang w:eastAsia="en-GB"/>
              </w:rPr>
              <w:t>Total cost</w:t>
            </w:r>
          </w:p>
        </w:tc>
        <w:tc>
          <w:tcPr>
            <w:tcW w:w="2371" w:type="dxa"/>
          </w:tcPr>
          <w:p w14:paraId="289FE0DD" w14:textId="77777777" w:rsidR="006D139F" w:rsidRPr="00BC6A59" w:rsidRDefault="006D139F" w:rsidP="00B3499D">
            <w:pPr>
              <w:spacing w:after="120"/>
              <w:jc w:val="center"/>
              <w:rPr>
                <w:rFonts w:cs="Arial"/>
                <w:b/>
                <w:bCs/>
                <w:color w:val="000000"/>
                <w:lang w:eastAsia="en-GB"/>
              </w:rPr>
            </w:pPr>
            <w:r w:rsidRPr="00BC6A59">
              <w:rPr>
                <w:rFonts w:cs="Arial"/>
                <w:b/>
                <w:bCs/>
                <w:color w:val="000000"/>
                <w:lang w:eastAsia="en-GB"/>
              </w:rPr>
              <w:t>£</w:t>
            </w:r>
            <w:r>
              <w:rPr>
                <w:rFonts w:cs="Arial"/>
                <w:b/>
                <w:bCs/>
                <w:color w:val="000000"/>
                <w:lang w:eastAsia="en-GB"/>
              </w:rPr>
              <w:t>41,800</w:t>
            </w:r>
          </w:p>
        </w:tc>
        <w:tc>
          <w:tcPr>
            <w:tcW w:w="2371" w:type="dxa"/>
          </w:tcPr>
          <w:p w14:paraId="188244DF" w14:textId="77777777" w:rsidR="006D139F" w:rsidRPr="00BC6A59" w:rsidRDefault="006D139F" w:rsidP="00B3499D">
            <w:pPr>
              <w:spacing w:after="120"/>
              <w:jc w:val="center"/>
              <w:rPr>
                <w:rFonts w:cs="Arial"/>
                <w:b/>
                <w:bCs/>
                <w:color w:val="000000"/>
                <w:lang w:eastAsia="en-GB"/>
              </w:rPr>
            </w:pPr>
            <w:r w:rsidRPr="00BC6A59">
              <w:rPr>
                <w:rFonts w:cs="Arial"/>
                <w:b/>
                <w:bCs/>
                <w:color w:val="000000"/>
                <w:lang w:eastAsia="en-GB"/>
              </w:rPr>
              <w:t>£</w:t>
            </w:r>
            <w:r>
              <w:rPr>
                <w:rFonts w:cs="Arial"/>
                <w:b/>
                <w:bCs/>
                <w:color w:val="000000"/>
                <w:lang w:eastAsia="en-GB"/>
              </w:rPr>
              <w:t>100,200</w:t>
            </w:r>
          </w:p>
        </w:tc>
        <w:tc>
          <w:tcPr>
            <w:tcW w:w="2371" w:type="dxa"/>
          </w:tcPr>
          <w:p w14:paraId="5898D688" w14:textId="77777777" w:rsidR="006D139F" w:rsidRPr="00BC6A59" w:rsidRDefault="006D139F" w:rsidP="00B3499D">
            <w:pPr>
              <w:spacing w:after="120"/>
              <w:jc w:val="center"/>
              <w:rPr>
                <w:rFonts w:cs="Arial"/>
                <w:b/>
                <w:bCs/>
                <w:color w:val="000000"/>
                <w:lang w:eastAsia="en-GB"/>
              </w:rPr>
            </w:pPr>
            <w:r w:rsidRPr="00BC6A59">
              <w:rPr>
                <w:rFonts w:cs="Arial"/>
                <w:b/>
                <w:bCs/>
                <w:color w:val="000000"/>
                <w:lang w:eastAsia="en-GB"/>
              </w:rPr>
              <w:t>£</w:t>
            </w:r>
            <w:r>
              <w:rPr>
                <w:rFonts w:cs="Arial"/>
                <w:b/>
                <w:bCs/>
                <w:color w:val="000000"/>
                <w:lang w:eastAsia="en-GB"/>
              </w:rPr>
              <w:t>162,800</w:t>
            </w:r>
          </w:p>
        </w:tc>
      </w:tr>
    </w:tbl>
    <w:p w14:paraId="7855701C" w14:textId="77777777" w:rsidR="006D139F" w:rsidRPr="00BC6A59" w:rsidRDefault="006D139F" w:rsidP="006D139F">
      <w:pPr>
        <w:spacing w:after="120"/>
        <w:ind w:left="720"/>
        <w:rPr>
          <w:rFonts w:cs="Arial"/>
          <w:bCs/>
          <w:color w:val="000000"/>
          <w:lang w:eastAsia="en-GB"/>
        </w:rPr>
      </w:pPr>
    </w:p>
    <w:p w14:paraId="00BAEB12" w14:textId="77777777" w:rsidR="006D139F" w:rsidRPr="00BC6A59" w:rsidRDefault="006D139F" w:rsidP="006D139F">
      <w:pPr>
        <w:spacing w:after="120"/>
        <w:ind w:left="720"/>
        <w:rPr>
          <w:rFonts w:cs="Arial"/>
          <w:bCs/>
          <w:color w:val="000000"/>
          <w:lang w:eastAsia="en-GB"/>
        </w:rPr>
      </w:pPr>
      <w:r w:rsidRPr="00BC6A59">
        <w:rPr>
          <w:rFonts w:cs="Arial"/>
          <w:bCs/>
          <w:color w:val="000000"/>
          <w:lang w:eastAsia="en-GB"/>
        </w:rPr>
        <w:t>Assumptions:</w:t>
      </w:r>
    </w:p>
    <w:p w14:paraId="1DD8BF9F" w14:textId="77777777" w:rsidR="006D139F" w:rsidRPr="00BC6A59" w:rsidRDefault="006D139F" w:rsidP="006D139F">
      <w:pPr>
        <w:pStyle w:val="ListParagraph"/>
        <w:numPr>
          <w:ilvl w:val="0"/>
          <w:numId w:val="41"/>
        </w:numPr>
        <w:spacing w:after="120"/>
        <w:rPr>
          <w:rFonts w:cs="Arial"/>
          <w:bCs/>
          <w:color w:val="000000"/>
          <w:lang w:eastAsia="en-GB"/>
        </w:rPr>
      </w:pPr>
      <w:r w:rsidRPr="00BC6A59">
        <w:rPr>
          <w:rFonts w:cs="Arial"/>
          <w:bCs/>
          <w:color w:val="000000"/>
          <w:lang w:eastAsia="en-GB"/>
        </w:rPr>
        <w:t>Cost of creating new</w:t>
      </w:r>
      <w:r>
        <w:rPr>
          <w:rFonts w:cs="Arial"/>
          <w:bCs/>
          <w:color w:val="000000"/>
          <w:lang w:eastAsia="en-GB"/>
        </w:rPr>
        <w:t xml:space="preserve"> tribunal</w:t>
      </w:r>
      <w:r w:rsidRPr="00BC6A59">
        <w:rPr>
          <w:rFonts w:cs="Arial"/>
          <w:bCs/>
          <w:color w:val="000000"/>
          <w:lang w:eastAsia="en-GB"/>
        </w:rPr>
        <w:t xml:space="preserve"> £</w:t>
      </w:r>
      <w:r>
        <w:rPr>
          <w:rFonts w:cs="Arial"/>
          <w:bCs/>
          <w:color w:val="000000"/>
          <w:lang w:eastAsia="en-GB"/>
        </w:rPr>
        <w:t>41,800 + 20/30% central/high estimate</w:t>
      </w:r>
    </w:p>
    <w:p w14:paraId="1F3C0571" w14:textId="77777777" w:rsidR="006D139F" w:rsidRDefault="006D139F" w:rsidP="006D139F">
      <w:pPr>
        <w:ind w:left="720"/>
        <w:rPr>
          <w:rFonts w:cs="Arial"/>
        </w:rPr>
      </w:pPr>
    </w:p>
    <w:p w14:paraId="5CA97463" w14:textId="77777777" w:rsidR="006D139F" w:rsidRPr="00BC6A59" w:rsidRDefault="006D139F" w:rsidP="006D139F">
      <w:pPr>
        <w:ind w:left="720"/>
        <w:rPr>
          <w:rFonts w:cs="Arial"/>
          <w:b/>
        </w:rPr>
      </w:pPr>
      <w:r w:rsidRPr="00BC6A59">
        <w:rPr>
          <w:rFonts w:cs="Arial"/>
          <w:b/>
        </w:rPr>
        <w:t>Annual savings = £</w:t>
      </w:r>
      <w:r>
        <w:rPr>
          <w:rFonts w:cs="Arial"/>
          <w:b/>
        </w:rPr>
        <w:t>10,</w:t>
      </w:r>
      <w:r w:rsidR="003C2D3D">
        <w:rPr>
          <w:rFonts w:cs="Arial"/>
          <w:b/>
        </w:rPr>
        <w:t>020</w:t>
      </w:r>
      <w:r w:rsidRPr="00BC6A59">
        <w:rPr>
          <w:rFonts w:cs="Arial"/>
          <w:b/>
        </w:rPr>
        <w:t xml:space="preserve">  [central estimate]</w:t>
      </w:r>
    </w:p>
    <w:p w14:paraId="6BE2E23A" w14:textId="77777777" w:rsidR="006D139F" w:rsidRPr="00BC6A59" w:rsidRDefault="006D139F" w:rsidP="006D139F">
      <w:pPr>
        <w:ind w:left="720"/>
        <w:rPr>
          <w:rFonts w:cs="Arial"/>
          <w:b/>
        </w:rPr>
      </w:pPr>
    </w:p>
    <w:p w14:paraId="7A0DAE92" w14:textId="77777777" w:rsidR="006D139F" w:rsidRPr="00BC6A59" w:rsidRDefault="006D139F" w:rsidP="006D139F">
      <w:pPr>
        <w:ind w:left="720"/>
        <w:rPr>
          <w:rFonts w:cs="Arial"/>
          <w:b/>
        </w:rPr>
      </w:pPr>
      <w:r w:rsidRPr="00BC6A59">
        <w:rPr>
          <w:rFonts w:cs="Arial"/>
          <w:b/>
        </w:rPr>
        <w:t xml:space="preserve">Present value over 10 years = </w:t>
      </w:r>
      <w:r w:rsidR="001A6A92">
        <w:rPr>
          <w:rFonts w:cs="Arial"/>
          <w:b/>
        </w:rPr>
        <w:t>£</w:t>
      </w:r>
      <w:r w:rsidR="000440E2">
        <w:rPr>
          <w:rFonts w:cs="Arial"/>
          <w:b/>
        </w:rPr>
        <w:t>0.14 million</w:t>
      </w:r>
      <w:r w:rsidRPr="00BC6A59">
        <w:rPr>
          <w:rFonts w:cs="Arial"/>
          <w:b/>
        </w:rPr>
        <w:t xml:space="preserve">   [central estimate]</w:t>
      </w:r>
    </w:p>
    <w:p w14:paraId="79EF1FA1" w14:textId="77777777" w:rsidR="006D139F" w:rsidRDefault="006D139F">
      <w:pPr>
        <w:spacing w:after="120"/>
        <w:ind w:left="720"/>
        <w:rPr>
          <w:rFonts w:cs="Arial"/>
          <w:bCs/>
          <w:color w:val="000000"/>
          <w:lang w:eastAsia="en-GB"/>
        </w:rPr>
      </w:pPr>
    </w:p>
    <w:p w14:paraId="659D68C9" w14:textId="77777777" w:rsidR="00AA6A31" w:rsidRPr="000B308F" w:rsidRDefault="000D5412" w:rsidP="000B308F">
      <w:pPr>
        <w:spacing w:after="120"/>
        <w:rPr>
          <w:rFonts w:cs="Arial"/>
          <w:bCs/>
          <w:color w:val="000000"/>
          <w:u w:val="single"/>
          <w:lang w:eastAsia="en-GB"/>
        </w:rPr>
      </w:pPr>
      <w:r w:rsidRPr="000B308F">
        <w:rPr>
          <w:rFonts w:cs="Arial"/>
          <w:bCs/>
          <w:color w:val="000000"/>
          <w:lang w:eastAsia="en-GB"/>
        </w:rPr>
        <w:tab/>
      </w:r>
      <w:r w:rsidR="0005305F">
        <w:rPr>
          <w:rFonts w:cs="Arial"/>
          <w:bCs/>
          <w:color w:val="000000"/>
          <w:lang w:eastAsia="en-GB"/>
        </w:rPr>
        <w:t>9</w:t>
      </w:r>
      <w:r w:rsidR="00AA6A31" w:rsidRPr="000B308F">
        <w:rPr>
          <w:rFonts w:cs="Arial"/>
          <w:bCs/>
          <w:color w:val="000000"/>
          <w:u w:val="single"/>
          <w:lang w:eastAsia="en-GB"/>
        </w:rPr>
        <w:t>. Efficiency administrative savings</w:t>
      </w:r>
    </w:p>
    <w:p w14:paraId="62C9C640" w14:textId="77777777" w:rsidR="000918F2" w:rsidRDefault="000B3C37" w:rsidP="00BA5F1B">
      <w:pPr>
        <w:spacing w:after="240"/>
        <w:ind w:left="720"/>
        <w:rPr>
          <w:rFonts w:cs="Arial"/>
        </w:rPr>
      </w:pPr>
      <w:r w:rsidRPr="002A6CB2">
        <w:rPr>
          <w:rFonts w:cs="Arial"/>
        </w:rPr>
        <w:t xml:space="preserve">Under current arrangements each Tribunal requires administrative support. For smaller tribunals this may be shared with the larger tribunals but under the unified system there is scope for more efficient pooling of resources to avoid duplication that might occur amongst the larger tribunals. </w:t>
      </w:r>
      <w:r w:rsidR="001D29F6">
        <w:rPr>
          <w:rFonts w:cs="Arial"/>
        </w:rPr>
        <w:t xml:space="preserve">This is particularly the case for the </w:t>
      </w:r>
      <w:r w:rsidR="00C25BE0">
        <w:rPr>
          <w:rFonts w:cs="Arial"/>
        </w:rPr>
        <w:t>Valuation Tribunal for Wales</w:t>
      </w:r>
      <w:r w:rsidR="00150E2D">
        <w:rPr>
          <w:rFonts w:cs="Arial"/>
        </w:rPr>
        <w:t>, which is currently administered separately from the WTU</w:t>
      </w:r>
      <w:r w:rsidR="001D29F6">
        <w:rPr>
          <w:rFonts w:cs="Arial"/>
        </w:rPr>
        <w:t xml:space="preserve">. </w:t>
      </w:r>
      <w:r w:rsidRPr="002A6CB2">
        <w:rPr>
          <w:rFonts w:cs="Arial"/>
        </w:rPr>
        <w:t xml:space="preserve">Savings made here may be required to offset the </w:t>
      </w:r>
      <w:r w:rsidR="00150E2D">
        <w:rPr>
          <w:rFonts w:cs="Arial"/>
        </w:rPr>
        <w:t xml:space="preserve">overheads and </w:t>
      </w:r>
      <w:r w:rsidR="006475DA">
        <w:rPr>
          <w:rFonts w:cs="Arial"/>
        </w:rPr>
        <w:t xml:space="preserve">cost of </w:t>
      </w:r>
      <w:r w:rsidR="00150E2D">
        <w:rPr>
          <w:rFonts w:cs="Arial"/>
        </w:rPr>
        <w:t xml:space="preserve">additional expertise </w:t>
      </w:r>
      <w:r w:rsidRPr="002A6CB2">
        <w:rPr>
          <w:rFonts w:cs="Arial"/>
        </w:rPr>
        <w:t xml:space="preserve">currently provided for by the Welsh </w:t>
      </w:r>
      <w:r w:rsidR="00150E2D">
        <w:rPr>
          <w:rFonts w:cs="Arial"/>
        </w:rPr>
        <w:t>G</w:t>
      </w:r>
      <w:r w:rsidRPr="002A6CB2">
        <w:rPr>
          <w:rFonts w:cs="Arial"/>
        </w:rPr>
        <w:t>overnment when required.</w:t>
      </w:r>
    </w:p>
    <w:p w14:paraId="71C78048" w14:textId="77777777" w:rsidR="00D153CF" w:rsidRPr="000B308F" w:rsidRDefault="00D153CF" w:rsidP="000918F2">
      <w:pPr>
        <w:rPr>
          <w:rFonts w:cs="Arial"/>
          <w:u w:val="single"/>
        </w:rPr>
      </w:pPr>
      <w:r w:rsidRPr="002A6CB2">
        <w:rPr>
          <w:rFonts w:cs="Arial"/>
        </w:rPr>
        <w:tab/>
      </w:r>
      <w:r w:rsidR="0005305F">
        <w:rPr>
          <w:rFonts w:cs="Arial"/>
        </w:rPr>
        <w:t>10</w:t>
      </w:r>
      <w:r w:rsidRPr="002A6CB2">
        <w:rPr>
          <w:rFonts w:cs="Arial"/>
        </w:rPr>
        <w:t xml:space="preserve">. </w:t>
      </w:r>
      <w:r w:rsidRPr="000B308F">
        <w:rPr>
          <w:rFonts w:cs="Arial"/>
          <w:u w:val="single"/>
        </w:rPr>
        <w:t>Judicial independence</w:t>
      </w:r>
    </w:p>
    <w:p w14:paraId="0D912DBD" w14:textId="77777777" w:rsidR="00D153CF" w:rsidRPr="000B308F" w:rsidRDefault="00D153CF" w:rsidP="000918F2">
      <w:pPr>
        <w:rPr>
          <w:rFonts w:cs="Arial"/>
          <w:u w:val="single"/>
        </w:rPr>
      </w:pPr>
    </w:p>
    <w:p w14:paraId="15946E93" w14:textId="77777777" w:rsidR="00D153CF" w:rsidRDefault="002114AC" w:rsidP="00BA5F1B">
      <w:pPr>
        <w:spacing w:after="240"/>
        <w:ind w:left="720"/>
        <w:rPr>
          <w:rFonts w:cs="Arial"/>
        </w:rPr>
      </w:pPr>
      <w:r w:rsidRPr="002A6CB2">
        <w:rPr>
          <w:rFonts w:cs="Arial"/>
        </w:rPr>
        <w:t xml:space="preserve">The new structure </w:t>
      </w:r>
      <w:r w:rsidR="000B3C37" w:rsidRPr="002A6CB2">
        <w:rPr>
          <w:rFonts w:cs="Arial"/>
        </w:rPr>
        <w:t>provides for better protection of judicial independence and is better compliant with the rule of law. It gives a role for senior judiciary in the running of the tribunal system</w:t>
      </w:r>
      <w:r w:rsidR="004963C9" w:rsidRPr="002A6CB2">
        <w:rPr>
          <w:rFonts w:cs="Arial"/>
        </w:rPr>
        <w:t>.</w:t>
      </w:r>
    </w:p>
    <w:p w14:paraId="7A62B8BE" w14:textId="77777777" w:rsidR="004963C9" w:rsidRPr="002A6CB2" w:rsidRDefault="0004167A" w:rsidP="000B308F">
      <w:pPr>
        <w:ind w:left="720"/>
        <w:rPr>
          <w:rFonts w:cs="Arial"/>
        </w:rPr>
      </w:pPr>
      <w:r>
        <w:rPr>
          <w:rFonts w:cs="Arial"/>
        </w:rPr>
        <w:t>1</w:t>
      </w:r>
      <w:r w:rsidR="0005305F">
        <w:rPr>
          <w:rFonts w:cs="Arial"/>
        </w:rPr>
        <w:t>1</w:t>
      </w:r>
      <w:r w:rsidR="004963C9" w:rsidRPr="002A6CB2">
        <w:rPr>
          <w:rFonts w:cs="Arial"/>
        </w:rPr>
        <w:t xml:space="preserve">. </w:t>
      </w:r>
      <w:r w:rsidR="004963C9" w:rsidRPr="000B308F">
        <w:rPr>
          <w:rFonts w:cs="Arial"/>
          <w:u w:val="single"/>
        </w:rPr>
        <w:t>Consistent and standardised approach provides certainty</w:t>
      </w:r>
    </w:p>
    <w:p w14:paraId="38564BD5" w14:textId="77777777" w:rsidR="000918F2" w:rsidRPr="002A6CB2" w:rsidRDefault="000918F2" w:rsidP="000918F2">
      <w:pPr>
        <w:rPr>
          <w:rFonts w:cs="Arial"/>
        </w:rPr>
      </w:pPr>
    </w:p>
    <w:p w14:paraId="61A7F920" w14:textId="0C0AB958" w:rsidR="00BA5F1B" w:rsidRDefault="001D29F6" w:rsidP="00BA5F1B">
      <w:pPr>
        <w:spacing w:after="240"/>
        <w:ind w:left="720"/>
        <w:rPr>
          <w:rFonts w:cs="Arial"/>
        </w:rPr>
      </w:pPr>
      <w:r>
        <w:rPr>
          <w:rFonts w:cs="Arial"/>
        </w:rPr>
        <w:t>Under</w:t>
      </w:r>
      <w:r w:rsidR="004A66A8" w:rsidRPr="002A6CB2">
        <w:rPr>
          <w:rFonts w:cs="Arial"/>
        </w:rPr>
        <w:t xml:space="preserve"> the proposed unified system </w:t>
      </w:r>
      <w:r w:rsidR="00730915" w:rsidRPr="002A6CB2">
        <w:rPr>
          <w:rFonts w:cs="Arial"/>
        </w:rPr>
        <w:t>a</w:t>
      </w:r>
      <w:r w:rsidR="004963C9" w:rsidRPr="000B308F">
        <w:rPr>
          <w:rFonts w:cs="Arial"/>
        </w:rPr>
        <w:t>ll chambers within the first-tier tribunal would have consistent methods of appointing and disciplining tribunal members (including legal members) and judicial leads</w:t>
      </w:r>
      <w:r w:rsidR="00730915" w:rsidRPr="000B308F">
        <w:rPr>
          <w:rFonts w:cs="Arial"/>
        </w:rPr>
        <w:t>. Th</w:t>
      </w:r>
      <w:r>
        <w:rPr>
          <w:rFonts w:cs="Arial"/>
        </w:rPr>
        <w:t>e unified</w:t>
      </w:r>
      <w:r w:rsidR="00730915" w:rsidRPr="000B308F">
        <w:rPr>
          <w:rFonts w:cs="Arial"/>
        </w:rPr>
        <w:t xml:space="preserve"> system avoids the lack of clarity and uncertainty </w:t>
      </w:r>
      <w:r>
        <w:rPr>
          <w:rFonts w:cs="Arial"/>
        </w:rPr>
        <w:t xml:space="preserve">that occurs when there is </w:t>
      </w:r>
      <w:r w:rsidR="00FE04C1">
        <w:rPr>
          <w:rFonts w:cs="Arial"/>
        </w:rPr>
        <w:t>a variety of approaches (or no settled approach at all)</w:t>
      </w:r>
      <w:r w:rsidR="00BA5F1B">
        <w:rPr>
          <w:rFonts w:cs="Arial"/>
        </w:rPr>
        <w:t>.</w:t>
      </w:r>
    </w:p>
    <w:p w14:paraId="040D3D29" w14:textId="253E212D" w:rsidR="006D068E" w:rsidRPr="000B308F" w:rsidRDefault="006D068E" w:rsidP="004963C9">
      <w:pPr>
        <w:ind w:left="720"/>
        <w:rPr>
          <w:rFonts w:cs="Arial"/>
        </w:rPr>
      </w:pPr>
      <w:r w:rsidRPr="000B308F">
        <w:rPr>
          <w:rFonts w:cs="Arial"/>
        </w:rPr>
        <w:t>1</w:t>
      </w:r>
      <w:r w:rsidR="0005305F">
        <w:rPr>
          <w:rFonts w:cs="Arial"/>
        </w:rPr>
        <w:t>2</w:t>
      </w:r>
      <w:r w:rsidRPr="000B308F">
        <w:rPr>
          <w:rFonts w:cs="Arial"/>
        </w:rPr>
        <w:t>.</w:t>
      </w:r>
      <w:r w:rsidR="00BA5F1B">
        <w:rPr>
          <w:rFonts w:cs="Arial"/>
        </w:rPr>
        <w:t xml:space="preserve"> </w:t>
      </w:r>
      <w:r w:rsidR="00947739">
        <w:rPr>
          <w:rFonts w:cs="Arial"/>
          <w:u w:val="single"/>
        </w:rPr>
        <w:t xml:space="preserve">Increased </w:t>
      </w:r>
      <w:r w:rsidRPr="000B308F">
        <w:rPr>
          <w:rFonts w:cs="Arial"/>
          <w:u w:val="single"/>
        </w:rPr>
        <w:t>centralised supervisory oversight</w:t>
      </w:r>
    </w:p>
    <w:p w14:paraId="0AEFFD07" w14:textId="77777777" w:rsidR="006D068E" w:rsidRPr="000B308F" w:rsidRDefault="006D068E" w:rsidP="004963C9">
      <w:pPr>
        <w:ind w:left="720"/>
        <w:rPr>
          <w:rFonts w:cs="Arial"/>
        </w:rPr>
      </w:pPr>
    </w:p>
    <w:p w14:paraId="33CAB2AF" w14:textId="77777777" w:rsidR="006B72A2" w:rsidRDefault="006B72A2" w:rsidP="00BA5F1B">
      <w:pPr>
        <w:spacing w:after="240"/>
        <w:ind w:left="720"/>
        <w:rPr>
          <w:rFonts w:cs="Arial"/>
        </w:rPr>
      </w:pPr>
      <w:r w:rsidRPr="002A6CB2">
        <w:rPr>
          <w:rFonts w:cs="Arial"/>
        </w:rPr>
        <w:t xml:space="preserve">Some devolved tribunals are not listed in the Wales Act 2017 and so are not administrated by the WTU or subject to the supervision of the President of Welsh Tribunals. The </w:t>
      </w:r>
      <w:r w:rsidR="00C25BE0">
        <w:rPr>
          <w:rFonts w:cs="Arial"/>
        </w:rPr>
        <w:t>Valuation Tribunal for Wales</w:t>
      </w:r>
      <w:r w:rsidRPr="002A6CB2">
        <w:rPr>
          <w:rFonts w:cs="Arial"/>
        </w:rPr>
        <w:t xml:space="preserve"> is sponsored by the Welsh Government but governed by its own Governing Council, as well as a Chief Executive Office and a President. School exclusion and admission appeal panels are administered locally, usually by local authorities</w:t>
      </w:r>
      <w:r w:rsidR="00BA5F1B">
        <w:rPr>
          <w:rFonts w:cs="Arial"/>
        </w:rPr>
        <w:t>.</w:t>
      </w:r>
      <w:r w:rsidR="00D463A3">
        <w:rPr>
          <w:rFonts w:cs="Arial"/>
        </w:rPr>
        <w:t xml:space="preserve"> Bringing the </w:t>
      </w:r>
      <w:r w:rsidR="00C25BE0">
        <w:rPr>
          <w:rFonts w:cs="Arial"/>
        </w:rPr>
        <w:t>Valuation Tribunal for Wales</w:t>
      </w:r>
      <w:r w:rsidR="00D463A3">
        <w:rPr>
          <w:rFonts w:cs="Arial"/>
        </w:rPr>
        <w:t xml:space="preserve"> and school exclusion panels within </w:t>
      </w:r>
      <w:r w:rsidR="0004167A">
        <w:rPr>
          <w:rFonts w:cs="Arial"/>
        </w:rPr>
        <w:t xml:space="preserve">a First-tier Tribunal for Wales, and therefore </w:t>
      </w:r>
      <w:r w:rsidR="00D463A3">
        <w:rPr>
          <w:rFonts w:cs="Arial"/>
        </w:rPr>
        <w:t>the remit of the President of Welsh Tribunals would enable more comprehensive oversight of the devolved tribunals in Wales.</w:t>
      </w:r>
    </w:p>
    <w:p w14:paraId="0235C5CF" w14:textId="1E16C2E8" w:rsidR="006824C7" w:rsidRDefault="006824C7">
      <w:pPr>
        <w:ind w:left="720"/>
        <w:rPr>
          <w:rFonts w:cs="Arial"/>
          <w:u w:val="single"/>
        </w:rPr>
      </w:pPr>
      <w:r w:rsidRPr="002A6CB2">
        <w:rPr>
          <w:rFonts w:cs="Arial"/>
        </w:rPr>
        <w:t>1</w:t>
      </w:r>
      <w:r w:rsidR="0005305F">
        <w:rPr>
          <w:rFonts w:cs="Arial"/>
        </w:rPr>
        <w:t>3</w:t>
      </w:r>
      <w:r w:rsidRPr="002A6CB2">
        <w:rPr>
          <w:rFonts w:cs="Arial"/>
        </w:rPr>
        <w:t xml:space="preserve">. </w:t>
      </w:r>
      <w:r w:rsidRPr="000B308F">
        <w:rPr>
          <w:rFonts w:cs="Arial"/>
          <w:u w:val="single"/>
        </w:rPr>
        <w:t xml:space="preserve">Time savings to LAs in not having to arrange for </w:t>
      </w:r>
      <w:r w:rsidR="00DF521D">
        <w:rPr>
          <w:rFonts w:cs="Arial"/>
          <w:u w:val="single"/>
        </w:rPr>
        <w:t>s</w:t>
      </w:r>
      <w:r w:rsidRPr="000B308F">
        <w:rPr>
          <w:rFonts w:cs="Arial"/>
          <w:u w:val="single"/>
        </w:rPr>
        <w:t>chool exclusion panels</w:t>
      </w:r>
      <w:r w:rsidR="004712A4">
        <w:rPr>
          <w:rStyle w:val="FootnoteReference"/>
        </w:rPr>
        <w:footnoteReference w:id="40"/>
      </w:r>
    </w:p>
    <w:p w14:paraId="61C1DADB" w14:textId="77777777" w:rsidR="00BA5F1B" w:rsidRDefault="00BA5F1B">
      <w:pPr>
        <w:ind w:left="720"/>
        <w:rPr>
          <w:rFonts w:cs="Arial"/>
          <w:u w:val="single"/>
        </w:rPr>
      </w:pPr>
    </w:p>
    <w:p w14:paraId="64F5EC62" w14:textId="1275135A" w:rsidR="00BA5F1B" w:rsidRPr="00BA5F1B" w:rsidRDefault="00BA5F1B">
      <w:pPr>
        <w:ind w:left="720"/>
        <w:rPr>
          <w:rFonts w:cs="Arial"/>
        </w:rPr>
      </w:pPr>
      <w:r>
        <w:rPr>
          <w:rFonts w:cs="Arial"/>
        </w:rPr>
        <w:t xml:space="preserve">Under existing arrangements </w:t>
      </w:r>
      <w:r w:rsidR="009246BB">
        <w:rPr>
          <w:rFonts w:cs="Arial"/>
        </w:rPr>
        <w:t xml:space="preserve">LAs are responsible for the administration of school exclusion panels. Each LA has its own arrangements and there is no centrally available data collection or monitoring. Inclusion within </w:t>
      </w:r>
      <w:r w:rsidR="009F6173">
        <w:rPr>
          <w:rFonts w:cs="Arial"/>
        </w:rPr>
        <w:t>a First-tier Tribunal for Wales</w:t>
      </w:r>
      <w:r w:rsidR="009246BB">
        <w:rPr>
          <w:rFonts w:cs="Arial"/>
        </w:rPr>
        <w:t xml:space="preserve"> will enable a standardised approach and access to pooled resources facilitating efficiency savings. See table </w:t>
      </w:r>
      <w:r w:rsidR="00650361">
        <w:rPr>
          <w:rFonts w:cs="Arial"/>
        </w:rPr>
        <w:t>10</w:t>
      </w:r>
      <w:r w:rsidR="009246BB">
        <w:rPr>
          <w:rFonts w:cs="Arial"/>
        </w:rPr>
        <w:t xml:space="preserve"> below. </w:t>
      </w:r>
    </w:p>
    <w:p w14:paraId="497A49DC" w14:textId="77777777" w:rsidR="008A136A" w:rsidRPr="000B308F" w:rsidRDefault="008A136A">
      <w:pPr>
        <w:ind w:left="720"/>
        <w:rPr>
          <w:rFonts w:cs="Arial"/>
          <w:u w:val="single"/>
        </w:rPr>
      </w:pPr>
    </w:p>
    <w:p w14:paraId="73706A17" w14:textId="307427E2" w:rsidR="008A136A" w:rsidRDefault="008A136A" w:rsidP="000B308F">
      <w:pPr>
        <w:ind w:firstLine="720"/>
        <w:rPr>
          <w:rFonts w:cs="Arial"/>
        </w:rPr>
      </w:pPr>
      <w:r>
        <w:rPr>
          <w:rFonts w:cs="Arial"/>
        </w:rPr>
        <w:t>Table</w:t>
      </w:r>
      <w:r w:rsidR="009246BB">
        <w:rPr>
          <w:rFonts w:cs="Arial"/>
        </w:rPr>
        <w:t xml:space="preserve"> </w:t>
      </w:r>
      <w:r w:rsidR="00650361">
        <w:rPr>
          <w:rFonts w:cs="Arial"/>
        </w:rPr>
        <w:t>10</w:t>
      </w:r>
      <w:r>
        <w:rPr>
          <w:rFonts w:cs="Arial"/>
        </w:rPr>
        <w:t xml:space="preserve">: </w:t>
      </w:r>
      <w:r w:rsidR="000F754D">
        <w:rPr>
          <w:rFonts w:cs="Arial"/>
        </w:rPr>
        <w:t>Annual s</w:t>
      </w:r>
      <w:r>
        <w:rPr>
          <w:rFonts w:cs="Arial"/>
        </w:rPr>
        <w:t xml:space="preserve">avings from </w:t>
      </w:r>
      <w:r w:rsidR="009246BB">
        <w:rPr>
          <w:rFonts w:cs="Arial"/>
        </w:rPr>
        <w:t xml:space="preserve">inclusion </w:t>
      </w:r>
      <w:r>
        <w:rPr>
          <w:rFonts w:cs="Arial"/>
        </w:rPr>
        <w:t xml:space="preserve">of </w:t>
      </w:r>
      <w:r w:rsidR="008766C1">
        <w:rPr>
          <w:rFonts w:cs="Arial"/>
        </w:rPr>
        <w:t>s</w:t>
      </w:r>
      <w:r w:rsidR="00CD2B0B">
        <w:rPr>
          <w:rFonts w:cs="Arial"/>
        </w:rPr>
        <w:t xml:space="preserve">chool </w:t>
      </w:r>
      <w:r w:rsidR="008766C1">
        <w:rPr>
          <w:rFonts w:cs="Arial"/>
        </w:rPr>
        <w:t>e</w:t>
      </w:r>
      <w:r w:rsidR="00CD2B0B">
        <w:rPr>
          <w:rFonts w:cs="Arial"/>
        </w:rPr>
        <w:t xml:space="preserve">xclusion </w:t>
      </w:r>
      <w:r>
        <w:rPr>
          <w:rFonts w:cs="Arial"/>
        </w:rPr>
        <w:t>panels</w:t>
      </w:r>
      <w:r w:rsidR="009246BB">
        <w:rPr>
          <w:rFonts w:cs="Arial"/>
        </w:rPr>
        <w:t xml:space="preserve"> within Unified System</w:t>
      </w:r>
    </w:p>
    <w:p w14:paraId="3AA2E725" w14:textId="77777777" w:rsidR="008A136A" w:rsidRDefault="008A136A">
      <w:pPr>
        <w:ind w:left="720"/>
        <w:rPr>
          <w:rFonts w:cs="Arial"/>
        </w:rPr>
      </w:pPr>
    </w:p>
    <w:tbl>
      <w:tblPr>
        <w:tblStyle w:val="TableGrid"/>
        <w:tblW w:w="0" w:type="auto"/>
        <w:tblInd w:w="720" w:type="dxa"/>
        <w:tblLook w:val="04A0" w:firstRow="1" w:lastRow="0" w:firstColumn="1" w:lastColumn="0" w:noHBand="0" w:noVBand="1"/>
      </w:tblPr>
      <w:tblGrid>
        <w:gridCol w:w="2819"/>
        <w:gridCol w:w="1958"/>
        <w:gridCol w:w="2011"/>
        <w:gridCol w:w="2410"/>
      </w:tblGrid>
      <w:tr w:rsidR="008A136A" w:rsidRPr="005F140B" w14:paraId="3A829924" w14:textId="77777777" w:rsidTr="000B308F">
        <w:trPr>
          <w:trHeight w:val="638"/>
        </w:trPr>
        <w:tc>
          <w:tcPr>
            <w:tcW w:w="2819" w:type="dxa"/>
            <w:shd w:val="clear" w:color="auto" w:fill="D9D9D9" w:themeFill="background1" w:themeFillShade="D9"/>
          </w:tcPr>
          <w:p w14:paraId="168A5AC6" w14:textId="77777777" w:rsidR="008A136A" w:rsidRPr="005F140B" w:rsidRDefault="008A136A" w:rsidP="002C48DD">
            <w:pPr>
              <w:spacing w:after="120"/>
              <w:rPr>
                <w:rFonts w:cs="Arial"/>
                <w:bCs/>
                <w:color w:val="000000"/>
                <w:lang w:eastAsia="en-GB"/>
              </w:rPr>
            </w:pPr>
          </w:p>
        </w:tc>
        <w:tc>
          <w:tcPr>
            <w:tcW w:w="1958" w:type="dxa"/>
            <w:shd w:val="clear" w:color="auto" w:fill="D9D9D9" w:themeFill="background1" w:themeFillShade="D9"/>
          </w:tcPr>
          <w:p w14:paraId="54C919B9" w14:textId="77777777" w:rsidR="008A136A" w:rsidRPr="005F140B" w:rsidRDefault="008A136A" w:rsidP="002C48DD">
            <w:pPr>
              <w:spacing w:after="120"/>
              <w:rPr>
                <w:rFonts w:cs="Arial"/>
                <w:bCs/>
                <w:color w:val="000000"/>
                <w:lang w:eastAsia="en-GB"/>
              </w:rPr>
            </w:pPr>
            <w:r w:rsidRPr="005F140B">
              <w:rPr>
                <w:rFonts w:cs="Arial"/>
                <w:bCs/>
                <w:color w:val="000000"/>
                <w:lang w:eastAsia="en-GB"/>
              </w:rPr>
              <w:t>Low estimate</w:t>
            </w:r>
          </w:p>
        </w:tc>
        <w:tc>
          <w:tcPr>
            <w:tcW w:w="2011" w:type="dxa"/>
            <w:shd w:val="clear" w:color="auto" w:fill="D9D9D9" w:themeFill="background1" w:themeFillShade="D9"/>
          </w:tcPr>
          <w:p w14:paraId="41ECA619" w14:textId="77777777" w:rsidR="008A136A" w:rsidRPr="005F140B" w:rsidRDefault="008A136A" w:rsidP="002C48DD">
            <w:pPr>
              <w:spacing w:after="120"/>
              <w:rPr>
                <w:rFonts w:cs="Arial"/>
                <w:bCs/>
                <w:color w:val="000000"/>
                <w:lang w:eastAsia="en-GB"/>
              </w:rPr>
            </w:pPr>
            <w:r w:rsidRPr="005F140B">
              <w:rPr>
                <w:rFonts w:cs="Arial"/>
                <w:bCs/>
                <w:color w:val="000000"/>
                <w:lang w:eastAsia="en-GB"/>
              </w:rPr>
              <w:t>Central estimate</w:t>
            </w:r>
          </w:p>
        </w:tc>
        <w:tc>
          <w:tcPr>
            <w:tcW w:w="2410" w:type="dxa"/>
            <w:shd w:val="clear" w:color="auto" w:fill="D9D9D9" w:themeFill="background1" w:themeFillShade="D9"/>
          </w:tcPr>
          <w:p w14:paraId="2EACE965" w14:textId="77777777" w:rsidR="008A136A" w:rsidRPr="005F140B" w:rsidRDefault="008A136A" w:rsidP="002C48DD">
            <w:pPr>
              <w:spacing w:after="120"/>
              <w:rPr>
                <w:rFonts w:cs="Arial"/>
                <w:bCs/>
                <w:color w:val="000000"/>
                <w:lang w:eastAsia="en-GB"/>
              </w:rPr>
            </w:pPr>
            <w:r w:rsidRPr="005F140B">
              <w:rPr>
                <w:rFonts w:cs="Arial"/>
                <w:bCs/>
                <w:color w:val="000000"/>
                <w:lang w:eastAsia="en-GB"/>
              </w:rPr>
              <w:t>High estimate</w:t>
            </w:r>
          </w:p>
        </w:tc>
      </w:tr>
      <w:tr w:rsidR="008A136A" w:rsidRPr="005F140B" w14:paraId="1C9E1A64" w14:textId="77777777" w:rsidTr="000B308F">
        <w:tc>
          <w:tcPr>
            <w:tcW w:w="2819" w:type="dxa"/>
          </w:tcPr>
          <w:p w14:paraId="3F39BE90" w14:textId="77777777" w:rsidR="008A136A" w:rsidRPr="005F140B" w:rsidRDefault="008A136A" w:rsidP="002C48DD">
            <w:pPr>
              <w:spacing w:after="120"/>
              <w:rPr>
                <w:rFonts w:cs="Arial"/>
                <w:bCs/>
                <w:color w:val="000000"/>
                <w:lang w:eastAsia="en-GB"/>
              </w:rPr>
            </w:pPr>
            <w:r>
              <w:rPr>
                <w:rFonts w:cs="Arial"/>
                <w:bCs/>
                <w:color w:val="000000"/>
                <w:lang w:eastAsia="en-GB"/>
              </w:rPr>
              <w:t xml:space="preserve">Number of </w:t>
            </w:r>
            <w:r w:rsidR="00C00E7C">
              <w:rPr>
                <w:rFonts w:cs="Arial"/>
                <w:bCs/>
                <w:color w:val="000000"/>
                <w:lang w:eastAsia="en-GB"/>
              </w:rPr>
              <w:t>hearings</w:t>
            </w:r>
          </w:p>
        </w:tc>
        <w:tc>
          <w:tcPr>
            <w:tcW w:w="1958" w:type="dxa"/>
          </w:tcPr>
          <w:p w14:paraId="255074E7" w14:textId="77777777" w:rsidR="008A136A" w:rsidRPr="005F140B" w:rsidRDefault="00FF4D66" w:rsidP="000B308F">
            <w:pPr>
              <w:spacing w:after="120"/>
              <w:jc w:val="center"/>
              <w:rPr>
                <w:rFonts w:cs="Arial"/>
                <w:bCs/>
                <w:color w:val="000000"/>
                <w:lang w:eastAsia="en-GB"/>
              </w:rPr>
            </w:pPr>
            <w:r>
              <w:rPr>
                <w:rFonts w:cs="Arial"/>
                <w:bCs/>
                <w:color w:val="000000"/>
                <w:lang w:eastAsia="en-GB"/>
              </w:rPr>
              <w:t>40</w:t>
            </w:r>
          </w:p>
        </w:tc>
        <w:tc>
          <w:tcPr>
            <w:tcW w:w="2011" w:type="dxa"/>
          </w:tcPr>
          <w:p w14:paraId="1AA18C8D" w14:textId="77777777" w:rsidR="008A136A" w:rsidRPr="005F140B" w:rsidRDefault="00FF4D66" w:rsidP="000B308F">
            <w:pPr>
              <w:spacing w:after="120"/>
              <w:jc w:val="center"/>
              <w:rPr>
                <w:rFonts w:cs="Arial"/>
                <w:bCs/>
                <w:color w:val="000000"/>
                <w:lang w:eastAsia="en-GB"/>
              </w:rPr>
            </w:pPr>
            <w:r>
              <w:rPr>
                <w:rFonts w:cs="Arial"/>
                <w:bCs/>
                <w:color w:val="000000"/>
                <w:lang w:eastAsia="en-GB"/>
              </w:rPr>
              <w:t>44</w:t>
            </w:r>
          </w:p>
        </w:tc>
        <w:tc>
          <w:tcPr>
            <w:tcW w:w="2410" w:type="dxa"/>
          </w:tcPr>
          <w:p w14:paraId="4299AD67" w14:textId="77777777" w:rsidR="008A136A" w:rsidRPr="005F140B" w:rsidRDefault="00293884" w:rsidP="000B308F">
            <w:pPr>
              <w:spacing w:after="120"/>
              <w:jc w:val="center"/>
              <w:rPr>
                <w:rFonts w:cs="Arial"/>
                <w:bCs/>
                <w:color w:val="000000"/>
                <w:lang w:eastAsia="en-GB"/>
              </w:rPr>
            </w:pPr>
            <w:r>
              <w:rPr>
                <w:rFonts w:cs="Arial"/>
                <w:bCs/>
                <w:color w:val="000000"/>
                <w:lang w:eastAsia="en-GB"/>
              </w:rPr>
              <w:t>48</w:t>
            </w:r>
          </w:p>
        </w:tc>
      </w:tr>
      <w:tr w:rsidR="008A136A" w:rsidRPr="005F140B" w14:paraId="55D4B2EE" w14:textId="77777777" w:rsidTr="000B308F">
        <w:tc>
          <w:tcPr>
            <w:tcW w:w="2819" w:type="dxa"/>
          </w:tcPr>
          <w:p w14:paraId="78673D39" w14:textId="77777777" w:rsidR="008A136A" w:rsidRPr="005F140B" w:rsidRDefault="00324FA6" w:rsidP="002C48DD">
            <w:pPr>
              <w:spacing w:after="120"/>
              <w:rPr>
                <w:rFonts w:cs="Arial"/>
                <w:bCs/>
                <w:color w:val="000000"/>
                <w:lang w:eastAsia="en-GB"/>
              </w:rPr>
            </w:pPr>
            <w:r>
              <w:rPr>
                <w:rFonts w:cs="Arial"/>
                <w:bCs/>
                <w:color w:val="000000"/>
                <w:lang w:eastAsia="en-GB"/>
              </w:rPr>
              <w:t>Number of hours prep</w:t>
            </w:r>
          </w:p>
        </w:tc>
        <w:tc>
          <w:tcPr>
            <w:tcW w:w="1958" w:type="dxa"/>
          </w:tcPr>
          <w:p w14:paraId="2BA4BE2D" w14:textId="77777777" w:rsidR="008A136A" w:rsidRPr="005F140B" w:rsidRDefault="00324FA6" w:rsidP="000B308F">
            <w:pPr>
              <w:spacing w:after="120"/>
              <w:jc w:val="center"/>
              <w:rPr>
                <w:rFonts w:cs="Arial"/>
                <w:bCs/>
                <w:color w:val="000000"/>
                <w:lang w:eastAsia="en-GB"/>
              </w:rPr>
            </w:pPr>
            <w:r>
              <w:rPr>
                <w:rFonts w:cs="Arial"/>
                <w:bCs/>
                <w:color w:val="000000"/>
                <w:lang w:eastAsia="en-GB"/>
              </w:rPr>
              <w:t>4</w:t>
            </w:r>
          </w:p>
        </w:tc>
        <w:tc>
          <w:tcPr>
            <w:tcW w:w="2011" w:type="dxa"/>
          </w:tcPr>
          <w:p w14:paraId="6A209199" w14:textId="77777777" w:rsidR="008A136A" w:rsidRPr="005F140B" w:rsidRDefault="00324FA6" w:rsidP="000B308F">
            <w:pPr>
              <w:spacing w:after="120"/>
              <w:jc w:val="center"/>
              <w:rPr>
                <w:rFonts w:cs="Arial"/>
                <w:bCs/>
                <w:color w:val="000000"/>
                <w:lang w:eastAsia="en-GB"/>
              </w:rPr>
            </w:pPr>
            <w:r>
              <w:rPr>
                <w:rFonts w:cs="Arial"/>
                <w:bCs/>
                <w:color w:val="000000"/>
                <w:lang w:eastAsia="en-GB"/>
              </w:rPr>
              <w:t>7</w:t>
            </w:r>
          </w:p>
        </w:tc>
        <w:tc>
          <w:tcPr>
            <w:tcW w:w="2410" w:type="dxa"/>
          </w:tcPr>
          <w:p w14:paraId="7E7E7ED5" w14:textId="77777777" w:rsidR="008A136A" w:rsidRPr="005F140B" w:rsidRDefault="00324FA6" w:rsidP="000B308F">
            <w:pPr>
              <w:spacing w:after="120"/>
              <w:jc w:val="center"/>
              <w:rPr>
                <w:rFonts w:cs="Arial"/>
                <w:bCs/>
                <w:color w:val="000000"/>
                <w:lang w:eastAsia="en-GB"/>
              </w:rPr>
            </w:pPr>
            <w:r>
              <w:rPr>
                <w:rFonts w:cs="Arial"/>
                <w:bCs/>
                <w:color w:val="000000"/>
                <w:lang w:eastAsia="en-GB"/>
              </w:rPr>
              <w:t>10</w:t>
            </w:r>
          </w:p>
        </w:tc>
      </w:tr>
      <w:tr w:rsidR="008A136A" w:rsidRPr="005F140B" w14:paraId="4C26357C" w14:textId="77777777" w:rsidTr="000B308F">
        <w:tc>
          <w:tcPr>
            <w:tcW w:w="2819" w:type="dxa"/>
          </w:tcPr>
          <w:p w14:paraId="5BE1308C" w14:textId="77777777" w:rsidR="008A136A" w:rsidRPr="005F140B" w:rsidRDefault="00324FA6" w:rsidP="002C48DD">
            <w:pPr>
              <w:spacing w:after="120"/>
              <w:rPr>
                <w:rFonts w:cs="Arial"/>
                <w:bCs/>
                <w:color w:val="000000"/>
                <w:lang w:eastAsia="en-GB"/>
              </w:rPr>
            </w:pPr>
            <w:r>
              <w:rPr>
                <w:rFonts w:cs="Arial"/>
                <w:bCs/>
                <w:color w:val="000000"/>
                <w:lang w:eastAsia="en-GB"/>
              </w:rPr>
              <w:t>Hourly cost of administrative support</w:t>
            </w:r>
            <w:r w:rsidR="00D72E1E">
              <w:rPr>
                <w:rStyle w:val="FootnoteReference"/>
                <w:bCs/>
                <w:color w:val="000000"/>
                <w:lang w:eastAsia="en-GB"/>
              </w:rPr>
              <w:footnoteReference w:id="41"/>
            </w:r>
          </w:p>
        </w:tc>
        <w:tc>
          <w:tcPr>
            <w:tcW w:w="1958" w:type="dxa"/>
          </w:tcPr>
          <w:p w14:paraId="3184290D" w14:textId="77777777" w:rsidR="008A136A" w:rsidRPr="005F140B" w:rsidRDefault="00D72E1E" w:rsidP="000B308F">
            <w:pPr>
              <w:spacing w:after="120"/>
              <w:jc w:val="center"/>
              <w:rPr>
                <w:rFonts w:cs="Arial"/>
                <w:bCs/>
                <w:color w:val="000000"/>
                <w:lang w:eastAsia="en-GB"/>
              </w:rPr>
            </w:pPr>
            <w:r>
              <w:rPr>
                <w:rFonts w:cs="Arial"/>
                <w:bCs/>
                <w:color w:val="000000"/>
                <w:lang w:eastAsia="en-GB"/>
              </w:rPr>
              <w:t>£1</w:t>
            </w:r>
            <w:r w:rsidR="00CD2B0B">
              <w:rPr>
                <w:rFonts w:cs="Arial"/>
                <w:bCs/>
                <w:color w:val="000000"/>
                <w:lang w:eastAsia="en-GB"/>
              </w:rPr>
              <w:t>5.51</w:t>
            </w:r>
          </w:p>
        </w:tc>
        <w:tc>
          <w:tcPr>
            <w:tcW w:w="2011" w:type="dxa"/>
          </w:tcPr>
          <w:p w14:paraId="3627B130" w14:textId="77777777" w:rsidR="008A136A" w:rsidRPr="005F140B" w:rsidRDefault="00CD2B0B" w:rsidP="000B308F">
            <w:pPr>
              <w:spacing w:after="120"/>
              <w:jc w:val="center"/>
              <w:rPr>
                <w:rFonts w:cs="Arial"/>
                <w:bCs/>
                <w:color w:val="000000"/>
                <w:lang w:eastAsia="en-GB"/>
              </w:rPr>
            </w:pPr>
            <w:r>
              <w:rPr>
                <w:rFonts w:cs="Arial"/>
                <w:bCs/>
                <w:color w:val="000000"/>
                <w:lang w:eastAsia="en-GB"/>
              </w:rPr>
              <w:t>£1</w:t>
            </w:r>
            <w:r w:rsidR="00BB0744">
              <w:rPr>
                <w:rFonts w:cs="Arial"/>
                <w:bCs/>
                <w:color w:val="000000"/>
                <w:lang w:eastAsia="en-GB"/>
              </w:rPr>
              <w:t>8.09</w:t>
            </w:r>
          </w:p>
        </w:tc>
        <w:tc>
          <w:tcPr>
            <w:tcW w:w="2410" w:type="dxa"/>
          </w:tcPr>
          <w:p w14:paraId="2BC553A2" w14:textId="77777777" w:rsidR="008A136A" w:rsidRPr="005F140B" w:rsidRDefault="00BB0744" w:rsidP="000B308F">
            <w:pPr>
              <w:spacing w:after="120"/>
              <w:jc w:val="center"/>
              <w:rPr>
                <w:rFonts w:cs="Arial"/>
                <w:bCs/>
                <w:color w:val="000000"/>
                <w:lang w:eastAsia="en-GB"/>
              </w:rPr>
            </w:pPr>
            <w:r>
              <w:rPr>
                <w:rFonts w:cs="Arial"/>
                <w:bCs/>
                <w:color w:val="000000"/>
                <w:lang w:eastAsia="en-GB"/>
              </w:rPr>
              <w:t>£23.04</w:t>
            </w:r>
          </w:p>
        </w:tc>
      </w:tr>
      <w:tr w:rsidR="00D72E1E" w:rsidRPr="005F140B" w14:paraId="32B0D325" w14:textId="77777777" w:rsidTr="000B308F">
        <w:trPr>
          <w:trHeight w:val="484"/>
        </w:trPr>
        <w:tc>
          <w:tcPr>
            <w:tcW w:w="2819" w:type="dxa"/>
          </w:tcPr>
          <w:p w14:paraId="70DEA265" w14:textId="77777777" w:rsidR="00D72E1E" w:rsidRPr="000B308F" w:rsidRDefault="00D72E1E" w:rsidP="002C48DD">
            <w:pPr>
              <w:spacing w:after="120"/>
              <w:rPr>
                <w:rFonts w:cs="Arial"/>
                <w:b/>
                <w:bCs/>
                <w:color w:val="000000"/>
                <w:lang w:eastAsia="en-GB"/>
              </w:rPr>
            </w:pPr>
            <w:r w:rsidRPr="000B308F">
              <w:rPr>
                <w:rFonts w:cs="Arial"/>
                <w:b/>
                <w:bCs/>
                <w:color w:val="000000"/>
                <w:lang w:eastAsia="en-GB"/>
              </w:rPr>
              <w:t>Total</w:t>
            </w:r>
            <w:r w:rsidR="009246BB" w:rsidRPr="000B308F">
              <w:rPr>
                <w:rFonts w:cs="Arial"/>
                <w:b/>
                <w:bCs/>
                <w:color w:val="000000"/>
                <w:lang w:eastAsia="en-GB"/>
              </w:rPr>
              <w:t xml:space="preserve"> annual savings</w:t>
            </w:r>
            <w:r w:rsidR="000440E2">
              <w:rPr>
                <w:rStyle w:val="FootnoteReference"/>
                <w:b/>
                <w:bCs/>
                <w:color w:val="000000"/>
                <w:lang w:eastAsia="en-GB"/>
              </w:rPr>
              <w:footnoteReference w:id="42"/>
            </w:r>
          </w:p>
        </w:tc>
        <w:tc>
          <w:tcPr>
            <w:tcW w:w="1958" w:type="dxa"/>
          </w:tcPr>
          <w:p w14:paraId="7C61C8EE" w14:textId="77777777" w:rsidR="00D72E1E" w:rsidRPr="000B308F" w:rsidRDefault="00CD2B0B" w:rsidP="000B308F">
            <w:pPr>
              <w:spacing w:after="120"/>
              <w:jc w:val="center"/>
              <w:rPr>
                <w:rFonts w:cs="Arial"/>
                <w:b/>
                <w:bCs/>
                <w:color w:val="000000"/>
                <w:lang w:eastAsia="en-GB"/>
              </w:rPr>
            </w:pPr>
            <w:r w:rsidRPr="000B308F">
              <w:rPr>
                <w:rFonts w:cs="Arial"/>
                <w:b/>
                <w:bCs/>
                <w:color w:val="000000"/>
                <w:lang w:eastAsia="en-GB"/>
              </w:rPr>
              <w:t>£</w:t>
            </w:r>
            <w:r w:rsidR="00F91073">
              <w:rPr>
                <w:rFonts w:cs="Arial"/>
                <w:b/>
                <w:bCs/>
                <w:color w:val="000000"/>
                <w:lang w:eastAsia="en-GB"/>
              </w:rPr>
              <w:t>2,</w:t>
            </w:r>
            <w:r w:rsidR="000440E2">
              <w:rPr>
                <w:rFonts w:cs="Arial"/>
                <w:b/>
                <w:bCs/>
                <w:color w:val="000000"/>
                <w:lang w:eastAsia="en-GB"/>
              </w:rPr>
              <w:t>500</w:t>
            </w:r>
          </w:p>
        </w:tc>
        <w:tc>
          <w:tcPr>
            <w:tcW w:w="2011" w:type="dxa"/>
          </w:tcPr>
          <w:p w14:paraId="4E665E47" w14:textId="77777777" w:rsidR="00D72E1E" w:rsidRPr="000B308F" w:rsidRDefault="00CD2B0B" w:rsidP="000B308F">
            <w:pPr>
              <w:spacing w:after="120"/>
              <w:jc w:val="center"/>
              <w:rPr>
                <w:rFonts w:cs="Arial"/>
                <w:b/>
                <w:bCs/>
                <w:color w:val="000000"/>
                <w:lang w:eastAsia="en-GB"/>
              </w:rPr>
            </w:pPr>
            <w:r w:rsidRPr="000B308F">
              <w:rPr>
                <w:rFonts w:cs="Arial"/>
                <w:b/>
                <w:bCs/>
                <w:color w:val="000000"/>
                <w:lang w:eastAsia="en-GB"/>
              </w:rPr>
              <w:t>£</w:t>
            </w:r>
            <w:r w:rsidR="00F91073">
              <w:rPr>
                <w:rFonts w:cs="Arial"/>
                <w:b/>
                <w:bCs/>
                <w:color w:val="000000"/>
                <w:lang w:eastAsia="en-GB"/>
              </w:rPr>
              <w:t>6,</w:t>
            </w:r>
            <w:r w:rsidR="00FD57AD">
              <w:rPr>
                <w:rFonts w:cs="Arial"/>
                <w:b/>
                <w:bCs/>
                <w:color w:val="000000"/>
                <w:lang w:eastAsia="en-GB"/>
              </w:rPr>
              <w:t>600</w:t>
            </w:r>
          </w:p>
        </w:tc>
        <w:tc>
          <w:tcPr>
            <w:tcW w:w="2410" w:type="dxa"/>
          </w:tcPr>
          <w:p w14:paraId="483BA189" w14:textId="77777777" w:rsidR="00D72E1E" w:rsidRPr="000B308F" w:rsidRDefault="00CD2B0B" w:rsidP="000B308F">
            <w:pPr>
              <w:spacing w:after="120"/>
              <w:jc w:val="center"/>
              <w:rPr>
                <w:rFonts w:cs="Arial"/>
                <w:b/>
                <w:bCs/>
                <w:color w:val="000000"/>
                <w:lang w:eastAsia="en-GB"/>
              </w:rPr>
            </w:pPr>
            <w:r w:rsidRPr="000B308F">
              <w:rPr>
                <w:rFonts w:cs="Arial"/>
                <w:b/>
                <w:bCs/>
                <w:color w:val="000000"/>
                <w:lang w:eastAsia="en-GB"/>
              </w:rPr>
              <w:t>£</w:t>
            </w:r>
            <w:r w:rsidR="00F91073">
              <w:rPr>
                <w:rFonts w:cs="Arial"/>
                <w:b/>
                <w:bCs/>
                <w:color w:val="000000"/>
                <w:lang w:eastAsia="en-GB"/>
              </w:rPr>
              <w:t>13,050</w:t>
            </w:r>
          </w:p>
        </w:tc>
      </w:tr>
    </w:tbl>
    <w:p w14:paraId="44A10C21" w14:textId="77777777" w:rsidR="008A136A" w:rsidRPr="002A6CB2" w:rsidRDefault="008A136A">
      <w:pPr>
        <w:ind w:left="720"/>
        <w:rPr>
          <w:rFonts w:cs="Arial"/>
        </w:rPr>
      </w:pPr>
    </w:p>
    <w:p w14:paraId="715B3816" w14:textId="77777777" w:rsidR="00B74DEF" w:rsidRDefault="008A136A">
      <w:pPr>
        <w:ind w:left="720"/>
        <w:rPr>
          <w:rFonts w:cs="Arial"/>
        </w:rPr>
      </w:pPr>
      <w:r>
        <w:rPr>
          <w:rFonts w:cs="Arial"/>
        </w:rPr>
        <w:t>Assumptions:</w:t>
      </w:r>
    </w:p>
    <w:p w14:paraId="5383859F" w14:textId="77777777" w:rsidR="00C00E7C" w:rsidRDefault="00324FA6" w:rsidP="008A136A">
      <w:pPr>
        <w:pStyle w:val="ListParagraph"/>
        <w:numPr>
          <w:ilvl w:val="0"/>
          <w:numId w:val="42"/>
        </w:numPr>
        <w:rPr>
          <w:rFonts w:cs="Arial"/>
        </w:rPr>
      </w:pPr>
      <w:r>
        <w:rPr>
          <w:rFonts w:cs="Arial"/>
        </w:rPr>
        <w:t xml:space="preserve">Number of </w:t>
      </w:r>
      <w:r w:rsidR="00293884">
        <w:rPr>
          <w:rFonts w:cs="Arial"/>
        </w:rPr>
        <w:t>annual hearings range from 44 [central estimate] +/- 10% high/low estimate</w:t>
      </w:r>
      <w:r>
        <w:rPr>
          <w:rFonts w:cs="Arial"/>
        </w:rPr>
        <w:t>;</w:t>
      </w:r>
    </w:p>
    <w:p w14:paraId="77AA18AC" w14:textId="77777777" w:rsidR="008A136A" w:rsidRDefault="008A136A" w:rsidP="008A136A">
      <w:pPr>
        <w:pStyle w:val="ListParagraph"/>
        <w:numPr>
          <w:ilvl w:val="0"/>
          <w:numId w:val="42"/>
        </w:numPr>
        <w:rPr>
          <w:rFonts w:cs="Arial"/>
        </w:rPr>
      </w:pPr>
      <w:r>
        <w:rPr>
          <w:rFonts w:cs="Arial"/>
        </w:rPr>
        <w:t>Administrative time taken to support Appeal Panels</w:t>
      </w:r>
      <w:r w:rsidR="00C47320">
        <w:rPr>
          <w:rFonts w:cs="Arial"/>
        </w:rPr>
        <w:t xml:space="preserve"> by clerk to the tribunal</w:t>
      </w:r>
      <w:r>
        <w:rPr>
          <w:rFonts w:cs="Arial"/>
        </w:rPr>
        <w:t xml:space="preserve">, </w:t>
      </w:r>
      <w:r w:rsidR="00324FA6">
        <w:rPr>
          <w:rFonts w:cs="Arial"/>
        </w:rPr>
        <w:t>4 – 10 hours with the mid-point 7 hours being the central estimate;</w:t>
      </w:r>
      <w:r>
        <w:rPr>
          <w:rFonts w:cs="Arial"/>
        </w:rPr>
        <w:t xml:space="preserve"> </w:t>
      </w:r>
    </w:p>
    <w:p w14:paraId="53817E9C" w14:textId="77777777" w:rsidR="00324FA6" w:rsidRDefault="00C47320" w:rsidP="00C47320">
      <w:pPr>
        <w:pStyle w:val="ListParagraph"/>
        <w:numPr>
          <w:ilvl w:val="0"/>
          <w:numId w:val="42"/>
        </w:numPr>
        <w:rPr>
          <w:rFonts w:cs="Arial"/>
        </w:rPr>
      </w:pPr>
      <w:r>
        <w:rPr>
          <w:rFonts w:cs="Arial"/>
        </w:rPr>
        <w:t xml:space="preserve">Assumed that one clerk will be </w:t>
      </w:r>
      <w:r w:rsidR="00324FA6">
        <w:rPr>
          <w:rFonts w:cs="Arial"/>
        </w:rPr>
        <w:t>allocated to prepare each hearing</w:t>
      </w:r>
      <w:r>
        <w:rPr>
          <w:rFonts w:cs="Arial"/>
        </w:rPr>
        <w:t xml:space="preserve">, clerk </w:t>
      </w:r>
      <w:r w:rsidR="00293884">
        <w:rPr>
          <w:rFonts w:cs="Arial"/>
        </w:rPr>
        <w:t xml:space="preserve">may be </w:t>
      </w:r>
      <w:r>
        <w:rPr>
          <w:rFonts w:cs="Arial"/>
        </w:rPr>
        <w:t xml:space="preserve">an administrator </w:t>
      </w:r>
      <w:r w:rsidR="00293884">
        <w:rPr>
          <w:rFonts w:cs="Arial"/>
        </w:rPr>
        <w:t>or</w:t>
      </w:r>
      <w:r>
        <w:rPr>
          <w:rFonts w:cs="Arial"/>
        </w:rPr>
        <w:t xml:space="preserve"> a legal professional</w:t>
      </w:r>
      <w:r w:rsidR="008E130B">
        <w:rPr>
          <w:rFonts w:cs="Arial"/>
        </w:rPr>
        <w:t>;</w:t>
      </w:r>
    </w:p>
    <w:p w14:paraId="29E317E4" w14:textId="77777777" w:rsidR="008E130B" w:rsidRDefault="008E130B" w:rsidP="008E130B">
      <w:pPr>
        <w:pStyle w:val="ListParagraph"/>
        <w:numPr>
          <w:ilvl w:val="0"/>
          <w:numId w:val="42"/>
        </w:numPr>
        <w:spacing w:after="120"/>
        <w:rPr>
          <w:rFonts w:cs="Arial"/>
          <w:bCs/>
          <w:color w:val="000000"/>
          <w:lang w:eastAsia="en-GB"/>
        </w:rPr>
      </w:pPr>
      <w:r>
        <w:rPr>
          <w:rFonts w:cs="Arial"/>
          <w:bCs/>
          <w:color w:val="000000"/>
          <w:lang w:eastAsia="en-GB"/>
        </w:rPr>
        <w:t xml:space="preserve">No </w:t>
      </w:r>
      <w:r w:rsidR="00C47320">
        <w:rPr>
          <w:rFonts w:cs="Arial"/>
          <w:bCs/>
          <w:color w:val="000000"/>
          <w:lang w:eastAsia="en-GB"/>
        </w:rPr>
        <w:t>transfer of staff from LA to Welsh Government</w:t>
      </w:r>
      <w:r>
        <w:rPr>
          <w:rFonts w:cs="Arial"/>
          <w:bCs/>
          <w:color w:val="000000"/>
          <w:lang w:eastAsia="en-GB"/>
        </w:rPr>
        <w:t>.</w:t>
      </w:r>
    </w:p>
    <w:p w14:paraId="08184AEA" w14:textId="77777777" w:rsidR="00407B37" w:rsidRPr="00C357ED" w:rsidRDefault="00ED5140" w:rsidP="008E130B">
      <w:pPr>
        <w:pStyle w:val="ListParagraph"/>
        <w:numPr>
          <w:ilvl w:val="0"/>
          <w:numId w:val="42"/>
        </w:numPr>
        <w:spacing w:after="120"/>
        <w:rPr>
          <w:rFonts w:cs="Arial"/>
          <w:bCs/>
          <w:color w:val="000000"/>
          <w:lang w:eastAsia="en-GB"/>
        </w:rPr>
      </w:pPr>
      <w:r>
        <w:rPr>
          <w:rFonts w:cs="Arial"/>
          <w:bCs/>
          <w:color w:val="000000"/>
          <w:lang w:eastAsia="en-GB"/>
        </w:rPr>
        <w:t>LAs use own buildings</w:t>
      </w:r>
    </w:p>
    <w:p w14:paraId="26FEB89E" w14:textId="77777777" w:rsidR="008E130B" w:rsidRDefault="008E130B" w:rsidP="000B308F">
      <w:pPr>
        <w:pStyle w:val="ListParagraph"/>
        <w:ind w:left="1080"/>
        <w:rPr>
          <w:rFonts w:cs="Arial"/>
        </w:rPr>
      </w:pPr>
    </w:p>
    <w:p w14:paraId="14FD556D" w14:textId="77777777" w:rsidR="00324FA6" w:rsidRDefault="00324FA6" w:rsidP="00324FA6">
      <w:pPr>
        <w:rPr>
          <w:rFonts w:cs="Arial"/>
        </w:rPr>
      </w:pPr>
    </w:p>
    <w:p w14:paraId="55C2E9C6" w14:textId="77777777" w:rsidR="00324FA6" w:rsidRPr="000B308F" w:rsidRDefault="00324FA6" w:rsidP="00324FA6">
      <w:pPr>
        <w:ind w:left="720"/>
        <w:rPr>
          <w:rFonts w:cs="Arial"/>
          <w:b/>
        </w:rPr>
      </w:pPr>
      <w:bookmarkStart w:id="49" w:name="_Hlk55462999"/>
      <w:r w:rsidRPr="000B308F">
        <w:rPr>
          <w:rFonts w:cs="Arial"/>
          <w:b/>
        </w:rPr>
        <w:t xml:space="preserve">Annual time savings = </w:t>
      </w:r>
      <w:r w:rsidR="00CD2B0B" w:rsidRPr="000B308F">
        <w:rPr>
          <w:rFonts w:cs="Arial"/>
          <w:b/>
        </w:rPr>
        <w:t>£</w:t>
      </w:r>
      <w:r w:rsidR="00FD57AD">
        <w:rPr>
          <w:rFonts w:cs="Arial"/>
          <w:b/>
        </w:rPr>
        <w:t>6</w:t>
      </w:r>
      <w:r w:rsidR="00CD2B0B" w:rsidRPr="000B308F">
        <w:rPr>
          <w:rFonts w:cs="Arial"/>
          <w:b/>
        </w:rPr>
        <w:t>,</w:t>
      </w:r>
      <w:r w:rsidR="00FD57AD">
        <w:rPr>
          <w:rFonts w:cs="Arial"/>
          <w:b/>
        </w:rPr>
        <w:t>600</w:t>
      </w:r>
      <w:r w:rsidR="000440E2">
        <w:rPr>
          <w:rFonts w:cs="Arial"/>
          <w:b/>
        </w:rPr>
        <w:t xml:space="preserve"> </w:t>
      </w:r>
      <w:r w:rsidRPr="000B308F">
        <w:rPr>
          <w:rFonts w:cs="Arial"/>
          <w:b/>
        </w:rPr>
        <w:t>[central estimate]</w:t>
      </w:r>
    </w:p>
    <w:p w14:paraId="318F2D18" w14:textId="77777777" w:rsidR="00324FA6" w:rsidRPr="000B308F" w:rsidRDefault="00324FA6" w:rsidP="00324FA6">
      <w:pPr>
        <w:ind w:left="720"/>
        <w:rPr>
          <w:rFonts w:cs="Arial"/>
          <w:b/>
        </w:rPr>
      </w:pPr>
    </w:p>
    <w:p w14:paraId="5CC1B53A" w14:textId="77777777" w:rsidR="00324FA6" w:rsidRPr="000B308F" w:rsidRDefault="00324FA6">
      <w:pPr>
        <w:ind w:left="720"/>
        <w:rPr>
          <w:rFonts w:cs="Arial"/>
          <w:b/>
        </w:rPr>
      </w:pPr>
      <w:r w:rsidRPr="000B308F">
        <w:rPr>
          <w:rFonts w:cs="Arial"/>
          <w:b/>
        </w:rPr>
        <w:t xml:space="preserve">Present value over 10 years = </w:t>
      </w:r>
      <w:r w:rsidR="00FD57AD">
        <w:rPr>
          <w:rFonts w:cs="Arial"/>
          <w:b/>
        </w:rPr>
        <w:t>£0.05 million</w:t>
      </w:r>
      <w:r w:rsidRPr="000B308F">
        <w:rPr>
          <w:rFonts w:cs="Arial"/>
          <w:b/>
        </w:rPr>
        <w:t xml:space="preserve"> [central estimate]</w:t>
      </w:r>
    </w:p>
    <w:bookmarkEnd w:id="49"/>
    <w:p w14:paraId="0E52652A" w14:textId="77777777" w:rsidR="006824C7" w:rsidRPr="002A6CB2" w:rsidRDefault="006824C7">
      <w:pPr>
        <w:ind w:left="720"/>
        <w:rPr>
          <w:rFonts w:cs="Arial"/>
        </w:rPr>
      </w:pPr>
    </w:p>
    <w:p w14:paraId="09FFAFBD" w14:textId="77777777" w:rsidR="008E130B" w:rsidRDefault="00025C49" w:rsidP="00B74DEF">
      <w:pPr>
        <w:spacing w:after="120"/>
        <w:ind w:left="284" w:firstLine="436"/>
        <w:rPr>
          <w:rFonts w:cs="Arial"/>
          <w:color w:val="000000"/>
          <w:lang w:eastAsia="en-GB"/>
        </w:rPr>
      </w:pPr>
      <w:r>
        <w:rPr>
          <w:rFonts w:cs="Arial"/>
          <w:color w:val="000000"/>
          <w:lang w:eastAsia="en-GB"/>
        </w:rPr>
        <w:t>1</w:t>
      </w:r>
      <w:r w:rsidR="0005305F">
        <w:rPr>
          <w:rFonts w:cs="Arial"/>
          <w:color w:val="000000"/>
          <w:lang w:eastAsia="en-GB"/>
        </w:rPr>
        <w:t>4</w:t>
      </w:r>
      <w:r>
        <w:rPr>
          <w:rFonts w:cs="Arial"/>
          <w:color w:val="000000"/>
          <w:lang w:eastAsia="en-GB"/>
        </w:rPr>
        <w:t xml:space="preserve">. </w:t>
      </w:r>
      <w:r w:rsidRPr="000B308F">
        <w:rPr>
          <w:rFonts w:cs="Arial"/>
          <w:color w:val="000000"/>
          <w:u w:val="single"/>
          <w:lang w:eastAsia="en-GB"/>
        </w:rPr>
        <w:t xml:space="preserve">Centralised body of </w:t>
      </w:r>
      <w:r w:rsidR="00B87DDD" w:rsidRPr="000B308F">
        <w:rPr>
          <w:rFonts w:cs="Arial"/>
          <w:color w:val="000000"/>
          <w:u w:val="single"/>
          <w:lang w:eastAsia="en-GB"/>
        </w:rPr>
        <w:t xml:space="preserve">‘appeal’ </w:t>
      </w:r>
      <w:r w:rsidRPr="000B308F">
        <w:rPr>
          <w:rFonts w:cs="Arial"/>
          <w:color w:val="000000"/>
          <w:u w:val="single"/>
          <w:lang w:eastAsia="en-GB"/>
        </w:rPr>
        <w:t>knowledge</w:t>
      </w:r>
    </w:p>
    <w:p w14:paraId="310590F8" w14:textId="77777777" w:rsidR="00025C49" w:rsidRPr="000B308F" w:rsidRDefault="00025C49" w:rsidP="000B308F">
      <w:pPr>
        <w:spacing w:after="120"/>
        <w:ind w:left="720"/>
        <w:rPr>
          <w:rFonts w:cs="Arial"/>
          <w:color w:val="000000"/>
          <w:lang w:eastAsia="en-GB"/>
        </w:rPr>
      </w:pPr>
      <w:r>
        <w:rPr>
          <w:rFonts w:cs="Arial"/>
          <w:color w:val="000000"/>
          <w:lang w:eastAsia="en-GB"/>
        </w:rPr>
        <w:t xml:space="preserve">Under existing </w:t>
      </w:r>
      <w:r w:rsidR="00B87DDD">
        <w:rPr>
          <w:rFonts w:cs="Arial"/>
          <w:color w:val="000000"/>
          <w:lang w:eastAsia="en-GB"/>
        </w:rPr>
        <w:t>arrangements,</w:t>
      </w:r>
      <w:r>
        <w:rPr>
          <w:rFonts w:cs="Arial"/>
          <w:color w:val="000000"/>
          <w:lang w:eastAsia="en-GB"/>
        </w:rPr>
        <w:t xml:space="preserve"> </w:t>
      </w:r>
      <w:r w:rsidR="00B87DDD">
        <w:rPr>
          <w:rFonts w:cs="Arial"/>
          <w:color w:val="000000"/>
          <w:lang w:eastAsia="en-GB"/>
        </w:rPr>
        <w:t>a</w:t>
      </w:r>
      <w:r>
        <w:rPr>
          <w:rFonts w:cs="Arial"/>
          <w:color w:val="000000"/>
          <w:lang w:eastAsia="en-GB"/>
        </w:rPr>
        <w:t xml:space="preserve"> new appeal route</w:t>
      </w:r>
      <w:r w:rsidR="00B87DDD">
        <w:rPr>
          <w:rFonts w:cs="Arial"/>
          <w:color w:val="000000"/>
          <w:lang w:eastAsia="en-GB"/>
        </w:rPr>
        <w:t xml:space="preserve"> is generated on each occasion and this gives rise to a fragmented body of appeals. Under proposed new arrangements there is the opportunity to </w:t>
      </w:r>
      <w:r w:rsidR="008766C1">
        <w:rPr>
          <w:rFonts w:cs="Arial"/>
          <w:color w:val="000000"/>
          <w:lang w:eastAsia="en-GB"/>
        </w:rPr>
        <w:t xml:space="preserve">build up greater expertise and ensure that cases are treated consistently. </w:t>
      </w:r>
    </w:p>
    <w:p w14:paraId="3D97537C" w14:textId="77777777" w:rsidR="00025C49" w:rsidRDefault="00025C49" w:rsidP="00B74DEF">
      <w:pPr>
        <w:spacing w:after="120"/>
        <w:ind w:left="284" w:firstLine="436"/>
        <w:rPr>
          <w:rFonts w:cs="Arial"/>
          <w:b/>
          <w:color w:val="000000"/>
          <w:sz w:val="28"/>
          <w:szCs w:val="28"/>
          <w:lang w:eastAsia="en-GB"/>
        </w:rPr>
      </w:pPr>
    </w:p>
    <w:p w14:paraId="716A8A45" w14:textId="77777777" w:rsidR="00B74DEF" w:rsidRDefault="00B74DEF" w:rsidP="00D8157F">
      <w:pPr>
        <w:keepNext/>
        <w:spacing w:after="120"/>
        <w:ind w:left="284" w:firstLine="437"/>
        <w:rPr>
          <w:rFonts w:cs="Arial"/>
          <w:b/>
          <w:sz w:val="28"/>
          <w:szCs w:val="28"/>
        </w:rPr>
      </w:pPr>
      <w:r w:rsidRPr="000B308F">
        <w:rPr>
          <w:rFonts w:cs="Arial"/>
          <w:b/>
          <w:color w:val="000000"/>
          <w:sz w:val="28"/>
          <w:szCs w:val="28"/>
          <w:lang w:eastAsia="en-GB"/>
        </w:rPr>
        <w:t xml:space="preserve">Option 2: </w:t>
      </w:r>
      <w:r w:rsidRPr="000B308F">
        <w:rPr>
          <w:rFonts w:cs="Arial"/>
          <w:b/>
          <w:sz w:val="28"/>
          <w:szCs w:val="28"/>
        </w:rPr>
        <w:t>Gradual unification of tribunal</w:t>
      </w:r>
      <w:r w:rsidR="007D2C0D">
        <w:rPr>
          <w:rFonts w:cs="Arial"/>
          <w:b/>
          <w:sz w:val="28"/>
          <w:szCs w:val="28"/>
        </w:rPr>
        <w:t>s</w:t>
      </w:r>
    </w:p>
    <w:p w14:paraId="11E7B621" w14:textId="77777777" w:rsidR="0005305F" w:rsidRPr="000B308F" w:rsidRDefault="0005305F" w:rsidP="00B74DEF">
      <w:pPr>
        <w:spacing w:after="120"/>
        <w:ind w:left="284" w:firstLine="436"/>
        <w:rPr>
          <w:rFonts w:cs="Arial"/>
          <w:b/>
          <w:sz w:val="28"/>
          <w:szCs w:val="28"/>
        </w:rPr>
      </w:pPr>
    </w:p>
    <w:p w14:paraId="1AF8C662" w14:textId="6C072BA4" w:rsidR="00744E43" w:rsidRDefault="00B74DEF" w:rsidP="000B308F">
      <w:pPr>
        <w:pStyle w:val="ListParagraph"/>
        <w:numPr>
          <w:ilvl w:val="0"/>
          <w:numId w:val="34"/>
        </w:numPr>
        <w:spacing w:after="120"/>
        <w:rPr>
          <w:rFonts w:cs="Arial"/>
          <w:color w:val="000000"/>
          <w:lang w:eastAsia="en-GB"/>
        </w:rPr>
      </w:pPr>
      <w:r w:rsidRPr="002A6CB2">
        <w:rPr>
          <w:rFonts w:cs="Arial"/>
          <w:color w:val="000000"/>
          <w:lang w:eastAsia="en-GB"/>
        </w:rPr>
        <w:t xml:space="preserve">The costs and benefits identified under option </w:t>
      </w:r>
      <w:r w:rsidR="001F2410" w:rsidRPr="002A6CB2">
        <w:rPr>
          <w:rFonts w:cs="Arial"/>
          <w:color w:val="000000"/>
          <w:lang w:eastAsia="en-GB"/>
        </w:rPr>
        <w:t xml:space="preserve">1 </w:t>
      </w:r>
      <w:r w:rsidRPr="002A6CB2">
        <w:rPr>
          <w:rFonts w:cs="Arial"/>
          <w:color w:val="000000"/>
          <w:lang w:eastAsia="en-GB"/>
        </w:rPr>
        <w:t>equally apply here</w:t>
      </w:r>
      <w:r w:rsidR="00247D57">
        <w:rPr>
          <w:rFonts w:cs="Arial"/>
          <w:color w:val="000000"/>
          <w:lang w:eastAsia="en-GB"/>
        </w:rPr>
        <w:t xml:space="preserve"> [with the exception of the new Appeal Tribunal]</w:t>
      </w:r>
      <w:r w:rsidRPr="002A6CB2">
        <w:rPr>
          <w:rFonts w:cs="Arial"/>
          <w:color w:val="000000"/>
          <w:lang w:eastAsia="en-GB"/>
        </w:rPr>
        <w:t xml:space="preserve"> but on a phased basis</w:t>
      </w:r>
      <w:r w:rsidR="001F2410" w:rsidRPr="002A6CB2">
        <w:rPr>
          <w:rFonts w:cs="Arial"/>
          <w:color w:val="000000"/>
          <w:lang w:eastAsia="en-GB"/>
        </w:rPr>
        <w:t>. All cost</w:t>
      </w:r>
      <w:r w:rsidR="00751039">
        <w:rPr>
          <w:rFonts w:cs="Arial"/>
          <w:color w:val="000000"/>
          <w:lang w:eastAsia="en-GB"/>
        </w:rPr>
        <w:t xml:space="preserve"> area</w:t>
      </w:r>
      <w:r w:rsidR="001F2410" w:rsidRPr="002A6CB2">
        <w:rPr>
          <w:rFonts w:cs="Arial"/>
          <w:color w:val="000000"/>
          <w:lang w:eastAsia="en-GB"/>
        </w:rPr>
        <w:t xml:space="preserve">s, transitional and on-going, apply </w:t>
      </w:r>
      <w:r w:rsidR="00FE7FF2" w:rsidRPr="002A6CB2">
        <w:rPr>
          <w:rFonts w:cs="Arial"/>
          <w:color w:val="000000"/>
          <w:lang w:eastAsia="en-GB"/>
        </w:rPr>
        <w:t xml:space="preserve">in years 0 and 1 </w:t>
      </w:r>
      <w:r w:rsidR="001F2410" w:rsidRPr="002A6CB2">
        <w:rPr>
          <w:rFonts w:cs="Arial"/>
          <w:color w:val="000000"/>
          <w:lang w:eastAsia="en-GB"/>
        </w:rPr>
        <w:t>except for those related to the inclusion of the devolved tribunals</w:t>
      </w:r>
      <w:r w:rsidR="00FE7FF2" w:rsidRPr="002A6CB2">
        <w:rPr>
          <w:rFonts w:cs="Arial"/>
          <w:color w:val="000000"/>
          <w:lang w:eastAsia="en-GB"/>
        </w:rPr>
        <w:t xml:space="preserve"> which are delayed until phase 2</w:t>
      </w:r>
      <w:r w:rsidR="003740C2">
        <w:rPr>
          <w:rFonts w:cs="Arial"/>
          <w:color w:val="000000"/>
          <w:lang w:eastAsia="en-GB"/>
        </w:rPr>
        <w:t>. T</w:t>
      </w:r>
      <w:r w:rsidR="008E130B">
        <w:rPr>
          <w:rFonts w:cs="Arial"/>
          <w:color w:val="000000"/>
          <w:lang w:eastAsia="en-GB"/>
        </w:rPr>
        <w:t xml:space="preserve">he </w:t>
      </w:r>
      <w:r w:rsidR="002769DD">
        <w:rPr>
          <w:rFonts w:cs="Arial"/>
          <w:color w:val="000000"/>
          <w:lang w:eastAsia="en-GB"/>
        </w:rPr>
        <w:t xml:space="preserve">School exclusion </w:t>
      </w:r>
      <w:r w:rsidR="009F6173">
        <w:rPr>
          <w:rFonts w:cs="Arial"/>
          <w:color w:val="000000"/>
          <w:lang w:eastAsia="en-GB"/>
        </w:rPr>
        <w:t>appeal panels are</w:t>
      </w:r>
      <w:r w:rsidR="003740C2">
        <w:rPr>
          <w:rFonts w:cs="Arial"/>
          <w:color w:val="000000"/>
          <w:lang w:eastAsia="en-GB"/>
        </w:rPr>
        <w:t xml:space="preserve"> </w:t>
      </w:r>
      <w:r w:rsidR="002769DD">
        <w:rPr>
          <w:rFonts w:cs="Arial"/>
          <w:color w:val="000000"/>
          <w:lang w:eastAsia="en-GB"/>
        </w:rPr>
        <w:t>in</w:t>
      </w:r>
      <w:r w:rsidR="003740C2">
        <w:rPr>
          <w:rFonts w:cs="Arial"/>
          <w:color w:val="000000"/>
          <w:lang w:eastAsia="en-GB"/>
        </w:rPr>
        <w:t xml:space="preserve">corporated within the </w:t>
      </w:r>
      <w:r w:rsidR="009F6173">
        <w:rPr>
          <w:rFonts w:cs="Arial"/>
          <w:color w:val="000000"/>
          <w:lang w:eastAsia="en-GB"/>
        </w:rPr>
        <w:t>First-tier Tribunal for Wales</w:t>
      </w:r>
      <w:r w:rsidR="003740C2">
        <w:rPr>
          <w:rFonts w:cs="Arial"/>
          <w:color w:val="000000"/>
          <w:lang w:eastAsia="en-GB"/>
        </w:rPr>
        <w:t xml:space="preserve"> in</w:t>
      </w:r>
      <w:r w:rsidR="002769DD">
        <w:rPr>
          <w:rFonts w:cs="Arial"/>
          <w:color w:val="000000"/>
          <w:lang w:eastAsia="en-GB"/>
        </w:rPr>
        <w:t xml:space="preserve"> year 4</w:t>
      </w:r>
      <w:r w:rsidR="00A345C1">
        <w:rPr>
          <w:rFonts w:cs="Arial"/>
          <w:color w:val="000000"/>
          <w:lang w:eastAsia="en-GB"/>
        </w:rPr>
        <w:t xml:space="preserve"> and the </w:t>
      </w:r>
      <w:r w:rsidR="00C25BE0">
        <w:rPr>
          <w:rFonts w:cs="Arial"/>
          <w:color w:val="000000"/>
          <w:lang w:eastAsia="en-GB"/>
        </w:rPr>
        <w:t>Valuation Tribunal for Wales</w:t>
      </w:r>
      <w:r w:rsidR="008E130B">
        <w:rPr>
          <w:rFonts w:cs="Arial"/>
          <w:color w:val="000000"/>
          <w:lang w:eastAsia="en-GB"/>
        </w:rPr>
        <w:t xml:space="preserve"> in year </w:t>
      </w:r>
      <w:r w:rsidR="002769DD">
        <w:rPr>
          <w:rFonts w:cs="Arial"/>
          <w:color w:val="000000"/>
          <w:lang w:eastAsia="en-GB"/>
        </w:rPr>
        <w:t>6</w:t>
      </w:r>
      <w:r w:rsidR="00A345C1">
        <w:rPr>
          <w:rFonts w:cs="Arial"/>
          <w:color w:val="000000"/>
          <w:lang w:eastAsia="en-GB"/>
        </w:rPr>
        <w:t>. Whilst the annual cost remains unchanged the present value reduces from 10 years to 7 and 5 years respectively.</w:t>
      </w:r>
      <w:r w:rsidR="00744E43">
        <w:rPr>
          <w:rFonts w:cs="Arial"/>
          <w:color w:val="000000"/>
          <w:lang w:eastAsia="en-GB"/>
        </w:rPr>
        <w:t xml:space="preserve"> </w:t>
      </w:r>
    </w:p>
    <w:p w14:paraId="196F38D3" w14:textId="77777777" w:rsidR="00744E43" w:rsidRDefault="00744E43" w:rsidP="00D8157F">
      <w:pPr>
        <w:pStyle w:val="ListParagraph"/>
        <w:spacing w:after="120"/>
        <w:ind w:left="1080"/>
        <w:rPr>
          <w:rFonts w:cs="Arial"/>
          <w:color w:val="000000"/>
          <w:lang w:eastAsia="en-GB"/>
        </w:rPr>
      </w:pPr>
    </w:p>
    <w:p w14:paraId="0142D17B" w14:textId="0009B8B5" w:rsidR="00B74DEF" w:rsidRDefault="00744E43" w:rsidP="000B308F">
      <w:pPr>
        <w:pStyle w:val="ListParagraph"/>
        <w:numPr>
          <w:ilvl w:val="0"/>
          <w:numId w:val="34"/>
        </w:numPr>
        <w:spacing w:after="120"/>
        <w:rPr>
          <w:rFonts w:cs="Arial"/>
          <w:color w:val="000000"/>
          <w:lang w:eastAsia="en-GB"/>
        </w:rPr>
      </w:pPr>
      <w:r>
        <w:rPr>
          <w:rFonts w:cs="Arial"/>
          <w:color w:val="000000"/>
          <w:lang w:eastAsia="en-GB"/>
        </w:rPr>
        <w:t xml:space="preserve">In order to avoid duplication of option1 this section presents only the tables impacted by the phased change as it relates to costs and benefits. </w:t>
      </w:r>
    </w:p>
    <w:p w14:paraId="5CFCF7C1" w14:textId="77777777" w:rsidR="00744E43" w:rsidRPr="00D8157F" w:rsidRDefault="00744E43" w:rsidP="00D8157F">
      <w:pPr>
        <w:pStyle w:val="ListParagraph"/>
        <w:rPr>
          <w:rFonts w:cs="Arial"/>
          <w:color w:val="000000"/>
          <w:lang w:eastAsia="en-GB"/>
        </w:rPr>
      </w:pPr>
    </w:p>
    <w:p w14:paraId="0FFFA22B" w14:textId="77777777" w:rsidR="00744E43" w:rsidRPr="002A6CB2" w:rsidRDefault="00744E43" w:rsidP="00D8157F">
      <w:pPr>
        <w:pStyle w:val="ListParagraph"/>
        <w:spacing w:after="120"/>
        <w:ind w:left="1080"/>
        <w:rPr>
          <w:rFonts w:cs="Arial"/>
          <w:color w:val="000000"/>
          <w:lang w:eastAsia="en-GB"/>
        </w:rPr>
      </w:pPr>
    </w:p>
    <w:p w14:paraId="7B6B05B7" w14:textId="77777777" w:rsidR="0058572C" w:rsidRPr="00C357ED" w:rsidRDefault="0058572C" w:rsidP="0058572C">
      <w:pPr>
        <w:spacing w:after="120"/>
        <w:ind w:left="720"/>
        <w:rPr>
          <w:rFonts w:cs="Arial"/>
          <w:b/>
          <w:bCs/>
          <w:color w:val="000000"/>
          <w:lang w:eastAsia="en-GB"/>
        </w:rPr>
      </w:pPr>
      <w:r w:rsidRPr="00C357ED">
        <w:rPr>
          <w:rFonts w:cs="Arial"/>
          <w:b/>
          <w:bCs/>
          <w:color w:val="000000"/>
          <w:lang w:eastAsia="en-GB"/>
        </w:rPr>
        <w:t>Costs</w:t>
      </w:r>
    </w:p>
    <w:p w14:paraId="2D0699A6" w14:textId="77777777" w:rsidR="00ED40E7" w:rsidRPr="00DE306B" w:rsidRDefault="00ED40E7" w:rsidP="00ED40E7">
      <w:pPr>
        <w:spacing w:after="240"/>
        <w:ind w:left="720"/>
        <w:rPr>
          <w:rFonts w:cs="Arial"/>
          <w:bCs/>
          <w:color w:val="000000"/>
          <w:lang w:eastAsia="en-GB"/>
        </w:rPr>
      </w:pPr>
      <w:r w:rsidRPr="00DE306B">
        <w:rPr>
          <w:rFonts w:cs="Arial"/>
          <w:bCs/>
          <w:color w:val="000000"/>
          <w:lang w:eastAsia="en-GB"/>
        </w:rPr>
        <w:t xml:space="preserve">5. </w:t>
      </w:r>
      <w:r w:rsidRPr="00DE306B">
        <w:rPr>
          <w:rFonts w:cs="Arial"/>
          <w:bCs/>
          <w:color w:val="000000"/>
          <w:u w:val="single"/>
          <w:lang w:eastAsia="en-GB"/>
        </w:rPr>
        <w:t>Re-distribution from LAs</w:t>
      </w:r>
    </w:p>
    <w:p w14:paraId="25658920" w14:textId="247BA0F6" w:rsidR="00ED40E7" w:rsidRDefault="00ED40E7" w:rsidP="00ED40E7">
      <w:pPr>
        <w:spacing w:after="240"/>
        <w:ind w:left="720"/>
        <w:rPr>
          <w:rFonts w:cs="Arial"/>
          <w:bCs/>
          <w:color w:val="000000"/>
          <w:lang w:eastAsia="en-GB"/>
        </w:rPr>
      </w:pPr>
      <w:r>
        <w:rPr>
          <w:rFonts w:cs="Arial"/>
          <w:bCs/>
          <w:color w:val="000000"/>
          <w:lang w:eastAsia="en-GB"/>
        </w:rPr>
        <w:t xml:space="preserve">Table </w:t>
      </w:r>
      <w:r w:rsidR="003016E7">
        <w:rPr>
          <w:rFonts w:cs="Arial"/>
          <w:bCs/>
          <w:color w:val="000000"/>
          <w:lang w:eastAsia="en-GB"/>
        </w:rPr>
        <w:t>11</w:t>
      </w:r>
      <w:r>
        <w:rPr>
          <w:rFonts w:cs="Arial"/>
          <w:bCs/>
          <w:color w:val="000000"/>
          <w:lang w:eastAsia="en-GB"/>
        </w:rPr>
        <w:t xml:space="preserve">: Increased </w:t>
      </w:r>
      <w:r w:rsidR="000B7779">
        <w:rPr>
          <w:rFonts w:cs="Arial"/>
          <w:bCs/>
          <w:color w:val="000000"/>
          <w:lang w:eastAsia="en-GB"/>
        </w:rPr>
        <w:t>ETW</w:t>
      </w:r>
      <w:r>
        <w:rPr>
          <w:rFonts w:cs="Arial"/>
          <w:bCs/>
          <w:color w:val="000000"/>
          <w:lang w:eastAsia="en-GB"/>
        </w:rPr>
        <w:t xml:space="preserve"> Costs following inclusion of school exclusion panel</w:t>
      </w:r>
    </w:p>
    <w:tbl>
      <w:tblPr>
        <w:tblStyle w:val="TableGrid"/>
        <w:tblW w:w="0" w:type="auto"/>
        <w:tblInd w:w="720" w:type="dxa"/>
        <w:tblLook w:val="04A0" w:firstRow="1" w:lastRow="0" w:firstColumn="1" w:lastColumn="0" w:noHBand="0" w:noVBand="1"/>
      </w:tblPr>
      <w:tblGrid>
        <w:gridCol w:w="2392"/>
        <w:gridCol w:w="2361"/>
        <w:gridCol w:w="2361"/>
        <w:gridCol w:w="2361"/>
      </w:tblGrid>
      <w:tr w:rsidR="00ED40E7" w:rsidRPr="002A6CB2" w14:paraId="2C158310" w14:textId="77777777" w:rsidTr="00B3499D">
        <w:trPr>
          <w:trHeight w:val="789"/>
        </w:trPr>
        <w:tc>
          <w:tcPr>
            <w:tcW w:w="2548" w:type="dxa"/>
            <w:shd w:val="clear" w:color="auto" w:fill="D9D9D9" w:themeFill="background1" w:themeFillShade="D9"/>
          </w:tcPr>
          <w:p w14:paraId="434A4EE4" w14:textId="77777777" w:rsidR="00ED40E7" w:rsidRPr="00DE306B" w:rsidRDefault="00ED40E7" w:rsidP="00B3499D">
            <w:pPr>
              <w:spacing w:after="120"/>
              <w:rPr>
                <w:rFonts w:cs="Arial"/>
                <w:bCs/>
                <w:color w:val="000000"/>
                <w:lang w:eastAsia="en-GB"/>
              </w:rPr>
            </w:pPr>
          </w:p>
        </w:tc>
        <w:tc>
          <w:tcPr>
            <w:tcW w:w="2549" w:type="dxa"/>
            <w:shd w:val="clear" w:color="auto" w:fill="D9D9D9" w:themeFill="background1" w:themeFillShade="D9"/>
          </w:tcPr>
          <w:p w14:paraId="14C1587F" w14:textId="77777777" w:rsidR="00ED40E7" w:rsidRPr="00DE306B" w:rsidRDefault="00ED40E7" w:rsidP="00B3499D">
            <w:pPr>
              <w:spacing w:after="120"/>
              <w:rPr>
                <w:rFonts w:cs="Arial"/>
                <w:bCs/>
                <w:color w:val="000000"/>
                <w:lang w:eastAsia="en-GB"/>
              </w:rPr>
            </w:pPr>
            <w:r w:rsidRPr="00DE306B">
              <w:rPr>
                <w:rFonts w:cs="Arial"/>
                <w:bCs/>
                <w:color w:val="000000"/>
                <w:lang w:eastAsia="en-GB"/>
              </w:rPr>
              <w:t>Low estimate</w:t>
            </w:r>
          </w:p>
        </w:tc>
        <w:tc>
          <w:tcPr>
            <w:tcW w:w="2549" w:type="dxa"/>
            <w:shd w:val="clear" w:color="auto" w:fill="D9D9D9" w:themeFill="background1" w:themeFillShade="D9"/>
          </w:tcPr>
          <w:p w14:paraId="586CC78B" w14:textId="77777777" w:rsidR="00ED40E7" w:rsidRPr="00DE306B" w:rsidRDefault="00ED40E7" w:rsidP="00B3499D">
            <w:pPr>
              <w:spacing w:after="120"/>
              <w:rPr>
                <w:rFonts w:cs="Arial"/>
                <w:bCs/>
                <w:color w:val="000000"/>
                <w:lang w:eastAsia="en-GB"/>
              </w:rPr>
            </w:pPr>
            <w:r w:rsidRPr="00DE306B">
              <w:rPr>
                <w:rFonts w:cs="Arial"/>
                <w:bCs/>
                <w:color w:val="000000"/>
                <w:lang w:eastAsia="en-GB"/>
              </w:rPr>
              <w:t>Central estimate</w:t>
            </w:r>
          </w:p>
        </w:tc>
        <w:tc>
          <w:tcPr>
            <w:tcW w:w="2549" w:type="dxa"/>
            <w:shd w:val="clear" w:color="auto" w:fill="D9D9D9" w:themeFill="background1" w:themeFillShade="D9"/>
          </w:tcPr>
          <w:p w14:paraId="602FFD4E" w14:textId="77777777" w:rsidR="00ED40E7" w:rsidRPr="00DE306B" w:rsidRDefault="00ED40E7" w:rsidP="00B3499D">
            <w:pPr>
              <w:spacing w:after="120"/>
              <w:rPr>
                <w:rFonts w:cs="Arial"/>
                <w:bCs/>
                <w:color w:val="000000"/>
                <w:lang w:eastAsia="en-GB"/>
              </w:rPr>
            </w:pPr>
            <w:r w:rsidRPr="00DE306B">
              <w:rPr>
                <w:rFonts w:cs="Arial"/>
                <w:bCs/>
                <w:color w:val="000000"/>
                <w:lang w:eastAsia="en-GB"/>
              </w:rPr>
              <w:t>High estimate</w:t>
            </w:r>
          </w:p>
        </w:tc>
      </w:tr>
      <w:tr w:rsidR="00ED40E7" w:rsidRPr="002A6CB2" w14:paraId="181209D5" w14:textId="77777777" w:rsidTr="00B3499D">
        <w:tc>
          <w:tcPr>
            <w:tcW w:w="2548" w:type="dxa"/>
          </w:tcPr>
          <w:p w14:paraId="5051BB9A" w14:textId="59F57B85" w:rsidR="00ED40E7" w:rsidRPr="00DE306B" w:rsidRDefault="000B7779" w:rsidP="00B3499D">
            <w:pPr>
              <w:spacing w:after="120"/>
              <w:rPr>
                <w:rFonts w:cs="Arial"/>
                <w:bCs/>
                <w:color w:val="000000"/>
                <w:lang w:eastAsia="en-GB"/>
              </w:rPr>
            </w:pPr>
            <w:r>
              <w:rPr>
                <w:rFonts w:cs="Arial"/>
                <w:bCs/>
                <w:color w:val="000000"/>
                <w:lang w:eastAsia="en-GB"/>
              </w:rPr>
              <w:t>ETW</w:t>
            </w:r>
            <w:r w:rsidR="00ED40E7">
              <w:rPr>
                <w:rFonts w:cs="Arial"/>
                <w:bCs/>
                <w:color w:val="000000"/>
                <w:lang w:eastAsia="en-GB"/>
              </w:rPr>
              <w:t xml:space="preserve"> budget</w:t>
            </w:r>
          </w:p>
        </w:tc>
        <w:tc>
          <w:tcPr>
            <w:tcW w:w="2549" w:type="dxa"/>
          </w:tcPr>
          <w:p w14:paraId="6A96E506" w14:textId="77777777" w:rsidR="00ED40E7" w:rsidRPr="00DE306B" w:rsidRDefault="00ED40E7" w:rsidP="00B3499D">
            <w:pPr>
              <w:spacing w:after="120"/>
              <w:jc w:val="center"/>
              <w:rPr>
                <w:rFonts w:cs="Arial"/>
                <w:bCs/>
                <w:color w:val="000000"/>
                <w:lang w:eastAsia="en-GB"/>
              </w:rPr>
            </w:pPr>
            <w:r>
              <w:rPr>
                <w:rFonts w:cs="Arial"/>
                <w:bCs/>
                <w:color w:val="000000"/>
                <w:lang w:eastAsia="en-GB"/>
              </w:rPr>
              <w:t>£322,562</w:t>
            </w:r>
          </w:p>
        </w:tc>
        <w:tc>
          <w:tcPr>
            <w:tcW w:w="2549" w:type="dxa"/>
          </w:tcPr>
          <w:p w14:paraId="39DD0E77" w14:textId="77777777" w:rsidR="00ED40E7" w:rsidRPr="00DE306B" w:rsidRDefault="00ED40E7" w:rsidP="00B3499D">
            <w:pPr>
              <w:spacing w:after="120"/>
              <w:jc w:val="center"/>
              <w:rPr>
                <w:rFonts w:cs="Arial"/>
                <w:bCs/>
                <w:color w:val="000000"/>
                <w:lang w:eastAsia="en-GB"/>
              </w:rPr>
            </w:pPr>
            <w:r>
              <w:rPr>
                <w:rFonts w:cs="Arial"/>
                <w:bCs/>
                <w:color w:val="000000"/>
                <w:lang w:eastAsia="en-GB"/>
              </w:rPr>
              <w:t>£322,562</w:t>
            </w:r>
          </w:p>
        </w:tc>
        <w:tc>
          <w:tcPr>
            <w:tcW w:w="2549" w:type="dxa"/>
          </w:tcPr>
          <w:p w14:paraId="7080CBA9" w14:textId="77777777" w:rsidR="00ED40E7" w:rsidRPr="00DE306B" w:rsidRDefault="00ED40E7" w:rsidP="00B3499D">
            <w:pPr>
              <w:spacing w:after="120"/>
              <w:jc w:val="center"/>
              <w:rPr>
                <w:rFonts w:cs="Arial"/>
                <w:bCs/>
                <w:color w:val="000000"/>
                <w:lang w:eastAsia="en-GB"/>
              </w:rPr>
            </w:pPr>
            <w:r>
              <w:rPr>
                <w:rFonts w:cs="Arial"/>
                <w:bCs/>
                <w:color w:val="000000"/>
                <w:lang w:eastAsia="en-GB"/>
              </w:rPr>
              <w:t>£322,562</w:t>
            </w:r>
          </w:p>
        </w:tc>
      </w:tr>
      <w:tr w:rsidR="00ED40E7" w:rsidRPr="002A6CB2" w14:paraId="5F42A355" w14:textId="77777777" w:rsidTr="00B3499D">
        <w:tc>
          <w:tcPr>
            <w:tcW w:w="2548" w:type="dxa"/>
          </w:tcPr>
          <w:p w14:paraId="070FF88A" w14:textId="77777777" w:rsidR="00ED40E7" w:rsidRPr="00DE306B" w:rsidRDefault="00ED40E7" w:rsidP="00B3499D">
            <w:pPr>
              <w:spacing w:after="120"/>
              <w:rPr>
                <w:rFonts w:cs="Arial"/>
                <w:bCs/>
                <w:color w:val="000000"/>
                <w:lang w:eastAsia="en-GB"/>
              </w:rPr>
            </w:pPr>
            <w:r>
              <w:rPr>
                <w:rFonts w:cs="Arial"/>
                <w:bCs/>
                <w:color w:val="000000"/>
                <w:lang w:eastAsia="en-GB"/>
              </w:rPr>
              <w:t>Percentage adjustment</w:t>
            </w:r>
          </w:p>
        </w:tc>
        <w:tc>
          <w:tcPr>
            <w:tcW w:w="2549" w:type="dxa"/>
          </w:tcPr>
          <w:p w14:paraId="0ABE768A" w14:textId="77777777" w:rsidR="00ED40E7" w:rsidRPr="00DE306B" w:rsidRDefault="00ED40E7" w:rsidP="00B3499D">
            <w:pPr>
              <w:spacing w:after="120"/>
              <w:jc w:val="center"/>
              <w:rPr>
                <w:rFonts w:cs="Arial"/>
                <w:bCs/>
                <w:color w:val="000000"/>
                <w:lang w:eastAsia="en-GB"/>
              </w:rPr>
            </w:pPr>
            <w:r>
              <w:rPr>
                <w:rFonts w:cs="Arial"/>
                <w:bCs/>
                <w:color w:val="000000"/>
                <w:lang w:eastAsia="en-GB"/>
              </w:rPr>
              <w:t>20%</w:t>
            </w:r>
          </w:p>
        </w:tc>
        <w:tc>
          <w:tcPr>
            <w:tcW w:w="2549" w:type="dxa"/>
          </w:tcPr>
          <w:p w14:paraId="47D64CA5" w14:textId="77777777" w:rsidR="00ED40E7" w:rsidRPr="00DE306B" w:rsidRDefault="00ED40E7" w:rsidP="00B3499D">
            <w:pPr>
              <w:spacing w:after="120"/>
              <w:jc w:val="center"/>
              <w:rPr>
                <w:rFonts w:cs="Arial"/>
                <w:bCs/>
                <w:color w:val="000000"/>
                <w:lang w:eastAsia="en-GB"/>
              </w:rPr>
            </w:pPr>
            <w:r>
              <w:rPr>
                <w:rFonts w:cs="Arial"/>
                <w:bCs/>
                <w:color w:val="000000"/>
                <w:lang w:eastAsia="en-GB"/>
              </w:rPr>
              <w:t>25%</w:t>
            </w:r>
          </w:p>
        </w:tc>
        <w:tc>
          <w:tcPr>
            <w:tcW w:w="2549" w:type="dxa"/>
          </w:tcPr>
          <w:p w14:paraId="03473ED8" w14:textId="77777777" w:rsidR="00ED40E7" w:rsidRPr="00DE306B" w:rsidRDefault="00ED40E7" w:rsidP="00B3499D">
            <w:pPr>
              <w:spacing w:after="120"/>
              <w:jc w:val="center"/>
              <w:rPr>
                <w:rFonts w:cs="Arial"/>
                <w:bCs/>
                <w:color w:val="000000"/>
                <w:lang w:eastAsia="en-GB"/>
              </w:rPr>
            </w:pPr>
            <w:r>
              <w:rPr>
                <w:rFonts w:cs="Arial"/>
                <w:bCs/>
                <w:color w:val="000000"/>
                <w:lang w:eastAsia="en-GB"/>
              </w:rPr>
              <w:t>30%</w:t>
            </w:r>
          </w:p>
        </w:tc>
      </w:tr>
      <w:tr w:rsidR="00ED40E7" w:rsidRPr="002A6CB2" w14:paraId="64B6DCA3" w14:textId="77777777" w:rsidTr="00B3499D">
        <w:trPr>
          <w:trHeight w:val="543"/>
        </w:trPr>
        <w:tc>
          <w:tcPr>
            <w:tcW w:w="2548" w:type="dxa"/>
          </w:tcPr>
          <w:p w14:paraId="1A80DCEF" w14:textId="77777777" w:rsidR="00ED40E7" w:rsidRPr="00DE306B" w:rsidRDefault="00ED40E7" w:rsidP="00B3499D">
            <w:pPr>
              <w:spacing w:after="120"/>
              <w:rPr>
                <w:rFonts w:cs="Arial"/>
                <w:b/>
                <w:bCs/>
                <w:color w:val="000000"/>
                <w:lang w:eastAsia="en-GB"/>
              </w:rPr>
            </w:pPr>
            <w:r>
              <w:rPr>
                <w:rFonts w:cs="Arial"/>
                <w:b/>
                <w:bCs/>
                <w:color w:val="000000"/>
                <w:lang w:eastAsia="en-GB"/>
              </w:rPr>
              <w:t>A</w:t>
            </w:r>
            <w:r w:rsidRPr="00DE306B">
              <w:rPr>
                <w:rFonts w:cs="Arial"/>
                <w:b/>
                <w:bCs/>
                <w:color w:val="000000"/>
                <w:lang w:eastAsia="en-GB"/>
              </w:rPr>
              <w:t xml:space="preserve">nnual </w:t>
            </w:r>
            <w:r>
              <w:rPr>
                <w:rFonts w:cs="Arial"/>
                <w:b/>
                <w:bCs/>
                <w:color w:val="000000"/>
                <w:lang w:eastAsia="en-GB"/>
              </w:rPr>
              <w:t xml:space="preserve">additional </w:t>
            </w:r>
            <w:r w:rsidRPr="00DE306B">
              <w:rPr>
                <w:rFonts w:cs="Arial"/>
                <w:b/>
                <w:bCs/>
                <w:color w:val="000000"/>
                <w:lang w:eastAsia="en-GB"/>
              </w:rPr>
              <w:t>cost</w:t>
            </w:r>
            <w:r>
              <w:rPr>
                <w:rStyle w:val="FootnoteReference"/>
                <w:b/>
                <w:bCs/>
                <w:color w:val="000000"/>
                <w:lang w:eastAsia="en-GB"/>
              </w:rPr>
              <w:footnoteReference w:id="43"/>
            </w:r>
          </w:p>
        </w:tc>
        <w:tc>
          <w:tcPr>
            <w:tcW w:w="2549" w:type="dxa"/>
          </w:tcPr>
          <w:p w14:paraId="46675A72" w14:textId="77777777" w:rsidR="00ED40E7" w:rsidRPr="00DE306B" w:rsidRDefault="00ED40E7" w:rsidP="00B3499D">
            <w:pPr>
              <w:spacing w:after="120"/>
              <w:jc w:val="center"/>
              <w:rPr>
                <w:rFonts w:cs="Arial"/>
                <w:b/>
                <w:bCs/>
                <w:color w:val="000000"/>
                <w:lang w:eastAsia="en-GB"/>
              </w:rPr>
            </w:pPr>
            <w:r w:rsidRPr="00DE306B">
              <w:rPr>
                <w:rFonts w:cs="Arial"/>
                <w:b/>
                <w:bCs/>
                <w:color w:val="000000"/>
                <w:lang w:eastAsia="en-GB"/>
              </w:rPr>
              <w:t>£</w:t>
            </w:r>
            <w:r>
              <w:rPr>
                <w:rFonts w:cs="Arial"/>
                <w:b/>
                <w:bCs/>
                <w:color w:val="000000"/>
                <w:lang w:eastAsia="en-GB"/>
              </w:rPr>
              <w:t>64,500</w:t>
            </w:r>
          </w:p>
        </w:tc>
        <w:tc>
          <w:tcPr>
            <w:tcW w:w="2549" w:type="dxa"/>
          </w:tcPr>
          <w:p w14:paraId="060595CB" w14:textId="77777777" w:rsidR="00ED40E7" w:rsidRPr="00DE306B" w:rsidRDefault="00ED40E7" w:rsidP="00B3499D">
            <w:pPr>
              <w:spacing w:after="120"/>
              <w:jc w:val="center"/>
              <w:rPr>
                <w:rFonts w:cs="Arial"/>
                <w:b/>
                <w:bCs/>
                <w:color w:val="000000"/>
                <w:lang w:eastAsia="en-GB"/>
              </w:rPr>
            </w:pPr>
            <w:r w:rsidRPr="00DE306B">
              <w:rPr>
                <w:rFonts w:cs="Arial"/>
                <w:b/>
                <w:bCs/>
                <w:color w:val="000000"/>
                <w:lang w:eastAsia="en-GB"/>
              </w:rPr>
              <w:t>£</w:t>
            </w:r>
            <w:r>
              <w:rPr>
                <w:rFonts w:cs="Arial"/>
                <w:b/>
                <w:bCs/>
                <w:color w:val="000000"/>
                <w:lang w:eastAsia="en-GB"/>
              </w:rPr>
              <w:t>80,600</w:t>
            </w:r>
          </w:p>
        </w:tc>
        <w:tc>
          <w:tcPr>
            <w:tcW w:w="2549" w:type="dxa"/>
          </w:tcPr>
          <w:p w14:paraId="1F504013" w14:textId="77777777" w:rsidR="00ED40E7" w:rsidRPr="00DE306B" w:rsidRDefault="00ED40E7" w:rsidP="00B3499D">
            <w:pPr>
              <w:spacing w:after="120"/>
              <w:jc w:val="center"/>
              <w:rPr>
                <w:rFonts w:cs="Arial"/>
                <w:b/>
                <w:bCs/>
                <w:color w:val="000000"/>
                <w:lang w:eastAsia="en-GB"/>
              </w:rPr>
            </w:pPr>
            <w:r w:rsidRPr="00DE306B">
              <w:rPr>
                <w:rFonts w:cs="Arial"/>
                <w:b/>
                <w:bCs/>
                <w:color w:val="000000"/>
                <w:lang w:eastAsia="en-GB"/>
              </w:rPr>
              <w:t>£</w:t>
            </w:r>
            <w:r>
              <w:rPr>
                <w:rFonts w:cs="Arial"/>
                <w:b/>
                <w:bCs/>
                <w:color w:val="000000"/>
                <w:lang w:eastAsia="en-GB"/>
              </w:rPr>
              <w:t>96,800</w:t>
            </w:r>
          </w:p>
        </w:tc>
      </w:tr>
    </w:tbl>
    <w:p w14:paraId="563B3AD8" w14:textId="77777777" w:rsidR="00ED40E7" w:rsidRDefault="00ED40E7" w:rsidP="00ED40E7">
      <w:pPr>
        <w:spacing w:after="240"/>
        <w:ind w:left="720"/>
        <w:rPr>
          <w:rFonts w:cs="Arial"/>
          <w:bCs/>
          <w:color w:val="000000"/>
          <w:lang w:eastAsia="en-GB"/>
        </w:rPr>
      </w:pPr>
    </w:p>
    <w:p w14:paraId="394D644F" w14:textId="77777777" w:rsidR="00ED40E7" w:rsidRDefault="00ED40E7" w:rsidP="00ED40E7">
      <w:pPr>
        <w:spacing w:after="240"/>
        <w:ind w:left="720"/>
        <w:rPr>
          <w:rFonts w:cs="Arial"/>
          <w:bCs/>
          <w:color w:val="000000"/>
          <w:lang w:eastAsia="en-GB"/>
        </w:rPr>
      </w:pPr>
      <w:r>
        <w:rPr>
          <w:rFonts w:cs="Arial"/>
          <w:bCs/>
          <w:color w:val="000000"/>
          <w:lang w:eastAsia="en-GB"/>
        </w:rPr>
        <w:t>Assumptions:</w:t>
      </w:r>
    </w:p>
    <w:p w14:paraId="690DFD7E" w14:textId="399087F1" w:rsidR="00ED40E7" w:rsidRDefault="00ED40E7" w:rsidP="00ED40E7">
      <w:pPr>
        <w:pStyle w:val="ListParagraph"/>
        <w:numPr>
          <w:ilvl w:val="0"/>
          <w:numId w:val="31"/>
        </w:numPr>
        <w:spacing w:after="240"/>
        <w:rPr>
          <w:rFonts w:cs="Arial"/>
          <w:bCs/>
          <w:color w:val="000000"/>
          <w:lang w:eastAsia="en-GB"/>
        </w:rPr>
      </w:pPr>
      <w:r>
        <w:rPr>
          <w:rFonts w:cs="Arial"/>
          <w:bCs/>
          <w:color w:val="000000"/>
          <w:lang w:eastAsia="en-GB"/>
        </w:rPr>
        <w:t xml:space="preserve">20-30% of </w:t>
      </w:r>
      <w:r w:rsidR="000B7779">
        <w:rPr>
          <w:rFonts w:cs="Arial"/>
          <w:bCs/>
          <w:color w:val="000000"/>
          <w:lang w:eastAsia="en-GB"/>
        </w:rPr>
        <w:t>ETW</w:t>
      </w:r>
      <w:r>
        <w:rPr>
          <w:rFonts w:cs="Arial"/>
          <w:bCs/>
          <w:color w:val="000000"/>
          <w:lang w:eastAsia="en-GB"/>
        </w:rPr>
        <w:t xml:space="preserve"> budget represents the additional cost implications from the increased number of hearing following the absorption of the school exclusion panel.</w:t>
      </w:r>
    </w:p>
    <w:p w14:paraId="58C2BFF6" w14:textId="77777777" w:rsidR="0015723D" w:rsidRDefault="0015723D" w:rsidP="00ED40E7">
      <w:pPr>
        <w:pStyle w:val="ListParagraph"/>
        <w:numPr>
          <w:ilvl w:val="0"/>
          <w:numId w:val="31"/>
        </w:numPr>
        <w:spacing w:after="240"/>
        <w:rPr>
          <w:rFonts w:cs="Arial"/>
          <w:bCs/>
          <w:color w:val="000000"/>
          <w:lang w:eastAsia="en-GB"/>
        </w:rPr>
      </w:pPr>
      <w:r>
        <w:rPr>
          <w:rFonts w:cs="Arial"/>
          <w:bCs/>
          <w:color w:val="000000"/>
          <w:lang w:eastAsia="en-GB"/>
        </w:rPr>
        <w:t>Members are paid;</w:t>
      </w:r>
    </w:p>
    <w:p w14:paraId="424B1D81" w14:textId="77777777" w:rsidR="0015723D" w:rsidRDefault="0015723D" w:rsidP="00ED40E7">
      <w:pPr>
        <w:pStyle w:val="ListParagraph"/>
        <w:numPr>
          <w:ilvl w:val="0"/>
          <w:numId w:val="31"/>
        </w:numPr>
        <w:spacing w:after="240"/>
        <w:rPr>
          <w:rFonts w:cs="Arial"/>
          <w:bCs/>
          <w:color w:val="000000"/>
          <w:lang w:eastAsia="en-GB"/>
        </w:rPr>
      </w:pPr>
      <w:r>
        <w:rPr>
          <w:rFonts w:cs="Arial"/>
          <w:bCs/>
          <w:color w:val="000000"/>
          <w:lang w:eastAsia="en-GB"/>
        </w:rPr>
        <w:t>The budget is significantly affected by the number of hearings as staffing costs account for upwards of 80% of the total budget;</w:t>
      </w:r>
    </w:p>
    <w:p w14:paraId="56B7AF3C" w14:textId="77777777" w:rsidR="0015723D" w:rsidRDefault="0015723D" w:rsidP="00ED40E7">
      <w:pPr>
        <w:pStyle w:val="ListParagraph"/>
        <w:numPr>
          <w:ilvl w:val="0"/>
          <w:numId w:val="31"/>
        </w:numPr>
        <w:spacing w:after="240"/>
        <w:rPr>
          <w:rFonts w:cs="Arial"/>
          <w:bCs/>
          <w:color w:val="000000"/>
          <w:lang w:eastAsia="en-GB"/>
        </w:rPr>
      </w:pPr>
      <w:r>
        <w:rPr>
          <w:rFonts w:cs="Arial"/>
          <w:bCs/>
          <w:color w:val="000000"/>
          <w:lang w:eastAsia="en-GB"/>
        </w:rPr>
        <w:t>Premises attract a rental fee.</w:t>
      </w:r>
    </w:p>
    <w:p w14:paraId="5FCA74AD" w14:textId="77777777" w:rsidR="00ED40E7" w:rsidRDefault="00ED40E7" w:rsidP="00ED40E7">
      <w:pPr>
        <w:pStyle w:val="ListParagraph"/>
        <w:spacing w:after="240"/>
        <w:ind w:left="1212"/>
        <w:rPr>
          <w:rFonts w:cs="Arial"/>
          <w:bCs/>
          <w:color w:val="000000"/>
          <w:lang w:eastAsia="en-GB"/>
        </w:rPr>
      </w:pPr>
    </w:p>
    <w:p w14:paraId="74EAEF8E" w14:textId="78BBEE3B" w:rsidR="00213E7A" w:rsidRDefault="00213E7A" w:rsidP="00213E7A">
      <w:pPr>
        <w:spacing w:after="240"/>
        <w:ind w:left="720"/>
        <w:rPr>
          <w:rFonts w:cs="Arial"/>
          <w:bCs/>
          <w:color w:val="000000"/>
          <w:lang w:eastAsia="en-GB"/>
        </w:rPr>
      </w:pPr>
      <w:r>
        <w:t xml:space="preserve">Preliminary cost implications of the </w:t>
      </w:r>
      <w:r w:rsidR="00402C3D">
        <w:t xml:space="preserve">creation of a new onward appeal route from school admission appeal panels to the </w:t>
      </w:r>
      <w:r w:rsidR="000B7779">
        <w:t>ETW</w:t>
      </w:r>
      <w:r w:rsidR="00402C3D">
        <w:t xml:space="preserve"> (or education chamber of a unified first-tier tribunal)</w:t>
      </w:r>
      <w:r>
        <w:t xml:space="preserve"> suggest a cost in the region of £113,000</w:t>
      </w:r>
      <w:r>
        <w:rPr>
          <w:rStyle w:val="FootnoteReference"/>
        </w:rPr>
        <w:footnoteReference w:id="44"/>
      </w:r>
      <w:r>
        <w:t xml:space="preserve"> based on a similar approach applied to school exclusion panels. This is based on a rate of onward appeal of approximately 10% [60 appeals] using the estimate of about 600 school admission initial appeals per year with each onward appeal taking 4 hours. This is a simplified approach that assumes similarities in time allocations which may be overly optimistic.</w:t>
      </w:r>
    </w:p>
    <w:p w14:paraId="1ABBA408" w14:textId="77777777" w:rsidR="00ED40E7" w:rsidRPr="00DE306B" w:rsidRDefault="00ED40E7" w:rsidP="00ED40E7">
      <w:pPr>
        <w:ind w:left="852"/>
        <w:rPr>
          <w:rFonts w:cs="Arial"/>
          <w:b/>
        </w:rPr>
      </w:pPr>
      <w:r w:rsidRPr="00DE306B">
        <w:rPr>
          <w:rFonts w:cs="Arial"/>
          <w:b/>
        </w:rPr>
        <w:t xml:space="preserve">Annual </w:t>
      </w:r>
      <w:r w:rsidR="002452CE">
        <w:rPr>
          <w:rFonts w:cs="Arial"/>
          <w:b/>
        </w:rPr>
        <w:t>costs</w:t>
      </w:r>
      <w:r w:rsidRPr="00DE306B">
        <w:rPr>
          <w:rFonts w:cs="Arial"/>
          <w:b/>
        </w:rPr>
        <w:t xml:space="preserve"> = £</w:t>
      </w:r>
      <w:r w:rsidR="002C377D">
        <w:rPr>
          <w:rFonts w:cs="Arial"/>
          <w:b/>
        </w:rPr>
        <w:t>193</w:t>
      </w:r>
      <w:r>
        <w:rPr>
          <w:rFonts w:cs="Arial"/>
          <w:b/>
        </w:rPr>
        <w:t>,</w:t>
      </w:r>
      <w:r w:rsidR="002C377D">
        <w:rPr>
          <w:rFonts w:cs="Arial"/>
          <w:b/>
        </w:rPr>
        <w:t>2</w:t>
      </w:r>
      <w:r>
        <w:rPr>
          <w:rFonts w:cs="Arial"/>
          <w:b/>
        </w:rPr>
        <w:t>00</w:t>
      </w:r>
      <w:r w:rsidRPr="00DE306B">
        <w:rPr>
          <w:rFonts w:cs="Arial"/>
          <w:b/>
        </w:rPr>
        <w:t xml:space="preserve"> [central estimate]</w:t>
      </w:r>
    </w:p>
    <w:p w14:paraId="2B908E2A" w14:textId="77777777" w:rsidR="00ED40E7" w:rsidRPr="00DE306B" w:rsidRDefault="00ED40E7" w:rsidP="00ED40E7">
      <w:pPr>
        <w:ind w:left="852"/>
        <w:rPr>
          <w:rFonts w:cs="Arial"/>
          <w:b/>
        </w:rPr>
      </w:pPr>
    </w:p>
    <w:p w14:paraId="63AAB121" w14:textId="77777777" w:rsidR="00ED40E7" w:rsidRPr="00DE306B" w:rsidRDefault="00ED40E7" w:rsidP="00ED40E7">
      <w:pPr>
        <w:ind w:left="852"/>
        <w:rPr>
          <w:rFonts w:cs="Arial"/>
          <w:b/>
        </w:rPr>
      </w:pPr>
      <w:r w:rsidRPr="00DE306B">
        <w:rPr>
          <w:rFonts w:cs="Arial"/>
          <w:b/>
        </w:rPr>
        <w:t xml:space="preserve">Present value over </w:t>
      </w:r>
      <w:r w:rsidR="00447E6B">
        <w:rPr>
          <w:rFonts w:cs="Arial"/>
          <w:b/>
        </w:rPr>
        <w:t>7</w:t>
      </w:r>
      <w:r w:rsidRPr="00DE306B">
        <w:rPr>
          <w:rFonts w:cs="Arial"/>
          <w:b/>
        </w:rPr>
        <w:t xml:space="preserve"> years =</w:t>
      </w:r>
      <w:r w:rsidR="002452CE">
        <w:rPr>
          <w:rFonts w:cs="Arial"/>
          <w:b/>
        </w:rPr>
        <w:t xml:space="preserve"> </w:t>
      </w:r>
      <w:r w:rsidR="00145E87">
        <w:rPr>
          <w:rFonts w:cs="Arial"/>
          <w:b/>
        </w:rPr>
        <w:t>£</w:t>
      </w:r>
      <w:r w:rsidR="00213E7A">
        <w:rPr>
          <w:rFonts w:cs="Arial"/>
          <w:b/>
        </w:rPr>
        <w:t>1.07</w:t>
      </w:r>
      <w:r w:rsidR="00145E87">
        <w:rPr>
          <w:rFonts w:cs="Arial"/>
          <w:b/>
        </w:rPr>
        <w:t xml:space="preserve"> million</w:t>
      </w:r>
      <w:r w:rsidR="002452CE">
        <w:rPr>
          <w:rFonts w:cs="Arial"/>
          <w:b/>
        </w:rPr>
        <w:t xml:space="preserve"> </w:t>
      </w:r>
      <w:r w:rsidRPr="00DE306B">
        <w:rPr>
          <w:rFonts w:cs="Arial"/>
          <w:b/>
        </w:rPr>
        <w:t>[central estimate]</w:t>
      </w:r>
    </w:p>
    <w:p w14:paraId="265A30F5" w14:textId="77777777" w:rsidR="00ED40E7" w:rsidRDefault="00ED40E7" w:rsidP="003740C2">
      <w:pPr>
        <w:spacing w:after="240"/>
        <w:ind w:left="720"/>
        <w:rPr>
          <w:rFonts w:cs="Arial"/>
          <w:bCs/>
          <w:color w:val="000000"/>
          <w:lang w:eastAsia="en-GB"/>
        </w:rPr>
      </w:pPr>
    </w:p>
    <w:p w14:paraId="6D14E50B" w14:textId="77777777" w:rsidR="003740C2" w:rsidRPr="00BC6A59" w:rsidRDefault="003740C2" w:rsidP="003740C2">
      <w:pPr>
        <w:spacing w:after="240"/>
        <w:ind w:left="720"/>
        <w:rPr>
          <w:rFonts w:cs="Arial"/>
          <w:bCs/>
          <w:color w:val="000000"/>
          <w:lang w:eastAsia="en-GB"/>
        </w:rPr>
      </w:pPr>
      <w:r w:rsidRPr="00BC6A59">
        <w:rPr>
          <w:rFonts w:cs="Arial"/>
          <w:bCs/>
          <w:color w:val="000000"/>
          <w:lang w:eastAsia="en-GB"/>
        </w:rPr>
        <w:t xml:space="preserve">6. </w:t>
      </w:r>
      <w:r w:rsidRPr="00BC6A59">
        <w:rPr>
          <w:rFonts w:cs="Arial"/>
          <w:bCs/>
          <w:color w:val="000000"/>
          <w:u w:val="single"/>
          <w:lang w:eastAsia="en-GB"/>
        </w:rPr>
        <w:t xml:space="preserve">Inclusion of the </w:t>
      </w:r>
      <w:r w:rsidR="00C25BE0">
        <w:rPr>
          <w:rFonts w:cs="Arial"/>
          <w:bCs/>
          <w:color w:val="000000"/>
          <w:u w:val="single"/>
          <w:lang w:eastAsia="en-GB"/>
        </w:rPr>
        <w:t>Valuation Tribunal for Wales</w:t>
      </w:r>
    </w:p>
    <w:p w14:paraId="060E391C" w14:textId="77777777" w:rsidR="007562A8" w:rsidRDefault="00F27A83" w:rsidP="00F27A83">
      <w:pPr>
        <w:spacing w:after="120"/>
        <w:ind w:left="720"/>
        <w:rPr>
          <w:rFonts w:cs="Arial"/>
          <w:bCs/>
          <w:color w:val="000000"/>
          <w:lang w:eastAsia="en-GB"/>
        </w:rPr>
      </w:pPr>
      <w:r>
        <w:rPr>
          <w:rFonts w:cs="Arial"/>
          <w:bCs/>
          <w:color w:val="000000"/>
          <w:lang w:eastAsia="en-GB"/>
        </w:rPr>
        <w:t xml:space="preserve">    </w:t>
      </w:r>
    </w:p>
    <w:p w14:paraId="6AB1A476" w14:textId="1F638B79" w:rsidR="00F27A83" w:rsidRPr="00DE306B" w:rsidRDefault="00F27A83" w:rsidP="00F27A83">
      <w:pPr>
        <w:spacing w:after="120"/>
        <w:ind w:left="720"/>
        <w:rPr>
          <w:rFonts w:cs="Arial"/>
          <w:bCs/>
          <w:color w:val="000000"/>
          <w:lang w:eastAsia="en-GB"/>
        </w:rPr>
      </w:pPr>
      <w:r w:rsidRPr="00DE306B">
        <w:rPr>
          <w:rFonts w:cs="Arial"/>
          <w:bCs/>
          <w:color w:val="000000"/>
          <w:lang w:eastAsia="en-GB"/>
        </w:rPr>
        <w:t>Table</w:t>
      </w:r>
      <w:r>
        <w:rPr>
          <w:rFonts w:cs="Arial"/>
          <w:bCs/>
          <w:color w:val="000000"/>
          <w:lang w:eastAsia="en-GB"/>
        </w:rPr>
        <w:t xml:space="preserve"> 1</w:t>
      </w:r>
      <w:r w:rsidR="003016E7">
        <w:rPr>
          <w:rFonts w:cs="Arial"/>
          <w:bCs/>
          <w:color w:val="000000"/>
          <w:lang w:eastAsia="en-GB"/>
        </w:rPr>
        <w:t>2</w:t>
      </w:r>
      <w:r w:rsidRPr="00DE306B">
        <w:rPr>
          <w:rFonts w:cs="Arial"/>
          <w:bCs/>
          <w:color w:val="000000"/>
          <w:lang w:eastAsia="en-GB"/>
        </w:rPr>
        <w:t xml:space="preserve">: </w:t>
      </w:r>
      <w:r>
        <w:rPr>
          <w:rFonts w:cs="Arial"/>
          <w:bCs/>
          <w:color w:val="000000"/>
          <w:lang w:eastAsia="en-GB"/>
        </w:rPr>
        <w:t xml:space="preserve">Fees paid to </w:t>
      </w:r>
      <w:r w:rsidR="00C25BE0">
        <w:rPr>
          <w:rFonts w:cs="Arial"/>
          <w:bCs/>
          <w:color w:val="000000"/>
          <w:lang w:eastAsia="en-GB"/>
        </w:rPr>
        <w:t>Valuation Tribunal for Wales</w:t>
      </w:r>
      <w:r>
        <w:rPr>
          <w:rFonts w:cs="Arial"/>
          <w:bCs/>
          <w:color w:val="000000"/>
          <w:lang w:eastAsia="en-GB"/>
        </w:rPr>
        <w:t xml:space="preserve"> members </w:t>
      </w:r>
      <w:r w:rsidRPr="00DE306B">
        <w:rPr>
          <w:rFonts w:cs="Arial"/>
          <w:bCs/>
          <w:color w:val="000000"/>
          <w:lang w:eastAsia="en-GB"/>
        </w:rPr>
        <w:t xml:space="preserve">within </w:t>
      </w:r>
      <w:r>
        <w:rPr>
          <w:rFonts w:cs="Arial"/>
          <w:bCs/>
          <w:color w:val="000000"/>
          <w:lang w:eastAsia="en-GB"/>
        </w:rPr>
        <w:t>u</w:t>
      </w:r>
      <w:r w:rsidRPr="00DE306B">
        <w:rPr>
          <w:rFonts w:cs="Arial"/>
          <w:bCs/>
          <w:color w:val="000000"/>
          <w:lang w:eastAsia="en-GB"/>
        </w:rPr>
        <w:t>nified system</w:t>
      </w:r>
    </w:p>
    <w:tbl>
      <w:tblPr>
        <w:tblStyle w:val="TableGrid"/>
        <w:tblW w:w="0" w:type="auto"/>
        <w:tblInd w:w="720" w:type="dxa"/>
        <w:tblLook w:val="04A0" w:firstRow="1" w:lastRow="0" w:firstColumn="1" w:lastColumn="0" w:noHBand="0" w:noVBand="1"/>
      </w:tblPr>
      <w:tblGrid>
        <w:gridCol w:w="2388"/>
        <w:gridCol w:w="2358"/>
        <w:gridCol w:w="2358"/>
        <w:gridCol w:w="2371"/>
      </w:tblGrid>
      <w:tr w:rsidR="00F27A83" w:rsidRPr="002A6CB2" w14:paraId="6082456D" w14:textId="77777777" w:rsidTr="00B3499D">
        <w:trPr>
          <w:trHeight w:val="789"/>
        </w:trPr>
        <w:tc>
          <w:tcPr>
            <w:tcW w:w="2548" w:type="dxa"/>
            <w:shd w:val="clear" w:color="auto" w:fill="D9D9D9" w:themeFill="background1" w:themeFillShade="D9"/>
          </w:tcPr>
          <w:p w14:paraId="3BFF3309" w14:textId="77777777" w:rsidR="00F27A83" w:rsidRPr="00DE306B" w:rsidRDefault="00F27A83" w:rsidP="00B3499D">
            <w:pPr>
              <w:spacing w:after="120"/>
              <w:rPr>
                <w:rFonts w:cs="Arial"/>
                <w:bCs/>
                <w:color w:val="000000"/>
                <w:lang w:eastAsia="en-GB"/>
              </w:rPr>
            </w:pPr>
          </w:p>
        </w:tc>
        <w:tc>
          <w:tcPr>
            <w:tcW w:w="2549" w:type="dxa"/>
            <w:shd w:val="clear" w:color="auto" w:fill="D9D9D9" w:themeFill="background1" w:themeFillShade="D9"/>
          </w:tcPr>
          <w:p w14:paraId="4855B6E3" w14:textId="77777777" w:rsidR="00F27A83" w:rsidRPr="00DE306B" w:rsidRDefault="00F27A83" w:rsidP="00B3499D">
            <w:pPr>
              <w:spacing w:after="120"/>
              <w:rPr>
                <w:rFonts w:cs="Arial"/>
                <w:bCs/>
                <w:color w:val="000000"/>
                <w:lang w:eastAsia="en-GB"/>
              </w:rPr>
            </w:pPr>
            <w:r w:rsidRPr="00DE306B">
              <w:rPr>
                <w:rFonts w:cs="Arial"/>
                <w:bCs/>
                <w:color w:val="000000"/>
                <w:lang w:eastAsia="en-GB"/>
              </w:rPr>
              <w:t>Low estimate</w:t>
            </w:r>
          </w:p>
        </w:tc>
        <w:tc>
          <w:tcPr>
            <w:tcW w:w="2549" w:type="dxa"/>
            <w:shd w:val="clear" w:color="auto" w:fill="D9D9D9" w:themeFill="background1" w:themeFillShade="D9"/>
          </w:tcPr>
          <w:p w14:paraId="1B55FB68" w14:textId="77777777" w:rsidR="00F27A83" w:rsidRPr="00DE306B" w:rsidRDefault="00F27A83" w:rsidP="00B3499D">
            <w:pPr>
              <w:spacing w:after="120"/>
              <w:rPr>
                <w:rFonts w:cs="Arial"/>
                <w:bCs/>
                <w:color w:val="000000"/>
                <w:lang w:eastAsia="en-GB"/>
              </w:rPr>
            </w:pPr>
            <w:r w:rsidRPr="00DE306B">
              <w:rPr>
                <w:rFonts w:cs="Arial"/>
                <w:bCs/>
                <w:color w:val="000000"/>
                <w:lang w:eastAsia="en-GB"/>
              </w:rPr>
              <w:t>Central estimate</w:t>
            </w:r>
          </w:p>
        </w:tc>
        <w:tc>
          <w:tcPr>
            <w:tcW w:w="2549" w:type="dxa"/>
            <w:shd w:val="clear" w:color="auto" w:fill="D9D9D9" w:themeFill="background1" w:themeFillShade="D9"/>
          </w:tcPr>
          <w:p w14:paraId="4C9A8F8F" w14:textId="77777777" w:rsidR="00F27A83" w:rsidRPr="00DE306B" w:rsidRDefault="00F27A83" w:rsidP="00B3499D">
            <w:pPr>
              <w:spacing w:after="120"/>
              <w:rPr>
                <w:rFonts w:cs="Arial"/>
                <w:bCs/>
                <w:color w:val="000000"/>
                <w:lang w:eastAsia="en-GB"/>
              </w:rPr>
            </w:pPr>
            <w:r w:rsidRPr="00DE306B">
              <w:rPr>
                <w:rFonts w:cs="Arial"/>
                <w:bCs/>
                <w:color w:val="000000"/>
                <w:lang w:eastAsia="en-GB"/>
              </w:rPr>
              <w:t>High estimate</w:t>
            </w:r>
          </w:p>
        </w:tc>
      </w:tr>
      <w:tr w:rsidR="00F27A83" w:rsidRPr="002A6CB2" w14:paraId="18D8C52E" w14:textId="77777777" w:rsidTr="00B3499D">
        <w:tc>
          <w:tcPr>
            <w:tcW w:w="2548" w:type="dxa"/>
          </w:tcPr>
          <w:p w14:paraId="00AE56B2" w14:textId="77777777" w:rsidR="00F27A83" w:rsidRPr="00DE306B" w:rsidRDefault="00F27A83" w:rsidP="00B3499D">
            <w:pPr>
              <w:spacing w:after="120"/>
              <w:rPr>
                <w:rFonts w:cs="Arial"/>
                <w:bCs/>
                <w:color w:val="000000"/>
                <w:lang w:eastAsia="en-GB"/>
              </w:rPr>
            </w:pPr>
            <w:r>
              <w:rPr>
                <w:rFonts w:cs="Arial"/>
                <w:bCs/>
                <w:color w:val="000000"/>
                <w:lang w:eastAsia="en-GB"/>
              </w:rPr>
              <w:t>Number of tribunal meetings</w:t>
            </w:r>
            <w:r>
              <w:rPr>
                <w:rStyle w:val="FootnoteReference"/>
                <w:bCs/>
                <w:color w:val="000000"/>
                <w:lang w:eastAsia="en-GB"/>
              </w:rPr>
              <w:footnoteReference w:id="45"/>
            </w:r>
          </w:p>
        </w:tc>
        <w:tc>
          <w:tcPr>
            <w:tcW w:w="2549" w:type="dxa"/>
          </w:tcPr>
          <w:p w14:paraId="3778AE57" w14:textId="77777777" w:rsidR="00F27A83" w:rsidRPr="00DE306B" w:rsidRDefault="00F27A83" w:rsidP="00B3499D">
            <w:pPr>
              <w:spacing w:after="120"/>
              <w:jc w:val="center"/>
              <w:rPr>
                <w:rFonts w:cs="Arial"/>
                <w:bCs/>
                <w:color w:val="000000"/>
                <w:lang w:eastAsia="en-GB"/>
              </w:rPr>
            </w:pPr>
            <w:r>
              <w:rPr>
                <w:rFonts w:cs="Arial"/>
                <w:bCs/>
                <w:color w:val="000000"/>
                <w:lang w:eastAsia="en-GB"/>
              </w:rPr>
              <w:t>154</w:t>
            </w:r>
          </w:p>
        </w:tc>
        <w:tc>
          <w:tcPr>
            <w:tcW w:w="2549" w:type="dxa"/>
          </w:tcPr>
          <w:p w14:paraId="2BC5157A" w14:textId="77777777" w:rsidR="00F27A83" w:rsidRPr="00DE306B" w:rsidRDefault="00F27A83" w:rsidP="00B3499D">
            <w:pPr>
              <w:spacing w:after="120"/>
              <w:jc w:val="center"/>
              <w:rPr>
                <w:rFonts w:cs="Arial"/>
                <w:bCs/>
                <w:color w:val="000000"/>
                <w:lang w:eastAsia="en-GB"/>
              </w:rPr>
            </w:pPr>
            <w:r>
              <w:rPr>
                <w:rFonts w:cs="Arial"/>
                <w:bCs/>
                <w:color w:val="000000"/>
                <w:lang w:eastAsia="en-GB"/>
              </w:rPr>
              <w:t>181</w:t>
            </w:r>
          </w:p>
        </w:tc>
        <w:tc>
          <w:tcPr>
            <w:tcW w:w="2549" w:type="dxa"/>
          </w:tcPr>
          <w:p w14:paraId="42D5A2F1" w14:textId="77777777" w:rsidR="00F27A83" w:rsidRPr="00DE306B" w:rsidRDefault="00F27A83" w:rsidP="00B3499D">
            <w:pPr>
              <w:spacing w:after="120"/>
              <w:jc w:val="center"/>
              <w:rPr>
                <w:rFonts w:cs="Arial"/>
                <w:bCs/>
                <w:color w:val="000000"/>
                <w:lang w:eastAsia="en-GB"/>
              </w:rPr>
            </w:pPr>
            <w:r>
              <w:rPr>
                <w:rFonts w:cs="Arial"/>
                <w:bCs/>
                <w:color w:val="000000"/>
                <w:lang w:eastAsia="en-GB"/>
              </w:rPr>
              <w:t>209</w:t>
            </w:r>
          </w:p>
        </w:tc>
      </w:tr>
      <w:tr w:rsidR="00F27A83" w:rsidRPr="002A6CB2" w14:paraId="5DDE61D5" w14:textId="77777777" w:rsidTr="00B3499D">
        <w:tc>
          <w:tcPr>
            <w:tcW w:w="2548" w:type="dxa"/>
          </w:tcPr>
          <w:p w14:paraId="4F113014" w14:textId="77777777" w:rsidR="00F27A83" w:rsidRPr="00DE306B" w:rsidRDefault="00F27A83" w:rsidP="00B3499D">
            <w:pPr>
              <w:spacing w:after="120"/>
              <w:rPr>
                <w:rFonts w:cs="Arial"/>
                <w:bCs/>
                <w:color w:val="000000"/>
                <w:lang w:eastAsia="en-GB"/>
              </w:rPr>
            </w:pPr>
            <w:r w:rsidRPr="00DE306B">
              <w:rPr>
                <w:rFonts w:cs="Arial"/>
                <w:bCs/>
                <w:color w:val="000000"/>
                <w:lang w:eastAsia="en-GB"/>
              </w:rPr>
              <w:t xml:space="preserve">Average </w:t>
            </w:r>
            <w:r>
              <w:rPr>
                <w:rFonts w:cs="Arial"/>
                <w:bCs/>
                <w:color w:val="000000"/>
                <w:lang w:eastAsia="en-GB"/>
              </w:rPr>
              <w:t xml:space="preserve">daily </w:t>
            </w:r>
            <w:r w:rsidRPr="00DE306B">
              <w:rPr>
                <w:rFonts w:cs="Arial"/>
                <w:bCs/>
                <w:color w:val="000000"/>
                <w:lang w:eastAsia="en-GB"/>
              </w:rPr>
              <w:t>fee</w:t>
            </w:r>
            <w:r>
              <w:rPr>
                <w:rStyle w:val="FootnoteReference"/>
                <w:bCs/>
                <w:color w:val="000000"/>
                <w:lang w:eastAsia="en-GB"/>
              </w:rPr>
              <w:footnoteReference w:id="46"/>
            </w:r>
          </w:p>
        </w:tc>
        <w:tc>
          <w:tcPr>
            <w:tcW w:w="2549" w:type="dxa"/>
          </w:tcPr>
          <w:p w14:paraId="61D46180" w14:textId="77777777" w:rsidR="00F27A83" w:rsidRPr="00DE306B" w:rsidRDefault="00F27A83" w:rsidP="00B3499D">
            <w:pPr>
              <w:spacing w:after="120"/>
              <w:jc w:val="center"/>
              <w:rPr>
                <w:rFonts w:cs="Arial"/>
                <w:bCs/>
                <w:color w:val="000000"/>
                <w:lang w:eastAsia="en-GB"/>
              </w:rPr>
            </w:pPr>
            <w:r w:rsidRPr="00DE306B">
              <w:rPr>
                <w:rFonts w:cs="Arial"/>
                <w:bCs/>
                <w:color w:val="000000"/>
                <w:lang w:eastAsia="en-GB"/>
              </w:rPr>
              <w:t>£0</w:t>
            </w:r>
          </w:p>
        </w:tc>
        <w:tc>
          <w:tcPr>
            <w:tcW w:w="2549" w:type="dxa"/>
          </w:tcPr>
          <w:p w14:paraId="2BAD5C32" w14:textId="77777777" w:rsidR="00F27A83" w:rsidRPr="00DE306B" w:rsidRDefault="00F27A83" w:rsidP="00B3499D">
            <w:pPr>
              <w:spacing w:after="120"/>
              <w:jc w:val="center"/>
              <w:rPr>
                <w:rFonts w:cs="Arial"/>
                <w:bCs/>
                <w:color w:val="000000"/>
                <w:lang w:eastAsia="en-GB"/>
              </w:rPr>
            </w:pPr>
            <w:r>
              <w:rPr>
                <w:rFonts w:cs="Arial"/>
                <w:bCs/>
                <w:color w:val="000000"/>
                <w:lang w:eastAsia="en-GB"/>
              </w:rPr>
              <w:t>£</w:t>
            </w:r>
            <w:r w:rsidR="007562A8">
              <w:rPr>
                <w:rFonts w:cs="Arial"/>
                <w:bCs/>
                <w:color w:val="000000"/>
                <w:lang w:eastAsia="en-GB"/>
              </w:rPr>
              <w:t>143</w:t>
            </w:r>
          </w:p>
        </w:tc>
        <w:tc>
          <w:tcPr>
            <w:tcW w:w="2549" w:type="dxa"/>
          </w:tcPr>
          <w:p w14:paraId="34B6A4D5" w14:textId="77777777" w:rsidR="00F27A83" w:rsidRPr="00DE306B" w:rsidRDefault="00F27A83" w:rsidP="00B3499D">
            <w:pPr>
              <w:spacing w:after="120"/>
              <w:jc w:val="center"/>
              <w:rPr>
                <w:rFonts w:cs="Arial"/>
                <w:bCs/>
                <w:color w:val="000000"/>
                <w:lang w:eastAsia="en-GB"/>
              </w:rPr>
            </w:pPr>
            <w:r>
              <w:rPr>
                <w:rFonts w:cs="Arial"/>
                <w:bCs/>
                <w:color w:val="000000"/>
                <w:lang w:eastAsia="en-GB"/>
              </w:rPr>
              <w:t>£2</w:t>
            </w:r>
            <w:r w:rsidR="007562A8">
              <w:rPr>
                <w:rFonts w:cs="Arial"/>
                <w:bCs/>
                <w:color w:val="000000"/>
                <w:lang w:eastAsia="en-GB"/>
              </w:rPr>
              <w:t>92</w:t>
            </w:r>
          </w:p>
        </w:tc>
      </w:tr>
      <w:tr w:rsidR="00F27A83" w:rsidRPr="002A6CB2" w14:paraId="4371907A" w14:textId="77777777" w:rsidTr="00B3499D">
        <w:trPr>
          <w:trHeight w:val="543"/>
        </w:trPr>
        <w:tc>
          <w:tcPr>
            <w:tcW w:w="2548" w:type="dxa"/>
          </w:tcPr>
          <w:p w14:paraId="375C1C25" w14:textId="77777777" w:rsidR="00F27A83" w:rsidRPr="00DE306B" w:rsidRDefault="00F27A83" w:rsidP="00B3499D">
            <w:pPr>
              <w:spacing w:after="120"/>
              <w:rPr>
                <w:rFonts w:cs="Arial"/>
                <w:b/>
                <w:bCs/>
                <w:color w:val="000000"/>
                <w:lang w:eastAsia="en-GB"/>
              </w:rPr>
            </w:pPr>
            <w:r w:rsidRPr="00DE306B">
              <w:rPr>
                <w:rFonts w:cs="Arial"/>
                <w:b/>
                <w:bCs/>
                <w:color w:val="000000"/>
                <w:lang w:eastAsia="en-GB"/>
              </w:rPr>
              <w:t>Total annual cost</w:t>
            </w:r>
            <w:r>
              <w:rPr>
                <w:rStyle w:val="FootnoteReference"/>
                <w:b/>
                <w:bCs/>
                <w:color w:val="000000"/>
                <w:lang w:eastAsia="en-GB"/>
              </w:rPr>
              <w:footnoteReference w:id="47"/>
            </w:r>
          </w:p>
        </w:tc>
        <w:tc>
          <w:tcPr>
            <w:tcW w:w="2549" w:type="dxa"/>
          </w:tcPr>
          <w:p w14:paraId="05A8C104" w14:textId="77777777" w:rsidR="00F27A83" w:rsidRPr="00DE306B" w:rsidRDefault="00F27A83" w:rsidP="00B3499D">
            <w:pPr>
              <w:spacing w:after="120"/>
              <w:jc w:val="center"/>
              <w:rPr>
                <w:rFonts w:cs="Arial"/>
                <w:b/>
                <w:bCs/>
                <w:color w:val="000000"/>
                <w:lang w:eastAsia="en-GB"/>
              </w:rPr>
            </w:pPr>
            <w:r w:rsidRPr="00DE306B">
              <w:rPr>
                <w:rFonts w:cs="Arial"/>
                <w:b/>
                <w:bCs/>
                <w:color w:val="000000"/>
                <w:lang w:eastAsia="en-GB"/>
              </w:rPr>
              <w:t>£0</w:t>
            </w:r>
          </w:p>
        </w:tc>
        <w:tc>
          <w:tcPr>
            <w:tcW w:w="2549" w:type="dxa"/>
          </w:tcPr>
          <w:p w14:paraId="36016CDA" w14:textId="77777777" w:rsidR="00F27A83" w:rsidRPr="00DE306B" w:rsidRDefault="00F27A83" w:rsidP="00B3499D">
            <w:pPr>
              <w:spacing w:after="120"/>
              <w:jc w:val="center"/>
              <w:rPr>
                <w:rFonts w:cs="Arial"/>
                <w:b/>
                <w:bCs/>
                <w:color w:val="000000"/>
                <w:lang w:eastAsia="en-GB"/>
              </w:rPr>
            </w:pPr>
            <w:r w:rsidRPr="00DE306B">
              <w:rPr>
                <w:rFonts w:cs="Arial"/>
                <w:b/>
                <w:bCs/>
                <w:color w:val="000000"/>
                <w:lang w:eastAsia="en-GB"/>
              </w:rPr>
              <w:t>£</w:t>
            </w:r>
            <w:r w:rsidR="007562A8">
              <w:rPr>
                <w:rFonts w:cs="Arial"/>
                <w:b/>
                <w:bCs/>
                <w:color w:val="000000"/>
                <w:lang w:eastAsia="en-GB"/>
              </w:rPr>
              <w:t>77,600</w:t>
            </w:r>
          </w:p>
        </w:tc>
        <w:tc>
          <w:tcPr>
            <w:tcW w:w="2549" w:type="dxa"/>
          </w:tcPr>
          <w:p w14:paraId="6FB9BC16" w14:textId="77777777" w:rsidR="00F27A83" w:rsidRPr="00DE306B" w:rsidRDefault="00F27A83" w:rsidP="00B3499D">
            <w:pPr>
              <w:spacing w:after="120"/>
              <w:jc w:val="center"/>
              <w:rPr>
                <w:rFonts w:cs="Arial"/>
                <w:b/>
                <w:bCs/>
                <w:color w:val="000000"/>
                <w:lang w:eastAsia="en-GB"/>
              </w:rPr>
            </w:pPr>
            <w:r w:rsidRPr="00DE306B">
              <w:rPr>
                <w:rFonts w:cs="Arial"/>
                <w:b/>
                <w:bCs/>
                <w:color w:val="000000"/>
                <w:lang w:eastAsia="en-GB"/>
              </w:rPr>
              <w:t>£</w:t>
            </w:r>
            <w:r>
              <w:rPr>
                <w:rFonts w:cs="Arial"/>
                <w:b/>
                <w:bCs/>
                <w:color w:val="000000"/>
                <w:lang w:eastAsia="en-GB"/>
              </w:rPr>
              <w:t>1</w:t>
            </w:r>
            <w:r w:rsidR="007562A8">
              <w:rPr>
                <w:rFonts w:cs="Arial"/>
                <w:b/>
                <w:bCs/>
                <w:color w:val="000000"/>
                <w:lang w:eastAsia="en-GB"/>
              </w:rPr>
              <w:t>83,100</w:t>
            </w:r>
          </w:p>
        </w:tc>
      </w:tr>
    </w:tbl>
    <w:p w14:paraId="76C07527" w14:textId="77777777" w:rsidR="00F27A83" w:rsidRPr="00DE306B" w:rsidRDefault="00F27A83" w:rsidP="00F27A83">
      <w:pPr>
        <w:spacing w:after="120"/>
        <w:ind w:left="720"/>
        <w:rPr>
          <w:rFonts w:cs="Arial"/>
          <w:bCs/>
          <w:color w:val="000000"/>
          <w:lang w:eastAsia="en-GB"/>
        </w:rPr>
      </w:pPr>
    </w:p>
    <w:p w14:paraId="505B5B65" w14:textId="77777777" w:rsidR="00F27A83" w:rsidRDefault="00F27A83" w:rsidP="00F27A83">
      <w:pPr>
        <w:spacing w:after="120"/>
        <w:ind w:left="720"/>
        <w:rPr>
          <w:rFonts w:cs="Arial"/>
          <w:bCs/>
          <w:color w:val="000000"/>
          <w:lang w:eastAsia="en-GB"/>
        </w:rPr>
      </w:pPr>
      <w:r w:rsidRPr="00DE306B">
        <w:rPr>
          <w:rFonts w:cs="Arial"/>
          <w:bCs/>
          <w:color w:val="000000"/>
          <w:lang w:eastAsia="en-GB"/>
        </w:rPr>
        <w:t>Assumptions:</w:t>
      </w:r>
    </w:p>
    <w:p w14:paraId="5BCDFFD7" w14:textId="77777777" w:rsidR="00F27A83" w:rsidRDefault="00F27A83" w:rsidP="00F27A83">
      <w:pPr>
        <w:pStyle w:val="ListParagraph"/>
        <w:numPr>
          <w:ilvl w:val="0"/>
          <w:numId w:val="31"/>
        </w:numPr>
        <w:spacing w:after="120"/>
        <w:rPr>
          <w:rFonts w:cs="Arial"/>
          <w:bCs/>
          <w:color w:val="000000"/>
          <w:lang w:eastAsia="en-GB"/>
        </w:rPr>
      </w:pPr>
      <w:r>
        <w:rPr>
          <w:rFonts w:cs="Arial"/>
          <w:bCs/>
          <w:color w:val="000000"/>
          <w:lang w:eastAsia="en-GB"/>
        </w:rPr>
        <w:t>Central estimate of number of tribunal meetings is taken from 2018/2019 number of tribunal meetings, while the low estimate is taken from the 2019/2020 number of tribunal meetings. 15% has been added to the central estimate to reach the high estimate of tribunal meetings.</w:t>
      </w:r>
    </w:p>
    <w:p w14:paraId="08DCC642" w14:textId="77777777" w:rsidR="00F27A83" w:rsidRDefault="007562A8" w:rsidP="00F27A83">
      <w:pPr>
        <w:pStyle w:val="ListParagraph"/>
        <w:numPr>
          <w:ilvl w:val="0"/>
          <w:numId w:val="31"/>
        </w:numPr>
        <w:spacing w:after="120"/>
        <w:rPr>
          <w:rFonts w:cs="Arial"/>
          <w:bCs/>
          <w:color w:val="000000"/>
          <w:lang w:eastAsia="en-GB"/>
        </w:rPr>
      </w:pPr>
      <w:r>
        <w:rPr>
          <w:rFonts w:cs="Arial"/>
          <w:bCs/>
          <w:color w:val="000000"/>
          <w:lang w:eastAsia="en-GB"/>
        </w:rPr>
        <w:t>Tribunal fee</w:t>
      </w:r>
      <w:r w:rsidR="00F27A83">
        <w:rPr>
          <w:rFonts w:cs="Arial"/>
          <w:bCs/>
          <w:color w:val="000000"/>
          <w:lang w:eastAsia="en-GB"/>
        </w:rPr>
        <w:t xml:space="preserve"> ranges from volunteer [£0] to the average</w:t>
      </w:r>
      <w:r>
        <w:rPr>
          <w:rFonts w:cs="Arial"/>
          <w:bCs/>
          <w:color w:val="000000"/>
          <w:lang w:eastAsia="en-GB"/>
        </w:rPr>
        <w:t xml:space="preserve"> cost of a legal Chair plus two lay members</w:t>
      </w:r>
      <w:r w:rsidR="00F9634D">
        <w:rPr>
          <w:rFonts w:cs="Arial"/>
          <w:bCs/>
          <w:color w:val="000000"/>
          <w:lang w:eastAsia="en-GB"/>
        </w:rPr>
        <w:t xml:space="preserve">’ </w:t>
      </w:r>
      <w:r w:rsidR="00F27A83">
        <w:rPr>
          <w:rFonts w:cs="Arial"/>
          <w:bCs/>
          <w:color w:val="000000"/>
          <w:lang w:eastAsia="en-GB"/>
        </w:rPr>
        <w:t>fees (£2</w:t>
      </w:r>
      <w:r>
        <w:rPr>
          <w:rFonts w:cs="Arial"/>
          <w:bCs/>
          <w:color w:val="000000"/>
          <w:lang w:eastAsia="en-GB"/>
        </w:rPr>
        <w:t>92</w:t>
      </w:r>
      <w:r w:rsidR="00F27A83">
        <w:rPr>
          <w:rFonts w:cs="Arial"/>
          <w:bCs/>
          <w:color w:val="000000"/>
          <w:lang w:eastAsia="en-GB"/>
        </w:rPr>
        <w:t xml:space="preserve">), with the central estimate being the </w:t>
      </w:r>
      <w:r>
        <w:rPr>
          <w:rFonts w:cs="Arial"/>
          <w:bCs/>
          <w:color w:val="000000"/>
          <w:lang w:eastAsia="en-GB"/>
        </w:rPr>
        <w:t xml:space="preserve">average of the lowest combined tribunal fees [Legal Chair plus two lay members] </w:t>
      </w:r>
      <w:r w:rsidR="00F27A83">
        <w:rPr>
          <w:rFonts w:cs="Arial"/>
          <w:bCs/>
          <w:color w:val="000000"/>
          <w:lang w:eastAsia="en-GB"/>
        </w:rPr>
        <w:t>£</w:t>
      </w:r>
      <w:r>
        <w:rPr>
          <w:rFonts w:cs="Arial"/>
          <w:bCs/>
          <w:color w:val="000000"/>
          <w:lang w:eastAsia="en-GB"/>
        </w:rPr>
        <w:t>143</w:t>
      </w:r>
      <w:r w:rsidR="00F27A83">
        <w:rPr>
          <w:rFonts w:cs="Arial"/>
          <w:bCs/>
          <w:color w:val="000000"/>
          <w:lang w:eastAsia="en-GB"/>
        </w:rPr>
        <w:t>;</w:t>
      </w:r>
    </w:p>
    <w:p w14:paraId="18AE7BB7" w14:textId="77777777" w:rsidR="00F27A83" w:rsidRDefault="00F27A83" w:rsidP="00F27A83">
      <w:pPr>
        <w:pStyle w:val="ListParagraph"/>
        <w:numPr>
          <w:ilvl w:val="0"/>
          <w:numId w:val="31"/>
        </w:numPr>
        <w:spacing w:after="120"/>
        <w:rPr>
          <w:rFonts w:cs="Arial"/>
          <w:bCs/>
          <w:color w:val="000000"/>
          <w:lang w:eastAsia="en-GB"/>
        </w:rPr>
      </w:pPr>
      <w:r>
        <w:rPr>
          <w:rFonts w:cs="Arial"/>
          <w:bCs/>
          <w:color w:val="000000"/>
          <w:lang w:eastAsia="en-GB"/>
        </w:rPr>
        <w:t>Three panel members will attend each tribunal meeting.</w:t>
      </w:r>
    </w:p>
    <w:p w14:paraId="78CCD59F" w14:textId="77777777" w:rsidR="00F27A83" w:rsidRPr="00DE306B" w:rsidRDefault="00F27A83" w:rsidP="00F27A83">
      <w:pPr>
        <w:pStyle w:val="ListParagraph"/>
        <w:numPr>
          <w:ilvl w:val="0"/>
          <w:numId w:val="31"/>
        </w:numPr>
        <w:spacing w:after="120"/>
        <w:rPr>
          <w:rFonts w:cs="Arial"/>
          <w:bCs/>
          <w:color w:val="000000"/>
          <w:lang w:eastAsia="en-GB"/>
        </w:rPr>
      </w:pPr>
      <w:r>
        <w:rPr>
          <w:rFonts w:cs="Arial"/>
          <w:bCs/>
          <w:color w:val="000000"/>
          <w:lang w:eastAsia="en-GB"/>
        </w:rPr>
        <w:t>No new pension arrangements put in place to address employer change in moving to Welsh government employer [from local authority].</w:t>
      </w:r>
    </w:p>
    <w:p w14:paraId="652C332A" w14:textId="77777777" w:rsidR="00F27A83" w:rsidRDefault="00F27A83" w:rsidP="00F27A83">
      <w:pPr>
        <w:spacing w:after="120"/>
        <w:ind w:left="720"/>
        <w:rPr>
          <w:rFonts w:cs="Arial"/>
          <w:bCs/>
          <w:color w:val="000000"/>
          <w:lang w:eastAsia="en-GB"/>
        </w:rPr>
      </w:pPr>
    </w:p>
    <w:p w14:paraId="6BB3BC94" w14:textId="77777777" w:rsidR="00F27A83" w:rsidRPr="00DE306B" w:rsidRDefault="00F27A83" w:rsidP="00F27A83">
      <w:pPr>
        <w:ind w:left="720"/>
        <w:rPr>
          <w:rFonts w:cs="Arial"/>
          <w:b/>
        </w:rPr>
      </w:pPr>
      <w:r w:rsidRPr="00DE306B">
        <w:rPr>
          <w:rFonts w:cs="Arial"/>
          <w:b/>
        </w:rPr>
        <w:t xml:space="preserve">Annual </w:t>
      </w:r>
      <w:r w:rsidR="00046D0F">
        <w:rPr>
          <w:rFonts w:cs="Arial"/>
          <w:b/>
        </w:rPr>
        <w:t>costs</w:t>
      </w:r>
      <w:r w:rsidRPr="00DE306B">
        <w:rPr>
          <w:rFonts w:cs="Arial"/>
          <w:b/>
        </w:rPr>
        <w:t xml:space="preserve"> = £</w:t>
      </w:r>
      <w:r w:rsidR="007562A8">
        <w:rPr>
          <w:rFonts w:cs="Arial"/>
          <w:b/>
        </w:rPr>
        <w:t>77,600</w:t>
      </w:r>
      <w:r w:rsidRPr="00DE306B">
        <w:rPr>
          <w:rFonts w:cs="Arial"/>
          <w:b/>
        </w:rPr>
        <w:t xml:space="preserve"> [central estimate]</w:t>
      </w:r>
    </w:p>
    <w:p w14:paraId="6956704D" w14:textId="77777777" w:rsidR="00F27A83" w:rsidRPr="00DE306B" w:rsidRDefault="00F27A83" w:rsidP="00F27A83">
      <w:pPr>
        <w:ind w:left="720"/>
        <w:rPr>
          <w:rFonts w:cs="Arial"/>
          <w:b/>
        </w:rPr>
      </w:pPr>
    </w:p>
    <w:p w14:paraId="341F2199" w14:textId="77777777" w:rsidR="00F27A83" w:rsidRPr="00DE306B" w:rsidRDefault="00F27A83" w:rsidP="00F27A83">
      <w:pPr>
        <w:ind w:left="720"/>
        <w:rPr>
          <w:rFonts w:cs="Arial"/>
          <w:b/>
        </w:rPr>
      </w:pPr>
      <w:r w:rsidRPr="00DE306B">
        <w:rPr>
          <w:rFonts w:cs="Arial"/>
          <w:b/>
        </w:rPr>
        <w:t xml:space="preserve">Present value over </w:t>
      </w:r>
      <w:r w:rsidR="00447E6B">
        <w:rPr>
          <w:rFonts w:cs="Arial"/>
          <w:b/>
        </w:rPr>
        <w:t>5</w:t>
      </w:r>
      <w:r w:rsidRPr="00DE306B">
        <w:rPr>
          <w:rFonts w:cs="Arial"/>
          <w:b/>
        </w:rPr>
        <w:t xml:space="preserve"> years =</w:t>
      </w:r>
      <w:r w:rsidR="000440E2">
        <w:rPr>
          <w:rFonts w:cs="Arial"/>
          <w:b/>
        </w:rPr>
        <w:t xml:space="preserve"> £</w:t>
      </w:r>
      <w:r w:rsidR="00145E87">
        <w:rPr>
          <w:rFonts w:cs="Arial"/>
          <w:b/>
        </w:rPr>
        <w:t>0.14 million</w:t>
      </w:r>
      <w:r w:rsidRPr="00DE306B">
        <w:rPr>
          <w:rFonts w:cs="Arial"/>
          <w:b/>
        </w:rPr>
        <w:t xml:space="preserve">  [central estimate]</w:t>
      </w:r>
    </w:p>
    <w:p w14:paraId="2958CC71" w14:textId="77777777" w:rsidR="003740C2" w:rsidRPr="005F140B" w:rsidRDefault="003740C2" w:rsidP="003740C2">
      <w:pPr>
        <w:spacing w:after="120"/>
        <w:ind w:left="720"/>
        <w:rPr>
          <w:rFonts w:cs="Arial"/>
          <w:bCs/>
          <w:color w:val="000000"/>
          <w:lang w:eastAsia="en-GB"/>
        </w:rPr>
      </w:pPr>
    </w:p>
    <w:p w14:paraId="4EA7C711" w14:textId="77777777" w:rsidR="003740C2" w:rsidRPr="00BC6A59" w:rsidRDefault="003740C2" w:rsidP="003740C2">
      <w:pPr>
        <w:spacing w:after="120"/>
        <w:ind w:left="720"/>
        <w:rPr>
          <w:rFonts w:cs="Arial"/>
          <w:b/>
          <w:bCs/>
          <w:color w:val="000000"/>
          <w:sz w:val="28"/>
          <w:szCs w:val="28"/>
          <w:lang w:eastAsia="en-GB"/>
        </w:rPr>
      </w:pPr>
      <w:r w:rsidRPr="00BC6A59">
        <w:rPr>
          <w:rFonts w:cs="Arial"/>
          <w:b/>
          <w:bCs/>
          <w:color w:val="000000"/>
          <w:sz w:val="28"/>
          <w:szCs w:val="28"/>
          <w:lang w:eastAsia="en-GB"/>
        </w:rPr>
        <w:t>Benefits</w:t>
      </w:r>
    </w:p>
    <w:p w14:paraId="418E235A" w14:textId="77777777" w:rsidR="003740C2" w:rsidRPr="00BC6A59" w:rsidRDefault="003740C2" w:rsidP="003740C2">
      <w:pPr>
        <w:spacing w:after="120"/>
        <w:ind w:left="720"/>
        <w:rPr>
          <w:rFonts w:cs="Arial"/>
          <w:bCs/>
          <w:color w:val="000000"/>
          <w:lang w:eastAsia="en-GB"/>
        </w:rPr>
      </w:pPr>
    </w:p>
    <w:p w14:paraId="04EF13FB" w14:textId="77777777" w:rsidR="003740C2" w:rsidRPr="00BC6A59" w:rsidRDefault="003740C2" w:rsidP="003740C2">
      <w:pPr>
        <w:spacing w:after="120"/>
        <w:ind w:left="720"/>
        <w:rPr>
          <w:rFonts w:cs="Arial"/>
          <w:bCs/>
          <w:i/>
          <w:color w:val="000000"/>
          <w:lang w:eastAsia="en-GB"/>
        </w:rPr>
      </w:pPr>
      <w:r w:rsidRPr="00BC6A59">
        <w:rPr>
          <w:rFonts w:cs="Arial"/>
          <w:bCs/>
          <w:i/>
          <w:color w:val="000000"/>
          <w:lang w:eastAsia="en-GB"/>
        </w:rPr>
        <w:t>On-going benefits</w:t>
      </w:r>
    </w:p>
    <w:p w14:paraId="41D6C019" w14:textId="0DF721EF" w:rsidR="003740C2" w:rsidRDefault="003740C2" w:rsidP="00D8157F">
      <w:pPr>
        <w:spacing w:after="240"/>
        <w:rPr>
          <w:rFonts w:cs="Arial"/>
        </w:rPr>
      </w:pPr>
      <w:r w:rsidRPr="00BC6A59">
        <w:rPr>
          <w:rFonts w:cs="Arial"/>
          <w:bCs/>
          <w:color w:val="000000"/>
          <w:lang w:eastAsia="en-GB"/>
        </w:rPr>
        <w:tab/>
      </w:r>
    </w:p>
    <w:p w14:paraId="66944F54" w14:textId="4BD4FCE0" w:rsidR="003740C2" w:rsidRDefault="003740C2" w:rsidP="003740C2">
      <w:pPr>
        <w:ind w:left="720"/>
        <w:rPr>
          <w:rFonts w:cs="Arial"/>
          <w:u w:val="single"/>
        </w:rPr>
      </w:pPr>
      <w:r w:rsidRPr="002A6CB2">
        <w:rPr>
          <w:rFonts w:cs="Arial"/>
        </w:rPr>
        <w:t>1</w:t>
      </w:r>
      <w:r w:rsidR="0073058B">
        <w:rPr>
          <w:rFonts w:cs="Arial"/>
        </w:rPr>
        <w:t>2</w:t>
      </w:r>
      <w:r w:rsidRPr="002A6CB2">
        <w:rPr>
          <w:rFonts w:cs="Arial"/>
        </w:rPr>
        <w:t xml:space="preserve">. </w:t>
      </w:r>
      <w:r w:rsidRPr="00BC6A59">
        <w:rPr>
          <w:rFonts w:cs="Arial"/>
          <w:u w:val="single"/>
        </w:rPr>
        <w:t xml:space="preserve">Time savings to LAs in not having to arrange for </w:t>
      </w:r>
      <w:r w:rsidR="00846526">
        <w:rPr>
          <w:rFonts w:cs="Arial"/>
          <w:u w:val="single"/>
        </w:rPr>
        <w:t>s</w:t>
      </w:r>
      <w:r w:rsidRPr="00BC6A59">
        <w:rPr>
          <w:rFonts w:cs="Arial"/>
          <w:u w:val="single"/>
        </w:rPr>
        <w:t>chool exclusion panels</w:t>
      </w:r>
      <w:r w:rsidR="00846526">
        <w:rPr>
          <w:rStyle w:val="FootnoteReference"/>
        </w:rPr>
        <w:footnoteReference w:id="48"/>
      </w:r>
    </w:p>
    <w:p w14:paraId="62B437F5" w14:textId="77777777" w:rsidR="003740C2" w:rsidRDefault="003740C2" w:rsidP="003740C2">
      <w:pPr>
        <w:ind w:left="720"/>
        <w:rPr>
          <w:rFonts w:cs="Arial"/>
          <w:u w:val="single"/>
        </w:rPr>
      </w:pPr>
    </w:p>
    <w:p w14:paraId="70E73E41" w14:textId="77777777" w:rsidR="003740C2" w:rsidRPr="00BC6A59" w:rsidRDefault="003740C2" w:rsidP="003740C2">
      <w:pPr>
        <w:ind w:left="720"/>
        <w:rPr>
          <w:rFonts w:cs="Arial"/>
          <w:u w:val="single"/>
        </w:rPr>
      </w:pPr>
    </w:p>
    <w:p w14:paraId="724C2C23" w14:textId="07E81356" w:rsidR="003740C2" w:rsidRDefault="003740C2" w:rsidP="000B308F">
      <w:pPr>
        <w:ind w:left="709"/>
        <w:rPr>
          <w:rFonts w:cs="Arial"/>
        </w:rPr>
      </w:pPr>
      <w:r>
        <w:rPr>
          <w:rFonts w:cs="Arial"/>
        </w:rPr>
        <w:t>Table 1</w:t>
      </w:r>
      <w:r w:rsidR="003016E7">
        <w:rPr>
          <w:rFonts w:cs="Arial"/>
        </w:rPr>
        <w:t>3</w:t>
      </w:r>
      <w:r>
        <w:rPr>
          <w:rFonts w:cs="Arial"/>
        </w:rPr>
        <w:t xml:space="preserve">: Annual savings from inclusion of </w:t>
      </w:r>
      <w:r w:rsidR="00846526">
        <w:rPr>
          <w:rFonts w:cs="Arial"/>
        </w:rPr>
        <w:t>s</w:t>
      </w:r>
      <w:r>
        <w:rPr>
          <w:rFonts w:cs="Arial"/>
        </w:rPr>
        <w:t xml:space="preserve">chool </w:t>
      </w:r>
      <w:r w:rsidR="00846526">
        <w:rPr>
          <w:rFonts w:cs="Arial"/>
        </w:rPr>
        <w:t>e</w:t>
      </w:r>
      <w:r>
        <w:rPr>
          <w:rFonts w:cs="Arial"/>
        </w:rPr>
        <w:t>xclusion panels within Unified System</w:t>
      </w:r>
    </w:p>
    <w:p w14:paraId="6F462389" w14:textId="77777777" w:rsidR="003740C2" w:rsidRDefault="003740C2" w:rsidP="003740C2">
      <w:pPr>
        <w:ind w:left="720"/>
        <w:rPr>
          <w:rFonts w:cs="Arial"/>
        </w:rPr>
      </w:pPr>
    </w:p>
    <w:tbl>
      <w:tblPr>
        <w:tblStyle w:val="TableGrid"/>
        <w:tblW w:w="0" w:type="auto"/>
        <w:tblInd w:w="720" w:type="dxa"/>
        <w:tblLook w:val="04A0" w:firstRow="1" w:lastRow="0" w:firstColumn="1" w:lastColumn="0" w:noHBand="0" w:noVBand="1"/>
      </w:tblPr>
      <w:tblGrid>
        <w:gridCol w:w="2819"/>
        <w:gridCol w:w="1958"/>
        <w:gridCol w:w="2011"/>
        <w:gridCol w:w="2410"/>
      </w:tblGrid>
      <w:tr w:rsidR="003740C2" w:rsidRPr="005F140B" w14:paraId="66F11B37" w14:textId="77777777" w:rsidTr="008D5297">
        <w:trPr>
          <w:trHeight w:val="638"/>
        </w:trPr>
        <w:tc>
          <w:tcPr>
            <w:tcW w:w="2819" w:type="dxa"/>
            <w:shd w:val="clear" w:color="auto" w:fill="D9D9D9" w:themeFill="background1" w:themeFillShade="D9"/>
          </w:tcPr>
          <w:p w14:paraId="70CE4377" w14:textId="77777777" w:rsidR="003740C2" w:rsidRPr="005F140B" w:rsidRDefault="003740C2" w:rsidP="008D5297">
            <w:pPr>
              <w:spacing w:after="120"/>
              <w:rPr>
                <w:rFonts w:cs="Arial"/>
                <w:bCs/>
                <w:color w:val="000000"/>
                <w:lang w:eastAsia="en-GB"/>
              </w:rPr>
            </w:pPr>
          </w:p>
        </w:tc>
        <w:tc>
          <w:tcPr>
            <w:tcW w:w="1958" w:type="dxa"/>
            <w:shd w:val="clear" w:color="auto" w:fill="D9D9D9" w:themeFill="background1" w:themeFillShade="D9"/>
          </w:tcPr>
          <w:p w14:paraId="33FF2072" w14:textId="77777777" w:rsidR="003740C2" w:rsidRPr="005F140B" w:rsidRDefault="003740C2" w:rsidP="008D5297">
            <w:pPr>
              <w:spacing w:after="120"/>
              <w:rPr>
                <w:rFonts w:cs="Arial"/>
                <w:bCs/>
                <w:color w:val="000000"/>
                <w:lang w:eastAsia="en-GB"/>
              </w:rPr>
            </w:pPr>
            <w:r w:rsidRPr="005F140B">
              <w:rPr>
                <w:rFonts w:cs="Arial"/>
                <w:bCs/>
                <w:color w:val="000000"/>
                <w:lang w:eastAsia="en-GB"/>
              </w:rPr>
              <w:t>Low estimate</w:t>
            </w:r>
          </w:p>
        </w:tc>
        <w:tc>
          <w:tcPr>
            <w:tcW w:w="2011" w:type="dxa"/>
            <w:shd w:val="clear" w:color="auto" w:fill="D9D9D9" w:themeFill="background1" w:themeFillShade="D9"/>
          </w:tcPr>
          <w:p w14:paraId="5D8C84C3" w14:textId="77777777" w:rsidR="003740C2" w:rsidRPr="005F140B" w:rsidRDefault="003740C2" w:rsidP="008D5297">
            <w:pPr>
              <w:spacing w:after="120"/>
              <w:rPr>
                <w:rFonts w:cs="Arial"/>
                <w:bCs/>
                <w:color w:val="000000"/>
                <w:lang w:eastAsia="en-GB"/>
              </w:rPr>
            </w:pPr>
            <w:r w:rsidRPr="005F140B">
              <w:rPr>
                <w:rFonts w:cs="Arial"/>
                <w:bCs/>
                <w:color w:val="000000"/>
                <w:lang w:eastAsia="en-GB"/>
              </w:rPr>
              <w:t>Central estimate</w:t>
            </w:r>
          </w:p>
        </w:tc>
        <w:tc>
          <w:tcPr>
            <w:tcW w:w="2410" w:type="dxa"/>
            <w:shd w:val="clear" w:color="auto" w:fill="D9D9D9" w:themeFill="background1" w:themeFillShade="D9"/>
          </w:tcPr>
          <w:p w14:paraId="72CE1463" w14:textId="77777777" w:rsidR="003740C2" w:rsidRPr="005F140B" w:rsidRDefault="003740C2" w:rsidP="008D5297">
            <w:pPr>
              <w:spacing w:after="120"/>
              <w:rPr>
                <w:rFonts w:cs="Arial"/>
                <w:bCs/>
                <w:color w:val="000000"/>
                <w:lang w:eastAsia="en-GB"/>
              </w:rPr>
            </w:pPr>
            <w:r w:rsidRPr="005F140B">
              <w:rPr>
                <w:rFonts w:cs="Arial"/>
                <w:bCs/>
                <w:color w:val="000000"/>
                <w:lang w:eastAsia="en-GB"/>
              </w:rPr>
              <w:t>High estimate</w:t>
            </w:r>
          </w:p>
        </w:tc>
      </w:tr>
      <w:tr w:rsidR="003740C2" w:rsidRPr="005F140B" w14:paraId="6A3B42DF" w14:textId="77777777" w:rsidTr="008D5297">
        <w:tc>
          <w:tcPr>
            <w:tcW w:w="2819" w:type="dxa"/>
          </w:tcPr>
          <w:p w14:paraId="4AADF38F" w14:textId="77777777" w:rsidR="003740C2" w:rsidRPr="005F140B" w:rsidRDefault="003740C2" w:rsidP="008D5297">
            <w:pPr>
              <w:spacing w:after="120"/>
              <w:rPr>
                <w:rFonts w:cs="Arial"/>
                <w:bCs/>
                <w:color w:val="000000"/>
                <w:lang w:eastAsia="en-GB"/>
              </w:rPr>
            </w:pPr>
            <w:r>
              <w:rPr>
                <w:rFonts w:cs="Arial"/>
                <w:bCs/>
                <w:color w:val="000000"/>
                <w:lang w:eastAsia="en-GB"/>
              </w:rPr>
              <w:t>Number of  hearings</w:t>
            </w:r>
          </w:p>
        </w:tc>
        <w:tc>
          <w:tcPr>
            <w:tcW w:w="1958" w:type="dxa"/>
          </w:tcPr>
          <w:p w14:paraId="0E6581FB" w14:textId="77777777" w:rsidR="003740C2" w:rsidRPr="005F140B" w:rsidRDefault="00ED40E7" w:rsidP="008D5297">
            <w:pPr>
              <w:spacing w:after="120"/>
              <w:jc w:val="center"/>
              <w:rPr>
                <w:rFonts w:cs="Arial"/>
                <w:bCs/>
                <w:color w:val="000000"/>
                <w:lang w:eastAsia="en-GB"/>
              </w:rPr>
            </w:pPr>
            <w:r>
              <w:rPr>
                <w:rFonts w:cs="Arial"/>
                <w:bCs/>
                <w:color w:val="000000"/>
                <w:lang w:eastAsia="en-GB"/>
              </w:rPr>
              <w:t>40</w:t>
            </w:r>
          </w:p>
        </w:tc>
        <w:tc>
          <w:tcPr>
            <w:tcW w:w="2011" w:type="dxa"/>
          </w:tcPr>
          <w:p w14:paraId="6738232B" w14:textId="77777777" w:rsidR="003740C2" w:rsidRPr="005F140B" w:rsidRDefault="00ED40E7" w:rsidP="008D5297">
            <w:pPr>
              <w:spacing w:after="120"/>
              <w:jc w:val="center"/>
              <w:rPr>
                <w:rFonts w:cs="Arial"/>
                <w:bCs/>
                <w:color w:val="000000"/>
                <w:lang w:eastAsia="en-GB"/>
              </w:rPr>
            </w:pPr>
            <w:r>
              <w:rPr>
                <w:rFonts w:cs="Arial"/>
                <w:bCs/>
                <w:color w:val="000000"/>
                <w:lang w:eastAsia="en-GB"/>
              </w:rPr>
              <w:t>44</w:t>
            </w:r>
          </w:p>
        </w:tc>
        <w:tc>
          <w:tcPr>
            <w:tcW w:w="2410" w:type="dxa"/>
          </w:tcPr>
          <w:p w14:paraId="6FAA102B" w14:textId="77777777" w:rsidR="003740C2" w:rsidRPr="005F140B" w:rsidRDefault="00ED40E7" w:rsidP="008D5297">
            <w:pPr>
              <w:spacing w:after="120"/>
              <w:jc w:val="center"/>
              <w:rPr>
                <w:rFonts w:cs="Arial"/>
                <w:bCs/>
                <w:color w:val="000000"/>
                <w:lang w:eastAsia="en-GB"/>
              </w:rPr>
            </w:pPr>
            <w:r>
              <w:rPr>
                <w:rFonts w:cs="Arial"/>
                <w:bCs/>
                <w:color w:val="000000"/>
                <w:lang w:eastAsia="en-GB"/>
              </w:rPr>
              <w:t>48</w:t>
            </w:r>
          </w:p>
        </w:tc>
      </w:tr>
      <w:tr w:rsidR="003740C2" w:rsidRPr="005F140B" w14:paraId="0731598F" w14:textId="77777777" w:rsidTr="008D5297">
        <w:tc>
          <w:tcPr>
            <w:tcW w:w="2819" w:type="dxa"/>
          </w:tcPr>
          <w:p w14:paraId="7E814B96" w14:textId="77777777" w:rsidR="003740C2" w:rsidRPr="005F140B" w:rsidRDefault="003740C2" w:rsidP="008D5297">
            <w:pPr>
              <w:spacing w:after="120"/>
              <w:rPr>
                <w:rFonts w:cs="Arial"/>
                <w:bCs/>
                <w:color w:val="000000"/>
                <w:lang w:eastAsia="en-GB"/>
              </w:rPr>
            </w:pPr>
            <w:r>
              <w:rPr>
                <w:rFonts w:cs="Arial"/>
                <w:bCs/>
                <w:color w:val="000000"/>
                <w:lang w:eastAsia="en-GB"/>
              </w:rPr>
              <w:t>Number of hours prep</w:t>
            </w:r>
          </w:p>
        </w:tc>
        <w:tc>
          <w:tcPr>
            <w:tcW w:w="1958" w:type="dxa"/>
          </w:tcPr>
          <w:p w14:paraId="413DACE2" w14:textId="77777777" w:rsidR="003740C2" w:rsidRPr="005F140B" w:rsidRDefault="003740C2" w:rsidP="008D5297">
            <w:pPr>
              <w:spacing w:after="120"/>
              <w:jc w:val="center"/>
              <w:rPr>
                <w:rFonts w:cs="Arial"/>
                <w:bCs/>
                <w:color w:val="000000"/>
                <w:lang w:eastAsia="en-GB"/>
              </w:rPr>
            </w:pPr>
            <w:r>
              <w:rPr>
                <w:rFonts w:cs="Arial"/>
                <w:bCs/>
                <w:color w:val="000000"/>
                <w:lang w:eastAsia="en-GB"/>
              </w:rPr>
              <w:t>4</w:t>
            </w:r>
          </w:p>
        </w:tc>
        <w:tc>
          <w:tcPr>
            <w:tcW w:w="2011" w:type="dxa"/>
          </w:tcPr>
          <w:p w14:paraId="761E2973" w14:textId="77777777" w:rsidR="003740C2" w:rsidRPr="005F140B" w:rsidRDefault="003740C2" w:rsidP="008D5297">
            <w:pPr>
              <w:spacing w:after="120"/>
              <w:jc w:val="center"/>
              <w:rPr>
                <w:rFonts w:cs="Arial"/>
                <w:bCs/>
                <w:color w:val="000000"/>
                <w:lang w:eastAsia="en-GB"/>
              </w:rPr>
            </w:pPr>
            <w:r>
              <w:rPr>
                <w:rFonts w:cs="Arial"/>
                <w:bCs/>
                <w:color w:val="000000"/>
                <w:lang w:eastAsia="en-GB"/>
              </w:rPr>
              <w:t>7</w:t>
            </w:r>
          </w:p>
        </w:tc>
        <w:tc>
          <w:tcPr>
            <w:tcW w:w="2410" w:type="dxa"/>
          </w:tcPr>
          <w:p w14:paraId="7E290853" w14:textId="77777777" w:rsidR="003740C2" w:rsidRPr="005F140B" w:rsidRDefault="003740C2" w:rsidP="008D5297">
            <w:pPr>
              <w:spacing w:after="120"/>
              <w:jc w:val="center"/>
              <w:rPr>
                <w:rFonts w:cs="Arial"/>
                <w:bCs/>
                <w:color w:val="000000"/>
                <w:lang w:eastAsia="en-GB"/>
              </w:rPr>
            </w:pPr>
            <w:r>
              <w:rPr>
                <w:rFonts w:cs="Arial"/>
                <w:bCs/>
                <w:color w:val="000000"/>
                <w:lang w:eastAsia="en-GB"/>
              </w:rPr>
              <w:t>10</w:t>
            </w:r>
          </w:p>
        </w:tc>
      </w:tr>
      <w:tr w:rsidR="003740C2" w:rsidRPr="005F140B" w14:paraId="5E1FAAB9" w14:textId="77777777" w:rsidTr="008D5297">
        <w:tc>
          <w:tcPr>
            <w:tcW w:w="2819" w:type="dxa"/>
          </w:tcPr>
          <w:p w14:paraId="0B456ABD" w14:textId="77777777" w:rsidR="003740C2" w:rsidRPr="005F140B" w:rsidRDefault="003740C2" w:rsidP="008D5297">
            <w:pPr>
              <w:spacing w:after="120"/>
              <w:rPr>
                <w:rFonts w:cs="Arial"/>
                <w:bCs/>
                <w:color w:val="000000"/>
                <w:lang w:eastAsia="en-GB"/>
              </w:rPr>
            </w:pPr>
            <w:r>
              <w:rPr>
                <w:rFonts w:cs="Arial"/>
                <w:bCs/>
                <w:color w:val="000000"/>
                <w:lang w:eastAsia="en-GB"/>
              </w:rPr>
              <w:t>Hourly cost of administrative support</w:t>
            </w:r>
            <w:r>
              <w:rPr>
                <w:rStyle w:val="FootnoteReference"/>
                <w:bCs/>
                <w:color w:val="000000"/>
                <w:lang w:eastAsia="en-GB"/>
              </w:rPr>
              <w:footnoteReference w:id="49"/>
            </w:r>
          </w:p>
        </w:tc>
        <w:tc>
          <w:tcPr>
            <w:tcW w:w="1958" w:type="dxa"/>
          </w:tcPr>
          <w:p w14:paraId="41377A83" w14:textId="77777777" w:rsidR="003740C2" w:rsidRPr="005F140B" w:rsidRDefault="003740C2" w:rsidP="008D5297">
            <w:pPr>
              <w:spacing w:after="120"/>
              <w:jc w:val="center"/>
              <w:rPr>
                <w:rFonts w:cs="Arial"/>
                <w:bCs/>
                <w:color w:val="000000"/>
                <w:lang w:eastAsia="en-GB"/>
              </w:rPr>
            </w:pPr>
            <w:r>
              <w:rPr>
                <w:rFonts w:cs="Arial"/>
                <w:bCs/>
                <w:color w:val="000000"/>
                <w:lang w:eastAsia="en-GB"/>
              </w:rPr>
              <w:t>£15.51</w:t>
            </w:r>
          </w:p>
        </w:tc>
        <w:tc>
          <w:tcPr>
            <w:tcW w:w="2011" w:type="dxa"/>
          </w:tcPr>
          <w:p w14:paraId="0863D41A" w14:textId="77777777" w:rsidR="003740C2" w:rsidRPr="005F140B" w:rsidRDefault="003740C2" w:rsidP="008D5297">
            <w:pPr>
              <w:spacing w:after="120"/>
              <w:jc w:val="center"/>
              <w:rPr>
                <w:rFonts w:cs="Arial"/>
                <w:bCs/>
                <w:color w:val="000000"/>
                <w:lang w:eastAsia="en-GB"/>
              </w:rPr>
            </w:pPr>
            <w:r>
              <w:rPr>
                <w:rFonts w:cs="Arial"/>
                <w:bCs/>
                <w:color w:val="000000"/>
                <w:lang w:eastAsia="en-GB"/>
              </w:rPr>
              <w:t>£1</w:t>
            </w:r>
            <w:r w:rsidR="00ED40E7">
              <w:rPr>
                <w:rFonts w:cs="Arial"/>
                <w:bCs/>
                <w:color w:val="000000"/>
                <w:lang w:eastAsia="en-GB"/>
              </w:rPr>
              <w:t>8.09</w:t>
            </w:r>
          </w:p>
        </w:tc>
        <w:tc>
          <w:tcPr>
            <w:tcW w:w="2410" w:type="dxa"/>
          </w:tcPr>
          <w:p w14:paraId="78CCA695" w14:textId="77777777" w:rsidR="003740C2" w:rsidRPr="005F140B" w:rsidRDefault="003740C2" w:rsidP="008D5297">
            <w:pPr>
              <w:spacing w:after="120"/>
              <w:jc w:val="center"/>
              <w:rPr>
                <w:rFonts w:cs="Arial"/>
                <w:bCs/>
                <w:color w:val="000000"/>
                <w:lang w:eastAsia="en-GB"/>
              </w:rPr>
            </w:pPr>
            <w:r>
              <w:rPr>
                <w:rFonts w:cs="Arial"/>
                <w:bCs/>
                <w:color w:val="000000"/>
                <w:lang w:eastAsia="en-GB"/>
              </w:rPr>
              <w:t>£</w:t>
            </w:r>
            <w:r w:rsidR="00ED40E7">
              <w:rPr>
                <w:rFonts w:cs="Arial"/>
                <w:bCs/>
                <w:color w:val="000000"/>
                <w:lang w:eastAsia="en-GB"/>
              </w:rPr>
              <w:t>23.04</w:t>
            </w:r>
          </w:p>
        </w:tc>
      </w:tr>
      <w:tr w:rsidR="003740C2" w:rsidRPr="005F140B" w14:paraId="4B0AE728" w14:textId="77777777" w:rsidTr="008D5297">
        <w:trPr>
          <w:trHeight w:val="484"/>
        </w:trPr>
        <w:tc>
          <w:tcPr>
            <w:tcW w:w="2819" w:type="dxa"/>
          </w:tcPr>
          <w:p w14:paraId="7FE55A23" w14:textId="77777777" w:rsidR="003740C2" w:rsidRPr="00BC6A59" w:rsidRDefault="003740C2" w:rsidP="008D5297">
            <w:pPr>
              <w:spacing w:after="120"/>
              <w:rPr>
                <w:rFonts w:cs="Arial"/>
                <w:b/>
                <w:bCs/>
                <w:color w:val="000000"/>
                <w:lang w:eastAsia="en-GB"/>
              </w:rPr>
            </w:pPr>
            <w:r w:rsidRPr="00BC6A59">
              <w:rPr>
                <w:rFonts w:cs="Arial"/>
                <w:b/>
                <w:bCs/>
                <w:color w:val="000000"/>
                <w:lang w:eastAsia="en-GB"/>
              </w:rPr>
              <w:t>Total annual savings</w:t>
            </w:r>
            <w:r w:rsidR="00ED40E7">
              <w:rPr>
                <w:rStyle w:val="FootnoteReference"/>
                <w:b/>
                <w:bCs/>
                <w:color w:val="000000"/>
                <w:lang w:eastAsia="en-GB"/>
              </w:rPr>
              <w:footnoteReference w:id="50"/>
            </w:r>
          </w:p>
        </w:tc>
        <w:tc>
          <w:tcPr>
            <w:tcW w:w="1958" w:type="dxa"/>
          </w:tcPr>
          <w:p w14:paraId="0B565004" w14:textId="77777777" w:rsidR="003740C2" w:rsidRPr="00BC6A59" w:rsidRDefault="003740C2" w:rsidP="008D5297">
            <w:pPr>
              <w:spacing w:after="120"/>
              <w:jc w:val="center"/>
              <w:rPr>
                <w:rFonts w:cs="Arial"/>
                <w:b/>
                <w:bCs/>
                <w:color w:val="000000"/>
                <w:lang w:eastAsia="en-GB"/>
              </w:rPr>
            </w:pPr>
            <w:r w:rsidRPr="00BC6A59">
              <w:rPr>
                <w:rFonts w:cs="Arial"/>
                <w:b/>
                <w:bCs/>
                <w:color w:val="000000"/>
                <w:lang w:eastAsia="en-GB"/>
              </w:rPr>
              <w:t>£</w:t>
            </w:r>
            <w:r w:rsidR="00ED40E7">
              <w:rPr>
                <w:rFonts w:cs="Arial"/>
                <w:b/>
                <w:bCs/>
                <w:color w:val="000000"/>
                <w:lang w:eastAsia="en-GB"/>
              </w:rPr>
              <w:t>2,500</w:t>
            </w:r>
          </w:p>
        </w:tc>
        <w:tc>
          <w:tcPr>
            <w:tcW w:w="2011" w:type="dxa"/>
          </w:tcPr>
          <w:p w14:paraId="0948525E" w14:textId="77777777" w:rsidR="003740C2" w:rsidRPr="00BC6A59" w:rsidRDefault="003740C2" w:rsidP="008D5297">
            <w:pPr>
              <w:spacing w:after="120"/>
              <w:jc w:val="center"/>
              <w:rPr>
                <w:rFonts w:cs="Arial"/>
                <w:b/>
                <w:bCs/>
                <w:color w:val="000000"/>
                <w:lang w:eastAsia="en-GB"/>
              </w:rPr>
            </w:pPr>
            <w:r w:rsidRPr="00BC6A59">
              <w:rPr>
                <w:rFonts w:cs="Arial"/>
                <w:b/>
                <w:bCs/>
                <w:color w:val="000000"/>
                <w:lang w:eastAsia="en-GB"/>
              </w:rPr>
              <w:t>£</w:t>
            </w:r>
            <w:r w:rsidR="00ED40E7">
              <w:rPr>
                <w:rFonts w:cs="Arial"/>
                <w:b/>
                <w:bCs/>
                <w:color w:val="000000"/>
                <w:lang w:eastAsia="en-GB"/>
              </w:rPr>
              <w:t>6,600</w:t>
            </w:r>
          </w:p>
        </w:tc>
        <w:tc>
          <w:tcPr>
            <w:tcW w:w="2410" w:type="dxa"/>
          </w:tcPr>
          <w:p w14:paraId="368C9A5E" w14:textId="77777777" w:rsidR="003740C2" w:rsidRPr="00BC6A59" w:rsidRDefault="003740C2" w:rsidP="008D5297">
            <w:pPr>
              <w:spacing w:after="120"/>
              <w:jc w:val="center"/>
              <w:rPr>
                <w:rFonts w:cs="Arial"/>
                <w:b/>
                <w:bCs/>
                <w:color w:val="000000"/>
                <w:lang w:eastAsia="en-GB"/>
              </w:rPr>
            </w:pPr>
            <w:r w:rsidRPr="00BC6A59">
              <w:rPr>
                <w:rFonts w:cs="Arial"/>
                <w:b/>
                <w:bCs/>
                <w:color w:val="000000"/>
                <w:lang w:eastAsia="en-GB"/>
              </w:rPr>
              <w:t>£</w:t>
            </w:r>
            <w:r w:rsidR="00ED40E7">
              <w:rPr>
                <w:rFonts w:cs="Arial"/>
                <w:b/>
                <w:bCs/>
                <w:color w:val="000000"/>
                <w:lang w:eastAsia="en-GB"/>
              </w:rPr>
              <w:t>13,050</w:t>
            </w:r>
          </w:p>
        </w:tc>
      </w:tr>
    </w:tbl>
    <w:p w14:paraId="7C52CFA8" w14:textId="77777777" w:rsidR="003740C2" w:rsidRPr="002A6CB2" w:rsidRDefault="003740C2" w:rsidP="003740C2">
      <w:pPr>
        <w:ind w:left="720"/>
        <w:rPr>
          <w:rFonts w:cs="Arial"/>
        </w:rPr>
      </w:pPr>
    </w:p>
    <w:p w14:paraId="0FF54FFA" w14:textId="77777777" w:rsidR="003740C2" w:rsidRDefault="003740C2" w:rsidP="003740C2">
      <w:pPr>
        <w:ind w:left="720"/>
        <w:rPr>
          <w:rFonts w:cs="Arial"/>
        </w:rPr>
      </w:pPr>
      <w:r>
        <w:rPr>
          <w:rFonts w:cs="Arial"/>
        </w:rPr>
        <w:t>Assumptions:</w:t>
      </w:r>
    </w:p>
    <w:p w14:paraId="5109EBAE" w14:textId="77777777" w:rsidR="00ED40E7" w:rsidRDefault="00ED40E7" w:rsidP="003740C2">
      <w:pPr>
        <w:ind w:left="720"/>
        <w:rPr>
          <w:rFonts w:cs="Arial"/>
        </w:rPr>
      </w:pPr>
    </w:p>
    <w:p w14:paraId="04A36574" w14:textId="77777777" w:rsidR="00ED40E7" w:rsidRDefault="00ED40E7" w:rsidP="00ED40E7">
      <w:pPr>
        <w:pStyle w:val="ListParagraph"/>
        <w:numPr>
          <w:ilvl w:val="0"/>
          <w:numId w:val="42"/>
        </w:numPr>
        <w:rPr>
          <w:rFonts w:cs="Arial"/>
        </w:rPr>
      </w:pPr>
      <w:r>
        <w:rPr>
          <w:rFonts w:cs="Arial"/>
        </w:rPr>
        <w:t>Number of annual hearings range from 44 [central estimate] +/- 10% high/low estimate;</w:t>
      </w:r>
    </w:p>
    <w:p w14:paraId="0B77D48E" w14:textId="57E771D5" w:rsidR="00ED40E7" w:rsidRDefault="00ED40E7" w:rsidP="00ED40E7">
      <w:pPr>
        <w:pStyle w:val="ListParagraph"/>
        <w:numPr>
          <w:ilvl w:val="0"/>
          <w:numId w:val="42"/>
        </w:numPr>
        <w:rPr>
          <w:rFonts w:cs="Arial"/>
        </w:rPr>
      </w:pPr>
      <w:r>
        <w:rPr>
          <w:rFonts w:cs="Arial"/>
        </w:rPr>
        <w:t xml:space="preserve">Administrative time taken to support </w:t>
      </w:r>
      <w:r w:rsidR="00846526">
        <w:rPr>
          <w:rFonts w:cs="Arial"/>
        </w:rPr>
        <w:t>a</w:t>
      </w:r>
      <w:r>
        <w:rPr>
          <w:rFonts w:cs="Arial"/>
        </w:rPr>
        <w:t xml:space="preserve">ppeal </w:t>
      </w:r>
      <w:r w:rsidR="00846526">
        <w:rPr>
          <w:rFonts w:cs="Arial"/>
        </w:rPr>
        <w:t>p</w:t>
      </w:r>
      <w:r>
        <w:rPr>
          <w:rFonts w:cs="Arial"/>
        </w:rPr>
        <w:t xml:space="preserve">anels by clerk to the tribunal, 4 – 10 hours with the mid-point 7 hours being the central estimate; </w:t>
      </w:r>
    </w:p>
    <w:p w14:paraId="0F221505" w14:textId="77777777" w:rsidR="00ED40E7" w:rsidRDefault="00ED40E7" w:rsidP="00ED40E7">
      <w:pPr>
        <w:pStyle w:val="ListParagraph"/>
        <w:numPr>
          <w:ilvl w:val="0"/>
          <w:numId w:val="42"/>
        </w:numPr>
        <w:rPr>
          <w:rFonts w:cs="Arial"/>
        </w:rPr>
      </w:pPr>
      <w:r>
        <w:rPr>
          <w:rFonts w:cs="Arial"/>
        </w:rPr>
        <w:t>Assumed that one clerk will be allocated to prepare each hearing</w:t>
      </w:r>
      <w:r w:rsidR="00612A3A">
        <w:rPr>
          <w:rFonts w:cs="Arial"/>
        </w:rPr>
        <w:t>. C</w:t>
      </w:r>
      <w:r>
        <w:rPr>
          <w:rFonts w:cs="Arial"/>
        </w:rPr>
        <w:t>lerk</w:t>
      </w:r>
      <w:r w:rsidR="00612A3A">
        <w:rPr>
          <w:rFonts w:cs="Arial"/>
        </w:rPr>
        <w:t>s</w:t>
      </w:r>
      <w:r>
        <w:rPr>
          <w:rFonts w:cs="Arial"/>
        </w:rPr>
        <w:t xml:space="preserve"> may be an administrator or a legal professional;</w:t>
      </w:r>
    </w:p>
    <w:p w14:paraId="298D1498" w14:textId="77777777" w:rsidR="00ED40E7" w:rsidRPr="00C357ED" w:rsidRDefault="00ED40E7" w:rsidP="00ED40E7">
      <w:pPr>
        <w:pStyle w:val="ListParagraph"/>
        <w:numPr>
          <w:ilvl w:val="0"/>
          <w:numId w:val="42"/>
        </w:numPr>
        <w:spacing w:after="120"/>
        <w:rPr>
          <w:rFonts w:cs="Arial"/>
          <w:bCs/>
          <w:color w:val="000000"/>
          <w:lang w:eastAsia="en-GB"/>
        </w:rPr>
      </w:pPr>
      <w:r>
        <w:rPr>
          <w:rFonts w:cs="Arial"/>
          <w:bCs/>
          <w:color w:val="000000"/>
          <w:lang w:eastAsia="en-GB"/>
        </w:rPr>
        <w:t>No transfer of staff from LA to Welsh Government.</w:t>
      </w:r>
    </w:p>
    <w:p w14:paraId="245BD267" w14:textId="77777777" w:rsidR="003740C2" w:rsidRDefault="003740C2" w:rsidP="003740C2">
      <w:pPr>
        <w:pStyle w:val="ListParagraph"/>
        <w:ind w:left="1080"/>
        <w:rPr>
          <w:rFonts w:cs="Arial"/>
        </w:rPr>
      </w:pPr>
    </w:p>
    <w:p w14:paraId="71A38252" w14:textId="77777777" w:rsidR="003740C2" w:rsidRDefault="003740C2" w:rsidP="003740C2">
      <w:pPr>
        <w:rPr>
          <w:rFonts w:cs="Arial"/>
        </w:rPr>
      </w:pPr>
    </w:p>
    <w:p w14:paraId="28CB79E1" w14:textId="77777777" w:rsidR="003740C2" w:rsidRPr="00BC6A59" w:rsidRDefault="003740C2" w:rsidP="003740C2">
      <w:pPr>
        <w:ind w:left="720"/>
        <w:rPr>
          <w:rFonts w:cs="Arial"/>
          <w:b/>
        </w:rPr>
      </w:pPr>
      <w:r w:rsidRPr="00BC6A59">
        <w:rPr>
          <w:rFonts w:cs="Arial"/>
          <w:b/>
        </w:rPr>
        <w:t>Annual time savings = £</w:t>
      </w:r>
      <w:r w:rsidR="00ED40E7">
        <w:rPr>
          <w:rFonts w:cs="Arial"/>
          <w:b/>
        </w:rPr>
        <w:t>6,60</w:t>
      </w:r>
      <w:r w:rsidRPr="00BC6A59">
        <w:rPr>
          <w:rFonts w:cs="Arial"/>
          <w:b/>
        </w:rPr>
        <w:t>0 [central estimate]</w:t>
      </w:r>
    </w:p>
    <w:p w14:paraId="210F6A68" w14:textId="77777777" w:rsidR="003740C2" w:rsidRPr="00BC6A59" w:rsidRDefault="003740C2" w:rsidP="003740C2">
      <w:pPr>
        <w:ind w:left="720"/>
        <w:rPr>
          <w:rFonts w:cs="Arial"/>
          <w:b/>
        </w:rPr>
      </w:pPr>
    </w:p>
    <w:p w14:paraId="6771DE10" w14:textId="77777777" w:rsidR="003740C2" w:rsidRPr="00BC6A59" w:rsidRDefault="003740C2" w:rsidP="003740C2">
      <w:pPr>
        <w:ind w:left="720"/>
        <w:rPr>
          <w:rFonts w:cs="Arial"/>
          <w:b/>
        </w:rPr>
      </w:pPr>
      <w:r w:rsidRPr="00BC6A59">
        <w:rPr>
          <w:rFonts w:cs="Arial"/>
          <w:b/>
        </w:rPr>
        <w:t xml:space="preserve">Present value over </w:t>
      </w:r>
      <w:r>
        <w:rPr>
          <w:rFonts w:cs="Arial"/>
          <w:b/>
        </w:rPr>
        <w:t>7</w:t>
      </w:r>
      <w:r w:rsidRPr="00BC6A59">
        <w:rPr>
          <w:rFonts w:cs="Arial"/>
          <w:b/>
        </w:rPr>
        <w:t xml:space="preserve"> years =</w:t>
      </w:r>
      <w:r w:rsidR="00076A88">
        <w:rPr>
          <w:rFonts w:cs="Arial"/>
          <w:b/>
        </w:rPr>
        <w:t xml:space="preserve"> £0.01 million</w:t>
      </w:r>
      <w:r w:rsidRPr="00BC6A59">
        <w:rPr>
          <w:rFonts w:cs="Arial"/>
          <w:b/>
        </w:rPr>
        <w:t xml:space="preserve"> [central estimate]</w:t>
      </w:r>
    </w:p>
    <w:p w14:paraId="1660F431" w14:textId="77777777" w:rsidR="003740C2" w:rsidRPr="002A6CB2" w:rsidRDefault="003740C2" w:rsidP="003740C2">
      <w:pPr>
        <w:ind w:left="720"/>
        <w:rPr>
          <w:rFonts w:cs="Arial"/>
        </w:rPr>
      </w:pPr>
    </w:p>
    <w:p w14:paraId="15F5F734" w14:textId="77777777" w:rsidR="00742D37" w:rsidRDefault="00742D37" w:rsidP="002A6CB2">
      <w:pPr>
        <w:rPr>
          <w:rFonts w:cs="Arial"/>
          <w:i/>
          <w:iCs/>
          <w:lang w:eastAsia="en-GB"/>
        </w:rPr>
      </w:pPr>
    </w:p>
    <w:p w14:paraId="181932A0" w14:textId="77777777" w:rsidR="00742D37" w:rsidRPr="005F140B" w:rsidRDefault="00742D37" w:rsidP="007B1B0E">
      <w:pPr>
        <w:spacing w:after="120"/>
        <w:ind w:left="284"/>
        <w:rPr>
          <w:rFonts w:cs="Arial"/>
          <w:bCs/>
          <w:color w:val="000000"/>
          <w:lang w:eastAsia="en-GB"/>
        </w:rPr>
      </w:pPr>
      <w:r w:rsidRPr="005F140B">
        <w:rPr>
          <w:rFonts w:cs="Arial"/>
          <w:b/>
          <w:color w:val="000000"/>
          <w:sz w:val="28"/>
          <w:szCs w:val="28"/>
          <w:lang w:eastAsia="en-GB"/>
        </w:rPr>
        <w:t xml:space="preserve">Option </w:t>
      </w:r>
      <w:r>
        <w:rPr>
          <w:rFonts w:cs="Arial"/>
          <w:b/>
          <w:color w:val="000000"/>
          <w:sz w:val="28"/>
          <w:szCs w:val="28"/>
          <w:lang w:eastAsia="en-GB"/>
        </w:rPr>
        <w:t>3</w:t>
      </w:r>
      <w:r w:rsidRPr="005F140B">
        <w:rPr>
          <w:rFonts w:cs="Arial"/>
          <w:b/>
          <w:color w:val="000000"/>
          <w:sz w:val="28"/>
          <w:szCs w:val="28"/>
          <w:lang w:eastAsia="en-GB"/>
        </w:rPr>
        <w:t>:</w:t>
      </w:r>
      <w:r w:rsidR="009A3270">
        <w:rPr>
          <w:rFonts w:cs="Arial"/>
          <w:b/>
          <w:color w:val="000000"/>
          <w:sz w:val="28"/>
          <w:szCs w:val="28"/>
          <w:lang w:eastAsia="en-GB"/>
        </w:rPr>
        <w:t xml:space="preserve"> </w:t>
      </w:r>
      <w:r w:rsidR="007B1B0E" w:rsidRPr="007B1B0E">
        <w:rPr>
          <w:rFonts w:cs="Arial"/>
          <w:b/>
          <w:color w:val="000000"/>
          <w:sz w:val="28"/>
          <w:szCs w:val="28"/>
          <w:lang w:eastAsia="en-GB"/>
        </w:rPr>
        <w:t xml:space="preserve">Use primary legislation to standardise current arrangements for the existing devolved Welsh tribunals </w:t>
      </w:r>
    </w:p>
    <w:p w14:paraId="19B7E876" w14:textId="77777777" w:rsidR="00742D37" w:rsidRPr="000B308F" w:rsidRDefault="00742D37" w:rsidP="00742D37">
      <w:pPr>
        <w:spacing w:after="120"/>
        <w:ind w:left="720"/>
        <w:rPr>
          <w:rFonts w:cs="Arial"/>
          <w:b/>
          <w:bCs/>
          <w:color w:val="000000"/>
          <w:sz w:val="28"/>
          <w:szCs w:val="28"/>
          <w:lang w:eastAsia="en-GB"/>
        </w:rPr>
      </w:pPr>
      <w:r w:rsidRPr="000B308F">
        <w:rPr>
          <w:rFonts w:cs="Arial"/>
          <w:b/>
          <w:bCs/>
          <w:color w:val="000000"/>
          <w:sz w:val="28"/>
          <w:szCs w:val="28"/>
          <w:lang w:eastAsia="en-GB"/>
        </w:rPr>
        <w:t>Costs</w:t>
      </w:r>
    </w:p>
    <w:p w14:paraId="3F5DC385" w14:textId="77777777" w:rsidR="00742D37" w:rsidRPr="005F140B" w:rsidRDefault="00742D37" w:rsidP="00742D37">
      <w:pPr>
        <w:spacing w:after="120"/>
        <w:ind w:left="720"/>
        <w:rPr>
          <w:rFonts w:cs="Arial"/>
          <w:bCs/>
          <w:i/>
          <w:color w:val="000000"/>
          <w:lang w:eastAsia="en-GB"/>
        </w:rPr>
      </w:pPr>
      <w:r w:rsidRPr="005F140B">
        <w:rPr>
          <w:rFonts w:cs="Arial"/>
          <w:bCs/>
          <w:i/>
          <w:color w:val="000000"/>
          <w:lang w:eastAsia="en-GB"/>
        </w:rPr>
        <w:t>Transitional costs</w:t>
      </w:r>
    </w:p>
    <w:p w14:paraId="0B229831" w14:textId="77777777" w:rsidR="00742D37" w:rsidRPr="005F140B" w:rsidRDefault="00742D37" w:rsidP="00742D37">
      <w:pPr>
        <w:spacing w:after="120"/>
        <w:ind w:left="720"/>
        <w:rPr>
          <w:rFonts w:cs="Arial"/>
          <w:bCs/>
          <w:color w:val="000000"/>
          <w:lang w:eastAsia="en-GB"/>
        </w:rPr>
      </w:pPr>
    </w:p>
    <w:p w14:paraId="49353F3B" w14:textId="77777777" w:rsidR="00742D37" w:rsidRPr="009B2FAC" w:rsidRDefault="00742D37" w:rsidP="009B2FAC">
      <w:pPr>
        <w:pStyle w:val="ListParagraph"/>
        <w:numPr>
          <w:ilvl w:val="0"/>
          <w:numId w:val="49"/>
        </w:numPr>
        <w:spacing w:after="120"/>
        <w:rPr>
          <w:rFonts w:cs="Arial"/>
          <w:bCs/>
          <w:color w:val="000000"/>
          <w:lang w:eastAsia="en-GB"/>
        </w:rPr>
      </w:pPr>
      <w:r w:rsidRPr="009B2FAC">
        <w:rPr>
          <w:rFonts w:cs="Arial"/>
          <w:bCs/>
          <w:color w:val="000000"/>
          <w:u w:val="single"/>
          <w:lang w:eastAsia="en-GB"/>
        </w:rPr>
        <w:t>Training costs</w:t>
      </w:r>
    </w:p>
    <w:p w14:paraId="1AC79373" w14:textId="77777777" w:rsidR="00742D37" w:rsidRDefault="00742D37" w:rsidP="003740C2">
      <w:pPr>
        <w:spacing w:after="240"/>
        <w:ind w:left="720"/>
        <w:rPr>
          <w:rFonts w:cs="Arial"/>
          <w:bCs/>
          <w:color w:val="000000"/>
          <w:lang w:eastAsia="en-GB"/>
        </w:rPr>
      </w:pPr>
      <w:r w:rsidRPr="005F140B">
        <w:rPr>
          <w:rFonts w:cs="Arial"/>
          <w:bCs/>
          <w:color w:val="000000"/>
          <w:lang w:eastAsia="en-GB"/>
        </w:rPr>
        <w:t>Under the proposed new structure of a unified Tribunal it is not anticipated that a comprehensive training initiative will be required. Those most impacted will be support/administrative staff within the WTU</w:t>
      </w:r>
      <w:r w:rsidR="00B301D4">
        <w:rPr>
          <w:rFonts w:cs="Arial"/>
          <w:bCs/>
          <w:color w:val="000000"/>
          <w:lang w:eastAsia="en-GB"/>
        </w:rPr>
        <w:t xml:space="preserve">, who will, for example, have to familiarise themselves with new appointments </w:t>
      </w:r>
      <w:r w:rsidR="007B1B0E">
        <w:rPr>
          <w:rFonts w:cs="Arial"/>
          <w:bCs/>
          <w:color w:val="000000"/>
          <w:lang w:eastAsia="en-GB"/>
        </w:rPr>
        <w:t xml:space="preserve">and disciplinary </w:t>
      </w:r>
      <w:r w:rsidR="00B301D4">
        <w:rPr>
          <w:rFonts w:cs="Arial"/>
          <w:bCs/>
          <w:color w:val="000000"/>
          <w:lang w:eastAsia="en-GB"/>
        </w:rPr>
        <w:t>processes.</w:t>
      </w:r>
      <w:r w:rsidRPr="005F140B">
        <w:rPr>
          <w:rFonts w:cs="Arial"/>
          <w:bCs/>
          <w:color w:val="000000"/>
          <w:lang w:eastAsia="en-GB"/>
        </w:rPr>
        <w:t xml:space="preserve"> The work of the tribunals will be </w:t>
      </w:r>
      <w:r w:rsidR="008449EE">
        <w:rPr>
          <w:rFonts w:cs="Arial"/>
          <w:bCs/>
          <w:color w:val="000000"/>
          <w:lang w:eastAsia="en-GB"/>
        </w:rPr>
        <w:t xml:space="preserve">largely </w:t>
      </w:r>
      <w:r w:rsidRPr="005F140B">
        <w:rPr>
          <w:rFonts w:cs="Arial"/>
          <w:bCs/>
          <w:color w:val="000000"/>
          <w:lang w:eastAsia="en-GB"/>
        </w:rPr>
        <w:t>unaffected</w:t>
      </w:r>
      <w:r>
        <w:rPr>
          <w:rFonts w:cs="Arial"/>
          <w:bCs/>
          <w:color w:val="000000"/>
          <w:lang w:eastAsia="en-GB"/>
        </w:rPr>
        <w:t xml:space="preserve">. </w:t>
      </w:r>
      <w:r w:rsidRPr="005F140B">
        <w:rPr>
          <w:rFonts w:cs="Arial"/>
          <w:bCs/>
          <w:color w:val="000000"/>
          <w:lang w:eastAsia="en-GB"/>
        </w:rPr>
        <w:t xml:space="preserve"> </w:t>
      </w:r>
    </w:p>
    <w:p w14:paraId="75707485" w14:textId="77777777" w:rsidR="00742D37" w:rsidRPr="005F140B" w:rsidRDefault="00742D37" w:rsidP="00742D37">
      <w:pPr>
        <w:spacing w:after="120"/>
        <w:ind w:left="720"/>
        <w:rPr>
          <w:rFonts w:cs="Arial"/>
          <w:bCs/>
          <w:color w:val="000000"/>
          <w:lang w:eastAsia="en-GB"/>
        </w:rPr>
      </w:pPr>
      <w:r w:rsidRPr="005F140B">
        <w:rPr>
          <w:rFonts w:cs="Arial"/>
          <w:bCs/>
          <w:color w:val="000000"/>
          <w:lang w:eastAsia="en-GB"/>
        </w:rPr>
        <w:t xml:space="preserve">2. </w:t>
      </w:r>
      <w:r w:rsidRPr="000B308F">
        <w:rPr>
          <w:rFonts w:cs="Arial"/>
          <w:bCs/>
          <w:color w:val="000000"/>
          <w:u w:val="single"/>
          <w:lang w:eastAsia="en-GB"/>
        </w:rPr>
        <w:t>Guidance material</w:t>
      </w:r>
    </w:p>
    <w:p w14:paraId="76331909" w14:textId="77777777" w:rsidR="00742D37" w:rsidRDefault="00742D37" w:rsidP="003740C2">
      <w:pPr>
        <w:spacing w:after="240"/>
        <w:ind w:left="720"/>
        <w:rPr>
          <w:rFonts w:cs="Arial"/>
          <w:bCs/>
          <w:color w:val="000000"/>
          <w:lang w:eastAsia="en-GB"/>
        </w:rPr>
      </w:pPr>
      <w:r w:rsidRPr="005F140B">
        <w:rPr>
          <w:rFonts w:cs="Arial"/>
          <w:bCs/>
          <w:color w:val="000000"/>
          <w:lang w:eastAsia="en-GB"/>
        </w:rPr>
        <w:t xml:space="preserve">In keeping with the </w:t>
      </w:r>
      <w:r>
        <w:rPr>
          <w:rFonts w:cs="Arial"/>
          <w:bCs/>
          <w:color w:val="000000"/>
          <w:lang w:eastAsia="en-GB"/>
        </w:rPr>
        <w:t xml:space="preserve">revised legislation </w:t>
      </w:r>
      <w:r w:rsidR="00B31FF1">
        <w:rPr>
          <w:rFonts w:cs="Arial"/>
          <w:bCs/>
          <w:color w:val="000000"/>
          <w:lang w:eastAsia="en-GB"/>
        </w:rPr>
        <w:t xml:space="preserve">guidance will be required – but minimal. </w:t>
      </w:r>
    </w:p>
    <w:p w14:paraId="21545EE4" w14:textId="77777777" w:rsidR="00742D37" w:rsidRPr="000B308F" w:rsidRDefault="00742D37" w:rsidP="00742D37">
      <w:pPr>
        <w:spacing w:after="120"/>
        <w:ind w:left="720"/>
        <w:rPr>
          <w:rFonts w:cs="Arial"/>
          <w:bCs/>
          <w:color w:val="000000"/>
          <w:u w:val="single"/>
          <w:lang w:eastAsia="en-GB"/>
        </w:rPr>
      </w:pPr>
      <w:r w:rsidRPr="005F140B">
        <w:rPr>
          <w:rFonts w:cs="Arial"/>
          <w:bCs/>
          <w:color w:val="000000"/>
          <w:lang w:eastAsia="en-GB"/>
        </w:rPr>
        <w:t xml:space="preserve">3. </w:t>
      </w:r>
      <w:r w:rsidRPr="000B308F">
        <w:rPr>
          <w:rFonts w:cs="Arial"/>
          <w:bCs/>
          <w:color w:val="000000"/>
          <w:u w:val="single"/>
          <w:lang w:eastAsia="en-GB"/>
        </w:rPr>
        <w:t>Legislative drafting for new set-up</w:t>
      </w:r>
    </w:p>
    <w:p w14:paraId="3CC9049B" w14:textId="77777777" w:rsidR="006854DC" w:rsidRDefault="00ED7A05" w:rsidP="000B308F">
      <w:pPr>
        <w:spacing w:after="120"/>
        <w:ind w:left="720"/>
        <w:rPr>
          <w:rFonts w:cs="Arial"/>
        </w:rPr>
      </w:pPr>
      <w:r w:rsidRPr="00C357ED">
        <w:rPr>
          <w:rFonts w:cs="Arial"/>
        </w:rPr>
        <w:t>Current arrangements for the existing devolved Welsh tribunals in relation to appointments and discipline could be standardised by primary legislation without creating a unified first-tier tribunal</w:t>
      </w:r>
      <w:r>
        <w:rPr>
          <w:rFonts w:cs="Arial"/>
        </w:rPr>
        <w:t>.</w:t>
      </w:r>
      <w:r w:rsidRPr="005F140B">
        <w:rPr>
          <w:rFonts w:cs="Arial"/>
        </w:rPr>
        <w:t xml:space="preserve"> </w:t>
      </w:r>
      <w:r w:rsidR="00742D37" w:rsidRPr="005F140B">
        <w:rPr>
          <w:rFonts w:cs="Arial"/>
        </w:rPr>
        <w:t xml:space="preserve">Legislative drafting will be required </w:t>
      </w:r>
      <w:r w:rsidR="00A345C1">
        <w:rPr>
          <w:rFonts w:cs="Arial"/>
        </w:rPr>
        <w:t>but on a marginally reduced scale</w:t>
      </w:r>
      <w:r w:rsidR="00612A3A">
        <w:rPr>
          <w:rFonts w:cs="Arial"/>
        </w:rPr>
        <w:t xml:space="preserve">; drafting would still be required to cover most areas of operation of tribunals, including appointments, discipline, and the making of procedural rules. </w:t>
      </w:r>
    </w:p>
    <w:p w14:paraId="06C2757F" w14:textId="45412C21" w:rsidR="00742D37" w:rsidRPr="005F140B" w:rsidRDefault="00A345C1" w:rsidP="000B308F">
      <w:pPr>
        <w:spacing w:after="120"/>
        <w:ind w:left="720"/>
        <w:rPr>
          <w:rFonts w:cs="Arial"/>
        </w:rPr>
      </w:pPr>
      <w:r>
        <w:rPr>
          <w:rFonts w:cs="Arial"/>
        </w:rPr>
        <w:t xml:space="preserve">There remain concerns regarding </w:t>
      </w:r>
      <w:r w:rsidR="009A3270">
        <w:rPr>
          <w:rFonts w:cs="Arial"/>
        </w:rPr>
        <w:t xml:space="preserve">the </w:t>
      </w:r>
      <w:r w:rsidR="006854DC" w:rsidRPr="006854DC">
        <w:rPr>
          <w:rFonts w:cs="Arial"/>
        </w:rPr>
        <w:t>considerable drafting pressures on the Office of Legislative Coun</w:t>
      </w:r>
      <w:r w:rsidR="002E57EA">
        <w:rPr>
          <w:rFonts w:cs="Arial"/>
        </w:rPr>
        <w:t>se</w:t>
      </w:r>
      <w:r w:rsidR="006854DC" w:rsidRPr="006854DC">
        <w:rPr>
          <w:rFonts w:cs="Arial"/>
        </w:rPr>
        <w:t>l due to Covid-19 and Brexit.  Time must be made available for the Bill to be drafted in both English and Welsh, and for the versions to be checked for equivalence.  The extent to which OLC has sufficient capacity will impact on costs as stretched resources may not accommodate further demands and additional resources will be required depending on priorities.</w:t>
      </w:r>
    </w:p>
    <w:p w14:paraId="6D222BAD" w14:textId="77777777" w:rsidR="00742D37" w:rsidRPr="005F140B" w:rsidRDefault="00742D37" w:rsidP="00742D37">
      <w:pPr>
        <w:ind w:left="720"/>
        <w:rPr>
          <w:rFonts w:cs="Arial"/>
          <w:bCs/>
          <w:color w:val="000000"/>
          <w:lang w:eastAsia="en-GB"/>
        </w:rPr>
      </w:pPr>
    </w:p>
    <w:p w14:paraId="52F281EF" w14:textId="77777777" w:rsidR="00742D37" w:rsidRPr="005F140B" w:rsidRDefault="00742D37" w:rsidP="00742D37">
      <w:pPr>
        <w:spacing w:after="120"/>
        <w:rPr>
          <w:rFonts w:cs="Arial"/>
          <w:bCs/>
          <w:color w:val="000000"/>
          <w:lang w:eastAsia="en-GB"/>
        </w:rPr>
      </w:pPr>
    </w:p>
    <w:p w14:paraId="3C6F91DB" w14:textId="77777777" w:rsidR="00742D37" w:rsidRPr="000B308F" w:rsidRDefault="00742D37" w:rsidP="00742D37">
      <w:pPr>
        <w:spacing w:after="120"/>
        <w:ind w:left="720"/>
        <w:rPr>
          <w:rFonts w:cs="Arial"/>
          <w:b/>
          <w:bCs/>
          <w:color w:val="000000"/>
          <w:sz w:val="28"/>
          <w:szCs w:val="28"/>
          <w:lang w:eastAsia="en-GB"/>
        </w:rPr>
      </w:pPr>
      <w:r w:rsidRPr="000B308F">
        <w:rPr>
          <w:rFonts w:cs="Arial"/>
          <w:b/>
          <w:bCs/>
          <w:color w:val="000000"/>
          <w:sz w:val="28"/>
          <w:szCs w:val="28"/>
          <w:lang w:eastAsia="en-GB"/>
        </w:rPr>
        <w:t>Benefits</w:t>
      </w:r>
    </w:p>
    <w:p w14:paraId="1F3B44D8" w14:textId="77777777" w:rsidR="00742D37" w:rsidRPr="005F140B" w:rsidRDefault="00742D37" w:rsidP="00742D37">
      <w:pPr>
        <w:spacing w:after="120"/>
        <w:ind w:left="720"/>
        <w:rPr>
          <w:rFonts w:cs="Arial"/>
          <w:bCs/>
          <w:i/>
          <w:color w:val="000000"/>
          <w:lang w:eastAsia="en-GB"/>
        </w:rPr>
      </w:pPr>
      <w:r w:rsidRPr="005F140B">
        <w:rPr>
          <w:rFonts w:cs="Arial"/>
          <w:bCs/>
          <w:i/>
          <w:color w:val="000000"/>
          <w:lang w:eastAsia="en-GB"/>
        </w:rPr>
        <w:t>Transitional benefits</w:t>
      </w:r>
    </w:p>
    <w:p w14:paraId="3FCCD47B" w14:textId="77777777" w:rsidR="00742D37" w:rsidRPr="005F140B" w:rsidRDefault="00742D37" w:rsidP="00742D37">
      <w:pPr>
        <w:spacing w:after="120"/>
        <w:ind w:left="720"/>
        <w:rPr>
          <w:rFonts w:cs="Arial"/>
          <w:bCs/>
          <w:color w:val="000000"/>
          <w:lang w:eastAsia="en-GB"/>
        </w:rPr>
      </w:pPr>
      <w:r w:rsidRPr="005F140B">
        <w:rPr>
          <w:rFonts w:cs="Arial"/>
          <w:bCs/>
          <w:color w:val="000000"/>
          <w:lang w:eastAsia="en-GB"/>
        </w:rPr>
        <w:t>None identified.</w:t>
      </w:r>
    </w:p>
    <w:p w14:paraId="30004D7F" w14:textId="77777777" w:rsidR="00742D37" w:rsidRPr="005F140B" w:rsidRDefault="00742D37" w:rsidP="00742D37">
      <w:pPr>
        <w:spacing w:after="120"/>
        <w:ind w:left="720"/>
        <w:rPr>
          <w:rFonts w:cs="Arial"/>
          <w:bCs/>
          <w:color w:val="000000"/>
          <w:lang w:eastAsia="en-GB"/>
        </w:rPr>
      </w:pPr>
    </w:p>
    <w:p w14:paraId="16A9E0AC" w14:textId="77777777" w:rsidR="00742D37" w:rsidRPr="005F140B" w:rsidRDefault="00742D37" w:rsidP="00D8157F">
      <w:pPr>
        <w:keepNext/>
        <w:spacing w:after="120"/>
        <w:ind w:left="720"/>
        <w:rPr>
          <w:rFonts w:cs="Arial"/>
          <w:bCs/>
          <w:i/>
          <w:color w:val="000000"/>
          <w:lang w:eastAsia="en-GB"/>
        </w:rPr>
      </w:pPr>
      <w:r w:rsidRPr="005F140B">
        <w:rPr>
          <w:rFonts w:cs="Arial"/>
          <w:bCs/>
          <w:i/>
          <w:color w:val="000000"/>
          <w:lang w:eastAsia="en-GB"/>
        </w:rPr>
        <w:t>On-going benefits</w:t>
      </w:r>
    </w:p>
    <w:p w14:paraId="0E1CF0AB" w14:textId="77777777" w:rsidR="00742D37" w:rsidRPr="005F140B" w:rsidRDefault="00742D37" w:rsidP="000B308F">
      <w:pPr>
        <w:spacing w:after="120"/>
        <w:rPr>
          <w:rFonts w:cs="Arial"/>
        </w:rPr>
      </w:pPr>
      <w:r w:rsidRPr="005F140B">
        <w:rPr>
          <w:rFonts w:cs="Arial"/>
          <w:bCs/>
          <w:color w:val="000000"/>
          <w:lang w:eastAsia="en-GB"/>
        </w:rPr>
        <w:tab/>
      </w:r>
      <w:r w:rsidR="009C403B">
        <w:rPr>
          <w:rFonts w:cs="Arial"/>
        </w:rPr>
        <w:t>4</w:t>
      </w:r>
      <w:r w:rsidRPr="005F140B">
        <w:rPr>
          <w:rFonts w:cs="Arial"/>
        </w:rPr>
        <w:t xml:space="preserve">. </w:t>
      </w:r>
      <w:r w:rsidRPr="000B308F">
        <w:rPr>
          <w:rFonts w:cs="Arial"/>
          <w:u w:val="single"/>
        </w:rPr>
        <w:t>Consistent and standardised approach provides certainty</w:t>
      </w:r>
    </w:p>
    <w:p w14:paraId="07497CDB" w14:textId="77777777" w:rsidR="00742D37" w:rsidRPr="005F140B" w:rsidRDefault="00742D37" w:rsidP="00742D37">
      <w:pPr>
        <w:rPr>
          <w:rFonts w:cs="Arial"/>
        </w:rPr>
      </w:pPr>
    </w:p>
    <w:p w14:paraId="2947A1E5" w14:textId="77777777" w:rsidR="00742D37" w:rsidRDefault="00ED7A05" w:rsidP="000B308F">
      <w:pPr>
        <w:keepLines/>
        <w:spacing w:after="240" w:line="264" w:lineRule="auto"/>
        <w:ind w:left="720" w:right="567"/>
        <w:jc w:val="both"/>
        <w:outlineLvl w:val="0"/>
        <w:rPr>
          <w:rFonts w:cs="Arial"/>
        </w:rPr>
      </w:pPr>
      <w:r>
        <w:rPr>
          <w:rFonts w:cs="Arial"/>
        </w:rPr>
        <w:t xml:space="preserve">Proposed changes would </w:t>
      </w:r>
      <w:r w:rsidRPr="00323A42">
        <w:rPr>
          <w:rFonts w:cs="Arial"/>
        </w:rPr>
        <w:t xml:space="preserve">bring a level of consistency to the devolved Welsh tribunals and provide a template for the creation of future tribunals. </w:t>
      </w:r>
      <w:r w:rsidRPr="00C357ED">
        <w:rPr>
          <w:rFonts w:cs="Arial"/>
        </w:rPr>
        <w:t>However, this option would not provide flexibility or be as responsive to accommodating future demands on the Welsh tribunals system; if an existing tribunal was not a natural home for a new appeal route, Welsh policy makers would still have to choose between creating a wholly new tribunal or directing the appeal to the existing First-tier</w:t>
      </w:r>
      <w:r w:rsidR="007B6838">
        <w:rPr>
          <w:rFonts w:cs="Arial"/>
        </w:rPr>
        <w:t xml:space="preserve"> Tribunal</w:t>
      </w:r>
      <w:r>
        <w:rPr>
          <w:rFonts w:cs="Arial"/>
        </w:rPr>
        <w:t>.</w:t>
      </w:r>
    </w:p>
    <w:p w14:paraId="3C1A9AD8" w14:textId="77777777" w:rsidR="005057E8" w:rsidRPr="005F140B" w:rsidRDefault="005057E8" w:rsidP="00742D37">
      <w:pPr>
        <w:ind w:left="720"/>
        <w:rPr>
          <w:rFonts w:cs="Arial"/>
        </w:rPr>
      </w:pPr>
    </w:p>
    <w:p w14:paraId="63B32356" w14:textId="77777777" w:rsidR="00742D37" w:rsidRPr="005F140B" w:rsidRDefault="00742D37" w:rsidP="00742D37">
      <w:pPr>
        <w:ind w:left="720"/>
        <w:rPr>
          <w:rFonts w:cs="Arial"/>
        </w:rPr>
      </w:pPr>
    </w:p>
    <w:p w14:paraId="6A5F9665" w14:textId="664A633D" w:rsidR="005057E8" w:rsidRPr="000B308F" w:rsidRDefault="005057E8" w:rsidP="000B308F">
      <w:pPr>
        <w:spacing w:after="120"/>
        <w:ind w:firstLine="720"/>
      </w:pPr>
      <w:r w:rsidRPr="000B308F">
        <w:t xml:space="preserve">Table </w:t>
      </w:r>
      <w:r w:rsidR="003740C2" w:rsidRPr="000B308F">
        <w:t>1</w:t>
      </w:r>
      <w:r w:rsidR="003016E7">
        <w:t>4</w:t>
      </w:r>
      <w:r w:rsidRPr="000B308F">
        <w:t xml:space="preserve">: Summary of Option 1 - 3 annual costs and benefits and NPSV, </w:t>
      </w:r>
      <w:r w:rsidR="004A0CCF" w:rsidRPr="000B308F">
        <w:t>£</w:t>
      </w:r>
      <w:r w:rsidRPr="000B308F">
        <w:t>, 202</w:t>
      </w:r>
      <w:r w:rsidR="003016E7">
        <w:t>1</w:t>
      </w:r>
      <w:r w:rsidRPr="000B308F">
        <w:t>.</w:t>
      </w:r>
    </w:p>
    <w:tbl>
      <w:tblPr>
        <w:tblW w:w="0" w:type="auto"/>
        <w:tblInd w:w="557" w:type="dxa"/>
        <w:tblLook w:val="04A0" w:firstRow="1" w:lastRow="0" w:firstColumn="1" w:lastColumn="0" w:noHBand="0" w:noVBand="1"/>
      </w:tblPr>
      <w:tblGrid>
        <w:gridCol w:w="4633"/>
        <w:gridCol w:w="1743"/>
        <w:gridCol w:w="1626"/>
        <w:gridCol w:w="1626"/>
      </w:tblGrid>
      <w:tr w:rsidR="005057E8" w:rsidRPr="00685CA8" w14:paraId="5ECB853D" w14:textId="77777777" w:rsidTr="00A2758A">
        <w:trPr>
          <w:trHeight w:val="300"/>
        </w:trPr>
        <w:tc>
          <w:tcPr>
            <w:tcW w:w="463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21EA44A" w14:textId="77777777" w:rsidR="005057E8" w:rsidRPr="006F5953" w:rsidRDefault="005057E8" w:rsidP="007B1B0E">
            <w:pPr>
              <w:jc w:val="right"/>
              <w:rPr>
                <w:rFonts w:cs="Arial"/>
                <w:b/>
                <w:color w:val="000000"/>
                <w:sz w:val="22"/>
                <w:szCs w:val="22"/>
                <w:lang w:eastAsia="en-GB"/>
              </w:rPr>
            </w:pPr>
            <w:r w:rsidRPr="006F5953">
              <w:rPr>
                <w:rFonts w:cs="Arial"/>
                <w:b/>
                <w:color w:val="000000"/>
                <w:sz w:val="22"/>
                <w:szCs w:val="22"/>
                <w:lang w:eastAsia="en-GB"/>
              </w:rPr>
              <w:t>Estimate</w:t>
            </w:r>
          </w:p>
        </w:tc>
        <w:tc>
          <w:tcPr>
            <w:tcW w:w="1743" w:type="dxa"/>
            <w:tcBorders>
              <w:top w:val="single" w:sz="8" w:space="0" w:color="auto"/>
              <w:left w:val="nil"/>
              <w:bottom w:val="single" w:sz="4" w:space="0" w:color="auto"/>
              <w:right w:val="single" w:sz="4" w:space="0" w:color="auto"/>
            </w:tcBorders>
            <w:shd w:val="clear" w:color="auto" w:fill="auto"/>
            <w:vAlign w:val="bottom"/>
            <w:hideMark/>
          </w:tcPr>
          <w:p w14:paraId="0C9164F5" w14:textId="77777777" w:rsidR="005057E8" w:rsidRPr="006F5953" w:rsidRDefault="005057E8" w:rsidP="002C48DD">
            <w:pPr>
              <w:jc w:val="right"/>
              <w:rPr>
                <w:rFonts w:cs="Arial"/>
                <w:b/>
                <w:color w:val="000000"/>
                <w:sz w:val="22"/>
                <w:szCs w:val="22"/>
                <w:lang w:eastAsia="en-GB"/>
              </w:rPr>
            </w:pPr>
            <w:r w:rsidRPr="006F5953">
              <w:rPr>
                <w:rFonts w:cs="Arial"/>
                <w:b/>
                <w:color w:val="000000"/>
                <w:sz w:val="22"/>
                <w:szCs w:val="22"/>
                <w:lang w:eastAsia="en-GB"/>
              </w:rPr>
              <w:t>Low</w:t>
            </w:r>
          </w:p>
        </w:tc>
        <w:tc>
          <w:tcPr>
            <w:tcW w:w="1626" w:type="dxa"/>
            <w:tcBorders>
              <w:top w:val="single" w:sz="8" w:space="0" w:color="auto"/>
              <w:left w:val="nil"/>
              <w:bottom w:val="single" w:sz="4" w:space="0" w:color="auto"/>
              <w:right w:val="single" w:sz="4" w:space="0" w:color="auto"/>
            </w:tcBorders>
            <w:shd w:val="clear" w:color="auto" w:fill="auto"/>
            <w:vAlign w:val="bottom"/>
            <w:hideMark/>
          </w:tcPr>
          <w:p w14:paraId="40DAB5B7" w14:textId="77777777" w:rsidR="005057E8" w:rsidRPr="006F5953" w:rsidRDefault="005057E8" w:rsidP="002C48DD">
            <w:pPr>
              <w:jc w:val="right"/>
              <w:rPr>
                <w:rFonts w:cs="Arial"/>
                <w:b/>
                <w:color w:val="000000"/>
                <w:sz w:val="22"/>
                <w:szCs w:val="22"/>
                <w:lang w:eastAsia="en-GB"/>
              </w:rPr>
            </w:pPr>
            <w:r w:rsidRPr="006F5953">
              <w:rPr>
                <w:rFonts w:cs="Arial"/>
                <w:b/>
                <w:color w:val="000000"/>
                <w:sz w:val="22"/>
                <w:szCs w:val="22"/>
                <w:lang w:eastAsia="en-GB"/>
              </w:rPr>
              <w:t>Central</w:t>
            </w:r>
          </w:p>
        </w:tc>
        <w:tc>
          <w:tcPr>
            <w:tcW w:w="1626" w:type="dxa"/>
            <w:tcBorders>
              <w:top w:val="single" w:sz="8" w:space="0" w:color="auto"/>
              <w:left w:val="nil"/>
              <w:bottom w:val="single" w:sz="4" w:space="0" w:color="auto"/>
              <w:right w:val="single" w:sz="8" w:space="0" w:color="auto"/>
            </w:tcBorders>
            <w:shd w:val="clear" w:color="auto" w:fill="auto"/>
            <w:vAlign w:val="bottom"/>
            <w:hideMark/>
          </w:tcPr>
          <w:p w14:paraId="2179F57D" w14:textId="77777777" w:rsidR="005057E8" w:rsidRPr="006F5953" w:rsidRDefault="005057E8" w:rsidP="002C48DD">
            <w:pPr>
              <w:jc w:val="right"/>
              <w:rPr>
                <w:rFonts w:cs="Arial"/>
                <w:b/>
                <w:color w:val="000000"/>
                <w:sz w:val="22"/>
                <w:szCs w:val="22"/>
                <w:lang w:eastAsia="en-GB"/>
              </w:rPr>
            </w:pPr>
            <w:r w:rsidRPr="006F5953">
              <w:rPr>
                <w:rFonts w:cs="Arial"/>
                <w:b/>
                <w:color w:val="000000"/>
                <w:sz w:val="22"/>
                <w:szCs w:val="22"/>
                <w:lang w:eastAsia="en-GB"/>
              </w:rPr>
              <w:t>High</w:t>
            </w:r>
          </w:p>
        </w:tc>
      </w:tr>
      <w:tr w:rsidR="005057E8" w:rsidRPr="00685CA8" w14:paraId="4EFFBA7E"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tcPr>
          <w:p w14:paraId="40C36447" w14:textId="77777777" w:rsidR="005057E8" w:rsidRPr="006F5953" w:rsidRDefault="005057E8" w:rsidP="002C48DD">
            <w:pPr>
              <w:rPr>
                <w:rFonts w:cs="Arial"/>
                <w:b/>
                <w:color w:val="000000"/>
                <w:sz w:val="22"/>
                <w:szCs w:val="22"/>
                <w:lang w:eastAsia="en-GB"/>
              </w:rPr>
            </w:pPr>
            <w:r w:rsidRPr="006F5953">
              <w:rPr>
                <w:rFonts w:cs="Arial"/>
                <w:b/>
                <w:color w:val="000000"/>
                <w:sz w:val="22"/>
                <w:szCs w:val="22"/>
                <w:lang w:eastAsia="en-GB"/>
              </w:rPr>
              <w:t>OPTION 1</w:t>
            </w:r>
          </w:p>
        </w:tc>
        <w:tc>
          <w:tcPr>
            <w:tcW w:w="1743" w:type="dxa"/>
            <w:tcBorders>
              <w:top w:val="nil"/>
              <w:left w:val="nil"/>
              <w:bottom w:val="single" w:sz="4" w:space="0" w:color="auto"/>
              <w:right w:val="single" w:sz="4" w:space="0" w:color="auto"/>
            </w:tcBorders>
            <w:shd w:val="clear" w:color="auto" w:fill="auto"/>
            <w:noWrap/>
            <w:vAlign w:val="bottom"/>
          </w:tcPr>
          <w:p w14:paraId="22EADFF2" w14:textId="77777777" w:rsidR="005057E8" w:rsidRPr="006F5953" w:rsidRDefault="005057E8" w:rsidP="002C48DD">
            <w:pPr>
              <w:jc w:val="right"/>
              <w:rPr>
                <w:rFonts w:cs="Arial"/>
                <w:b/>
                <w:bCs/>
                <w:color w:val="000000"/>
                <w:sz w:val="22"/>
                <w:szCs w:val="22"/>
                <w:lang w:eastAsia="en-GB"/>
              </w:rPr>
            </w:pPr>
          </w:p>
        </w:tc>
        <w:tc>
          <w:tcPr>
            <w:tcW w:w="1626" w:type="dxa"/>
            <w:tcBorders>
              <w:top w:val="nil"/>
              <w:left w:val="nil"/>
              <w:bottom w:val="single" w:sz="4" w:space="0" w:color="auto"/>
              <w:right w:val="single" w:sz="4" w:space="0" w:color="auto"/>
            </w:tcBorders>
            <w:shd w:val="clear" w:color="auto" w:fill="auto"/>
            <w:noWrap/>
            <w:vAlign w:val="bottom"/>
          </w:tcPr>
          <w:p w14:paraId="279E0CD3" w14:textId="77777777" w:rsidR="005057E8" w:rsidRPr="006F5953" w:rsidRDefault="005057E8" w:rsidP="002C48DD">
            <w:pPr>
              <w:jc w:val="right"/>
              <w:rPr>
                <w:rFonts w:cs="Arial"/>
                <w:b/>
                <w:bCs/>
                <w:color w:val="000000"/>
                <w:sz w:val="22"/>
                <w:szCs w:val="22"/>
                <w:lang w:eastAsia="en-GB"/>
              </w:rPr>
            </w:pPr>
          </w:p>
        </w:tc>
        <w:tc>
          <w:tcPr>
            <w:tcW w:w="1626" w:type="dxa"/>
            <w:tcBorders>
              <w:top w:val="nil"/>
              <w:left w:val="nil"/>
              <w:bottom w:val="single" w:sz="4" w:space="0" w:color="auto"/>
              <w:right w:val="single" w:sz="8" w:space="0" w:color="auto"/>
            </w:tcBorders>
            <w:shd w:val="clear" w:color="auto" w:fill="auto"/>
            <w:noWrap/>
            <w:vAlign w:val="bottom"/>
          </w:tcPr>
          <w:p w14:paraId="755EC02F" w14:textId="77777777" w:rsidR="005057E8" w:rsidRPr="006F5953" w:rsidRDefault="005057E8" w:rsidP="002C48DD">
            <w:pPr>
              <w:jc w:val="right"/>
              <w:rPr>
                <w:rFonts w:cs="Arial"/>
                <w:b/>
                <w:bCs/>
                <w:color w:val="000000"/>
                <w:sz w:val="22"/>
                <w:szCs w:val="22"/>
                <w:lang w:eastAsia="en-GB"/>
              </w:rPr>
            </w:pPr>
          </w:p>
        </w:tc>
      </w:tr>
      <w:tr w:rsidR="005057E8" w:rsidRPr="00685CA8" w14:paraId="37DB9610"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tcPr>
          <w:p w14:paraId="43A25182" w14:textId="77777777" w:rsidR="005057E8" w:rsidRPr="006F5953" w:rsidRDefault="005057E8" w:rsidP="002C48DD">
            <w:pPr>
              <w:rPr>
                <w:rFonts w:cs="Arial"/>
                <w:b/>
                <w:color w:val="000000"/>
                <w:sz w:val="22"/>
                <w:szCs w:val="22"/>
                <w:lang w:eastAsia="en-GB"/>
              </w:rPr>
            </w:pPr>
            <w:r w:rsidRPr="006F5953">
              <w:rPr>
                <w:rFonts w:cs="Arial"/>
                <w:b/>
                <w:color w:val="000000"/>
                <w:sz w:val="22"/>
                <w:szCs w:val="22"/>
                <w:lang w:eastAsia="en-GB"/>
              </w:rPr>
              <w:t>Costs</w:t>
            </w:r>
          </w:p>
        </w:tc>
        <w:tc>
          <w:tcPr>
            <w:tcW w:w="1743" w:type="dxa"/>
            <w:tcBorders>
              <w:top w:val="nil"/>
              <w:left w:val="nil"/>
              <w:bottom w:val="single" w:sz="4" w:space="0" w:color="auto"/>
              <w:right w:val="single" w:sz="4" w:space="0" w:color="auto"/>
            </w:tcBorders>
            <w:shd w:val="clear" w:color="auto" w:fill="auto"/>
            <w:noWrap/>
            <w:vAlign w:val="bottom"/>
          </w:tcPr>
          <w:p w14:paraId="451DCAFB" w14:textId="77777777" w:rsidR="005057E8" w:rsidRPr="006F5953" w:rsidRDefault="005057E8" w:rsidP="002C48DD">
            <w:pPr>
              <w:jc w:val="right"/>
              <w:rPr>
                <w:rFonts w:cs="Arial"/>
                <w:b/>
                <w:bCs/>
                <w:color w:val="000000"/>
                <w:sz w:val="22"/>
                <w:szCs w:val="22"/>
                <w:lang w:eastAsia="en-GB"/>
              </w:rPr>
            </w:pPr>
          </w:p>
        </w:tc>
        <w:tc>
          <w:tcPr>
            <w:tcW w:w="1626" w:type="dxa"/>
            <w:tcBorders>
              <w:top w:val="nil"/>
              <w:left w:val="nil"/>
              <w:bottom w:val="single" w:sz="4" w:space="0" w:color="auto"/>
              <w:right w:val="single" w:sz="4" w:space="0" w:color="auto"/>
            </w:tcBorders>
            <w:shd w:val="clear" w:color="auto" w:fill="auto"/>
            <w:noWrap/>
            <w:vAlign w:val="bottom"/>
          </w:tcPr>
          <w:p w14:paraId="2300E876" w14:textId="77777777" w:rsidR="005057E8" w:rsidRPr="006F5953" w:rsidRDefault="005057E8" w:rsidP="002C48DD">
            <w:pPr>
              <w:jc w:val="right"/>
              <w:rPr>
                <w:rFonts w:cs="Arial"/>
                <w:b/>
                <w:bCs/>
                <w:color w:val="000000"/>
                <w:sz w:val="22"/>
                <w:szCs w:val="22"/>
                <w:lang w:eastAsia="en-GB"/>
              </w:rPr>
            </w:pPr>
          </w:p>
        </w:tc>
        <w:tc>
          <w:tcPr>
            <w:tcW w:w="1626" w:type="dxa"/>
            <w:tcBorders>
              <w:top w:val="nil"/>
              <w:left w:val="nil"/>
              <w:bottom w:val="single" w:sz="4" w:space="0" w:color="auto"/>
              <w:right w:val="single" w:sz="8" w:space="0" w:color="auto"/>
            </w:tcBorders>
            <w:shd w:val="clear" w:color="auto" w:fill="auto"/>
            <w:noWrap/>
            <w:vAlign w:val="bottom"/>
          </w:tcPr>
          <w:p w14:paraId="74E2B235" w14:textId="77777777" w:rsidR="005057E8" w:rsidRPr="006F5953" w:rsidRDefault="005057E8" w:rsidP="002C48DD">
            <w:pPr>
              <w:jc w:val="right"/>
              <w:rPr>
                <w:rFonts w:cs="Arial"/>
                <w:b/>
                <w:bCs/>
                <w:color w:val="000000"/>
                <w:sz w:val="22"/>
                <w:szCs w:val="22"/>
                <w:lang w:eastAsia="en-GB"/>
              </w:rPr>
            </w:pPr>
          </w:p>
        </w:tc>
      </w:tr>
      <w:tr w:rsidR="005057E8" w:rsidRPr="00685CA8" w14:paraId="3EC5A635"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tcPr>
          <w:p w14:paraId="7E18B28F" w14:textId="77777777" w:rsidR="005057E8" w:rsidRPr="006F5953" w:rsidRDefault="005057E8" w:rsidP="002C48DD">
            <w:pPr>
              <w:rPr>
                <w:rFonts w:cs="Arial"/>
                <w:color w:val="000000"/>
                <w:sz w:val="22"/>
                <w:szCs w:val="22"/>
                <w:lang w:eastAsia="en-GB"/>
              </w:rPr>
            </w:pPr>
            <w:r w:rsidRPr="006F5953">
              <w:rPr>
                <w:rFonts w:cs="Arial"/>
                <w:color w:val="000000"/>
                <w:sz w:val="22"/>
                <w:szCs w:val="22"/>
                <w:lang w:eastAsia="en-GB"/>
              </w:rPr>
              <w:t>Transitional costs</w:t>
            </w:r>
          </w:p>
        </w:tc>
        <w:tc>
          <w:tcPr>
            <w:tcW w:w="1743" w:type="dxa"/>
            <w:tcBorders>
              <w:top w:val="nil"/>
              <w:left w:val="nil"/>
              <w:bottom w:val="single" w:sz="4" w:space="0" w:color="auto"/>
              <w:right w:val="single" w:sz="4" w:space="0" w:color="auto"/>
            </w:tcBorders>
            <w:shd w:val="clear" w:color="auto" w:fill="auto"/>
            <w:noWrap/>
            <w:vAlign w:val="bottom"/>
          </w:tcPr>
          <w:p w14:paraId="1487147C" w14:textId="6506CA33" w:rsidR="005057E8" w:rsidRPr="00DD6B87" w:rsidRDefault="00D131D2" w:rsidP="002C48DD">
            <w:pPr>
              <w:jc w:val="right"/>
              <w:rPr>
                <w:rFonts w:cs="Arial"/>
                <w:bCs/>
                <w:color w:val="000000"/>
                <w:sz w:val="22"/>
                <w:szCs w:val="22"/>
                <w:lang w:eastAsia="en-GB"/>
              </w:rPr>
            </w:pPr>
            <w:r>
              <w:rPr>
                <w:rFonts w:cs="Arial"/>
                <w:bCs/>
                <w:color w:val="000000"/>
                <w:sz w:val="22"/>
                <w:szCs w:val="22"/>
                <w:lang w:eastAsia="en-GB"/>
              </w:rPr>
              <w:t>£6,210</w:t>
            </w:r>
          </w:p>
        </w:tc>
        <w:tc>
          <w:tcPr>
            <w:tcW w:w="1626" w:type="dxa"/>
            <w:tcBorders>
              <w:top w:val="nil"/>
              <w:left w:val="nil"/>
              <w:bottom w:val="single" w:sz="4" w:space="0" w:color="auto"/>
              <w:right w:val="single" w:sz="4" w:space="0" w:color="auto"/>
            </w:tcBorders>
            <w:shd w:val="clear" w:color="auto" w:fill="auto"/>
            <w:noWrap/>
            <w:vAlign w:val="bottom"/>
          </w:tcPr>
          <w:p w14:paraId="1D298854" w14:textId="5087EDDA" w:rsidR="005057E8" w:rsidRPr="000B308F" w:rsidRDefault="00D131D2" w:rsidP="002C48DD">
            <w:pPr>
              <w:jc w:val="right"/>
              <w:rPr>
                <w:rFonts w:cs="Arial"/>
                <w:bCs/>
                <w:color w:val="000000"/>
                <w:sz w:val="22"/>
                <w:szCs w:val="22"/>
                <w:lang w:eastAsia="en-GB"/>
              </w:rPr>
            </w:pPr>
            <w:r>
              <w:rPr>
                <w:rFonts w:cs="Arial"/>
                <w:bCs/>
                <w:color w:val="000000"/>
                <w:sz w:val="22"/>
                <w:szCs w:val="22"/>
                <w:lang w:eastAsia="en-GB"/>
              </w:rPr>
              <w:t>£6,900</w:t>
            </w:r>
          </w:p>
        </w:tc>
        <w:tc>
          <w:tcPr>
            <w:tcW w:w="1626" w:type="dxa"/>
            <w:tcBorders>
              <w:top w:val="nil"/>
              <w:left w:val="nil"/>
              <w:bottom w:val="single" w:sz="4" w:space="0" w:color="auto"/>
              <w:right w:val="single" w:sz="8" w:space="0" w:color="auto"/>
            </w:tcBorders>
            <w:shd w:val="clear" w:color="auto" w:fill="auto"/>
            <w:noWrap/>
            <w:vAlign w:val="bottom"/>
          </w:tcPr>
          <w:p w14:paraId="5D5FC998" w14:textId="09BCB08C" w:rsidR="005057E8" w:rsidRPr="000B308F" w:rsidRDefault="00D131D2" w:rsidP="002C48DD">
            <w:pPr>
              <w:jc w:val="right"/>
              <w:rPr>
                <w:rFonts w:cs="Arial"/>
                <w:bCs/>
                <w:color w:val="000000"/>
                <w:sz w:val="22"/>
                <w:szCs w:val="22"/>
                <w:lang w:eastAsia="en-GB"/>
              </w:rPr>
            </w:pPr>
            <w:r>
              <w:rPr>
                <w:rFonts w:cs="Arial"/>
                <w:bCs/>
                <w:color w:val="000000"/>
                <w:sz w:val="22"/>
                <w:szCs w:val="22"/>
                <w:lang w:eastAsia="en-GB"/>
              </w:rPr>
              <w:t>£16,180</w:t>
            </w:r>
          </w:p>
        </w:tc>
      </w:tr>
      <w:tr w:rsidR="005057E8" w:rsidRPr="00685CA8" w14:paraId="5E483AB4"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tcPr>
          <w:p w14:paraId="3F861EDD" w14:textId="77777777" w:rsidR="005057E8" w:rsidRPr="006F5953" w:rsidRDefault="005057E8" w:rsidP="002C48DD">
            <w:pPr>
              <w:rPr>
                <w:rFonts w:cs="Arial"/>
                <w:color w:val="000000"/>
                <w:sz w:val="22"/>
                <w:szCs w:val="22"/>
                <w:lang w:eastAsia="en-GB"/>
              </w:rPr>
            </w:pPr>
            <w:r w:rsidRPr="006F5953">
              <w:rPr>
                <w:rFonts w:cs="Arial"/>
                <w:color w:val="000000"/>
                <w:sz w:val="22"/>
                <w:szCs w:val="22"/>
                <w:lang w:eastAsia="en-GB"/>
              </w:rPr>
              <w:t>On-going Costs</w:t>
            </w:r>
          </w:p>
        </w:tc>
        <w:tc>
          <w:tcPr>
            <w:tcW w:w="1743" w:type="dxa"/>
            <w:tcBorders>
              <w:top w:val="nil"/>
              <w:left w:val="nil"/>
              <w:bottom w:val="single" w:sz="4" w:space="0" w:color="auto"/>
              <w:right w:val="single" w:sz="4" w:space="0" w:color="auto"/>
            </w:tcBorders>
            <w:shd w:val="clear" w:color="auto" w:fill="auto"/>
            <w:noWrap/>
            <w:vAlign w:val="bottom"/>
          </w:tcPr>
          <w:p w14:paraId="175AD56F" w14:textId="77777777" w:rsidR="005057E8" w:rsidRPr="00DD6B87" w:rsidRDefault="005057E8" w:rsidP="002C48DD">
            <w:pPr>
              <w:jc w:val="right"/>
              <w:rPr>
                <w:rFonts w:cs="Arial"/>
                <w:bCs/>
                <w:color w:val="000000"/>
                <w:sz w:val="22"/>
                <w:szCs w:val="22"/>
                <w:lang w:eastAsia="en-GB"/>
              </w:rPr>
            </w:pPr>
            <w:r w:rsidRPr="00DD6B87">
              <w:rPr>
                <w:rFonts w:cs="Arial"/>
                <w:bCs/>
                <w:color w:val="000000"/>
                <w:sz w:val="22"/>
                <w:szCs w:val="22"/>
                <w:lang w:eastAsia="en-GB"/>
              </w:rPr>
              <w:t>0</w:t>
            </w:r>
          </w:p>
        </w:tc>
        <w:tc>
          <w:tcPr>
            <w:tcW w:w="1626" w:type="dxa"/>
            <w:tcBorders>
              <w:top w:val="nil"/>
              <w:left w:val="nil"/>
              <w:bottom w:val="single" w:sz="4" w:space="0" w:color="auto"/>
              <w:right w:val="single" w:sz="4" w:space="0" w:color="auto"/>
            </w:tcBorders>
            <w:shd w:val="clear" w:color="auto" w:fill="auto"/>
            <w:noWrap/>
            <w:vAlign w:val="bottom"/>
          </w:tcPr>
          <w:p w14:paraId="12BAD24D" w14:textId="77777777" w:rsidR="005057E8" w:rsidRPr="00DD6B87" w:rsidRDefault="005057E8" w:rsidP="002C48DD">
            <w:pPr>
              <w:jc w:val="right"/>
              <w:rPr>
                <w:rFonts w:cs="Arial"/>
                <w:bCs/>
                <w:color w:val="000000"/>
                <w:sz w:val="22"/>
                <w:szCs w:val="22"/>
                <w:lang w:eastAsia="en-GB"/>
              </w:rPr>
            </w:pPr>
            <w:r w:rsidRPr="00DD6B87">
              <w:rPr>
                <w:rFonts w:cs="Arial"/>
                <w:bCs/>
                <w:color w:val="000000"/>
                <w:sz w:val="22"/>
                <w:szCs w:val="22"/>
                <w:lang w:eastAsia="en-GB"/>
              </w:rPr>
              <w:t>0</w:t>
            </w:r>
          </w:p>
        </w:tc>
        <w:tc>
          <w:tcPr>
            <w:tcW w:w="1626" w:type="dxa"/>
            <w:tcBorders>
              <w:top w:val="nil"/>
              <w:left w:val="nil"/>
              <w:bottom w:val="single" w:sz="4" w:space="0" w:color="auto"/>
              <w:right w:val="single" w:sz="8" w:space="0" w:color="auto"/>
            </w:tcBorders>
            <w:shd w:val="clear" w:color="auto" w:fill="auto"/>
            <w:noWrap/>
            <w:vAlign w:val="bottom"/>
          </w:tcPr>
          <w:p w14:paraId="242298AF" w14:textId="77777777" w:rsidR="005057E8" w:rsidRPr="00DD6B87" w:rsidRDefault="005057E8" w:rsidP="002C48DD">
            <w:pPr>
              <w:jc w:val="right"/>
              <w:rPr>
                <w:rFonts w:cs="Arial"/>
                <w:bCs/>
                <w:color w:val="000000"/>
                <w:sz w:val="22"/>
                <w:szCs w:val="22"/>
                <w:lang w:eastAsia="en-GB"/>
              </w:rPr>
            </w:pPr>
            <w:r w:rsidRPr="00DD6B87">
              <w:rPr>
                <w:rFonts w:cs="Arial"/>
                <w:bCs/>
                <w:color w:val="000000"/>
                <w:sz w:val="22"/>
                <w:szCs w:val="22"/>
                <w:lang w:eastAsia="en-GB"/>
              </w:rPr>
              <w:t>0</w:t>
            </w:r>
          </w:p>
        </w:tc>
      </w:tr>
      <w:tr w:rsidR="00A2758A" w:rsidRPr="00685CA8" w14:paraId="58A36D01"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tcPr>
          <w:p w14:paraId="1400F006" w14:textId="77777777" w:rsidR="00A2758A" w:rsidRPr="006F5953" w:rsidRDefault="00A2758A" w:rsidP="002C48DD">
            <w:pPr>
              <w:rPr>
                <w:rFonts w:cs="Arial"/>
                <w:color w:val="000000"/>
                <w:sz w:val="22"/>
                <w:szCs w:val="22"/>
                <w:lang w:eastAsia="en-GB"/>
              </w:rPr>
            </w:pPr>
            <w:r>
              <w:rPr>
                <w:rFonts w:cs="Arial"/>
                <w:color w:val="000000"/>
                <w:sz w:val="22"/>
                <w:szCs w:val="22"/>
                <w:lang w:eastAsia="en-GB"/>
              </w:rPr>
              <w:t>New Appeal Tribunal</w:t>
            </w:r>
          </w:p>
        </w:tc>
        <w:tc>
          <w:tcPr>
            <w:tcW w:w="1743" w:type="dxa"/>
            <w:tcBorders>
              <w:top w:val="nil"/>
              <w:left w:val="nil"/>
              <w:bottom w:val="single" w:sz="4" w:space="0" w:color="auto"/>
              <w:right w:val="single" w:sz="4" w:space="0" w:color="auto"/>
            </w:tcBorders>
            <w:shd w:val="clear" w:color="auto" w:fill="auto"/>
            <w:noWrap/>
            <w:vAlign w:val="bottom"/>
          </w:tcPr>
          <w:p w14:paraId="0304C77D" w14:textId="4ECDFFCA" w:rsidR="00A2758A" w:rsidRPr="00DD6B87" w:rsidRDefault="00A2758A" w:rsidP="002C48DD">
            <w:pPr>
              <w:jc w:val="right"/>
              <w:rPr>
                <w:rFonts w:cs="Arial"/>
                <w:bCs/>
                <w:color w:val="000000"/>
                <w:sz w:val="22"/>
                <w:szCs w:val="22"/>
                <w:lang w:eastAsia="en-GB"/>
              </w:rPr>
            </w:pPr>
            <w:r>
              <w:rPr>
                <w:rFonts w:cs="Arial"/>
                <w:bCs/>
                <w:color w:val="000000"/>
                <w:sz w:val="22"/>
                <w:szCs w:val="22"/>
                <w:lang w:eastAsia="en-GB"/>
              </w:rPr>
              <w:t>£</w:t>
            </w:r>
            <w:r w:rsidR="006B1E8A">
              <w:rPr>
                <w:rFonts w:cs="Arial"/>
                <w:bCs/>
                <w:color w:val="000000"/>
                <w:sz w:val="22"/>
                <w:szCs w:val="22"/>
                <w:lang w:eastAsia="en-GB"/>
              </w:rPr>
              <w:t>2,05</w:t>
            </w:r>
            <w:r>
              <w:rPr>
                <w:rFonts w:cs="Arial"/>
                <w:bCs/>
                <w:color w:val="000000"/>
                <w:sz w:val="22"/>
                <w:szCs w:val="22"/>
                <w:lang w:eastAsia="en-GB"/>
              </w:rPr>
              <w:t>0</w:t>
            </w:r>
          </w:p>
        </w:tc>
        <w:tc>
          <w:tcPr>
            <w:tcW w:w="1626" w:type="dxa"/>
            <w:tcBorders>
              <w:top w:val="nil"/>
              <w:left w:val="nil"/>
              <w:bottom w:val="single" w:sz="4" w:space="0" w:color="auto"/>
              <w:right w:val="single" w:sz="4" w:space="0" w:color="auto"/>
            </w:tcBorders>
            <w:shd w:val="clear" w:color="auto" w:fill="auto"/>
            <w:noWrap/>
            <w:vAlign w:val="bottom"/>
          </w:tcPr>
          <w:p w14:paraId="6965A774" w14:textId="4FDAC00C" w:rsidR="00A2758A" w:rsidRPr="00DD6B87" w:rsidRDefault="00A2758A" w:rsidP="002C48DD">
            <w:pPr>
              <w:jc w:val="right"/>
              <w:rPr>
                <w:rFonts w:cs="Arial"/>
                <w:bCs/>
                <w:color w:val="000000"/>
                <w:sz w:val="22"/>
                <w:szCs w:val="22"/>
                <w:lang w:eastAsia="en-GB"/>
              </w:rPr>
            </w:pPr>
            <w:r>
              <w:rPr>
                <w:rFonts w:cs="Arial"/>
                <w:bCs/>
                <w:color w:val="000000"/>
                <w:sz w:val="22"/>
                <w:szCs w:val="22"/>
                <w:lang w:eastAsia="en-GB"/>
              </w:rPr>
              <w:t>£</w:t>
            </w:r>
            <w:r w:rsidR="00B21989">
              <w:rPr>
                <w:rFonts w:cs="Arial"/>
                <w:bCs/>
                <w:color w:val="000000"/>
                <w:sz w:val="22"/>
                <w:szCs w:val="22"/>
                <w:lang w:eastAsia="en-GB"/>
              </w:rPr>
              <w:t>4,9</w:t>
            </w:r>
            <w:r>
              <w:rPr>
                <w:rFonts w:cs="Arial"/>
                <w:bCs/>
                <w:color w:val="000000"/>
                <w:sz w:val="22"/>
                <w:szCs w:val="22"/>
                <w:lang w:eastAsia="en-GB"/>
              </w:rPr>
              <w:t>00</w:t>
            </w:r>
          </w:p>
        </w:tc>
        <w:tc>
          <w:tcPr>
            <w:tcW w:w="1626" w:type="dxa"/>
            <w:tcBorders>
              <w:top w:val="nil"/>
              <w:left w:val="nil"/>
              <w:bottom w:val="single" w:sz="4" w:space="0" w:color="auto"/>
              <w:right w:val="single" w:sz="8" w:space="0" w:color="auto"/>
            </w:tcBorders>
            <w:shd w:val="clear" w:color="auto" w:fill="auto"/>
            <w:noWrap/>
            <w:vAlign w:val="bottom"/>
          </w:tcPr>
          <w:p w14:paraId="7BD5EAF3" w14:textId="16067A22" w:rsidR="00A2758A" w:rsidRPr="00DD6B87" w:rsidRDefault="00A2758A" w:rsidP="002C48DD">
            <w:pPr>
              <w:jc w:val="right"/>
              <w:rPr>
                <w:rFonts w:cs="Arial"/>
                <w:bCs/>
                <w:color w:val="000000"/>
                <w:sz w:val="22"/>
                <w:szCs w:val="22"/>
                <w:lang w:eastAsia="en-GB"/>
              </w:rPr>
            </w:pPr>
            <w:r>
              <w:rPr>
                <w:rFonts w:cs="Arial"/>
                <w:bCs/>
                <w:color w:val="000000"/>
                <w:sz w:val="22"/>
                <w:szCs w:val="22"/>
                <w:lang w:eastAsia="en-GB"/>
              </w:rPr>
              <w:t>£</w:t>
            </w:r>
            <w:r w:rsidR="00B21989">
              <w:rPr>
                <w:rFonts w:cs="Arial"/>
                <w:bCs/>
                <w:color w:val="000000"/>
                <w:sz w:val="22"/>
                <w:szCs w:val="22"/>
                <w:lang w:eastAsia="en-GB"/>
              </w:rPr>
              <w:t>8,09</w:t>
            </w:r>
            <w:r>
              <w:rPr>
                <w:rFonts w:cs="Arial"/>
                <w:bCs/>
                <w:color w:val="000000"/>
                <w:sz w:val="22"/>
                <w:szCs w:val="22"/>
                <w:lang w:eastAsia="en-GB"/>
              </w:rPr>
              <w:t>0</w:t>
            </w:r>
          </w:p>
        </w:tc>
      </w:tr>
      <w:tr w:rsidR="005057E8" w:rsidRPr="00685CA8" w14:paraId="6EFC19D4"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tcPr>
          <w:p w14:paraId="10999B9A" w14:textId="77777777" w:rsidR="005057E8" w:rsidRPr="000B308F" w:rsidRDefault="004A0CCF" w:rsidP="002C48DD">
            <w:pPr>
              <w:rPr>
                <w:rFonts w:cs="Arial"/>
                <w:color w:val="000000"/>
                <w:sz w:val="22"/>
                <w:szCs w:val="22"/>
                <w:lang w:eastAsia="en-GB"/>
              </w:rPr>
            </w:pPr>
            <w:r w:rsidRPr="000B308F">
              <w:rPr>
                <w:rFonts w:cs="Arial"/>
                <w:color w:val="000000"/>
                <w:sz w:val="22"/>
                <w:szCs w:val="22"/>
                <w:lang w:eastAsia="en-GB"/>
              </w:rPr>
              <w:t xml:space="preserve">Inclusion of </w:t>
            </w:r>
            <w:r w:rsidR="00C25BE0">
              <w:rPr>
                <w:rFonts w:cs="Arial"/>
                <w:color w:val="000000"/>
                <w:sz w:val="22"/>
                <w:szCs w:val="22"/>
                <w:lang w:eastAsia="en-GB"/>
              </w:rPr>
              <w:t>Valuation Tribunal for Wales</w:t>
            </w:r>
          </w:p>
        </w:tc>
        <w:tc>
          <w:tcPr>
            <w:tcW w:w="1743" w:type="dxa"/>
            <w:tcBorders>
              <w:top w:val="nil"/>
              <w:left w:val="nil"/>
              <w:bottom w:val="single" w:sz="4" w:space="0" w:color="auto"/>
              <w:right w:val="single" w:sz="4" w:space="0" w:color="auto"/>
            </w:tcBorders>
            <w:shd w:val="clear" w:color="auto" w:fill="auto"/>
            <w:noWrap/>
            <w:vAlign w:val="bottom"/>
          </w:tcPr>
          <w:p w14:paraId="6FF32D6C" w14:textId="77777777" w:rsidR="005057E8" w:rsidRPr="000B308F" w:rsidRDefault="00FD1B35" w:rsidP="002C48DD">
            <w:pPr>
              <w:jc w:val="right"/>
              <w:rPr>
                <w:rFonts w:cs="Arial"/>
                <w:bCs/>
                <w:color w:val="000000"/>
                <w:sz w:val="22"/>
                <w:szCs w:val="22"/>
                <w:lang w:eastAsia="en-GB"/>
              </w:rPr>
            </w:pPr>
            <w:r w:rsidRPr="000B308F">
              <w:rPr>
                <w:rFonts w:cs="Arial"/>
                <w:bCs/>
                <w:color w:val="000000"/>
                <w:sz w:val="22"/>
                <w:szCs w:val="22"/>
                <w:lang w:eastAsia="en-GB"/>
              </w:rPr>
              <w:t>0</w:t>
            </w:r>
          </w:p>
        </w:tc>
        <w:tc>
          <w:tcPr>
            <w:tcW w:w="1626" w:type="dxa"/>
            <w:tcBorders>
              <w:top w:val="nil"/>
              <w:left w:val="nil"/>
              <w:bottom w:val="single" w:sz="4" w:space="0" w:color="auto"/>
              <w:right w:val="single" w:sz="4" w:space="0" w:color="auto"/>
            </w:tcBorders>
            <w:shd w:val="clear" w:color="auto" w:fill="auto"/>
            <w:noWrap/>
            <w:vAlign w:val="bottom"/>
          </w:tcPr>
          <w:p w14:paraId="5F227734" w14:textId="77777777" w:rsidR="005057E8" w:rsidRPr="000B308F" w:rsidRDefault="00FD1B35" w:rsidP="002C48DD">
            <w:pPr>
              <w:jc w:val="right"/>
              <w:rPr>
                <w:rFonts w:cs="Arial"/>
                <w:bCs/>
                <w:color w:val="000000"/>
                <w:sz w:val="22"/>
                <w:szCs w:val="22"/>
                <w:lang w:eastAsia="en-GB"/>
              </w:rPr>
            </w:pPr>
            <w:r w:rsidRPr="000B308F">
              <w:rPr>
                <w:rFonts w:cs="Arial"/>
                <w:bCs/>
                <w:color w:val="000000"/>
                <w:sz w:val="22"/>
                <w:szCs w:val="22"/>
                <w:lang w:eastAsia="en-GB"/>
              </w:rPr>
              <w:t>£</w:t>
            </w:r>
            <w:r w:rsidR="00670EC7">
              <w:rPr>
                <w:rFonts w:cs="Arial"/>
                <w:bCs/>
                <w:color w:val="000000"/>
                <w:sz w:val="22"/>
                <w:szCs w:val="22"/>
                <w:lang w:eastAsia="en-GB"/>
              </w:rPr>
              <w:t>77,6</w:t>
            </w:r>
            <w:r w:rsidR="003C2D3D" w:rsidRPr="000B308F">
              <w:rPr>
                <w:rFonts w:cs="Arial"/>
                <w:bCs/>
                <w:color w:val="000000"/>
                <w:sz w:val="22"/>
                <w:szCs w:val="22"/>
                <w:lang w:eastAsia="en-GB"/>
              </w:rPr>
              <w:t>00</w:t>
            </w:r>
          </w:p>
        </w:tc>
        <w:tc>
          <w:tcPr>
            <w:tcW w:w="1626" w:type="dxa"/>
            <w:tcBorders>
              <w:top w:val="nil"/>
              <w:left w:val="nil"/>
              <w:bottom w:val="single" w:sz="4" w:space="0" w:color="auto"/>
              <w:right w:val="single" w:sz="8" w:space="0" w:color="auto"/>
            </w:tcBorders>
            <w:shd w:val="clear" w:color="auto" w:fill="auto"/>
            <w:noWrap/>
            <w:vAlign w:val="bottom"/>
          </w:tcPr>
          <w:p w14:paraId="4843E02E" w14:textId="77777777" w:rsidR="005057E8" w:rsidRPr="000B308F" w:rsidRDefault="00FD1B35" w:rsidP="002C48DD">
            <w:pPr>
              <w:jc w:val="right"/>
              <w:rPr>
                <w:rFonts w:cs="Arial"/>
                <w:bCs/>
                <w:color w:val="000000"/>
                <w:sz w:val="22"/>
                <w:szCs w:val="22"/>
                <w:lang w:eastAsia="en-GB"/>
              </w:rPr>
            </w:pPr>
            <w:r w:rsidRPr="000B308F">
              <w:rPr>
                <w:rFonts w:cs="Arial"/>
                <w:bCs/>
                <w:color w:val="000000"/>
                <w:sz w:val="22"/>
                <w:szCs w:val="22"/>
                <w:lang w:eastAsia="en-GB"/>
              </w:rPr>
              <w:t>£</w:t>
            </w:r>
            <w:r w:rsidR="003C2D3D" w:rsidRPr="000B308F">
              <w:rPr>
                <w:rFonts w:cs="Arial"/>
                <w:bCs/>
                <w:color w:val="000000"/>
                <w:sz w:val="22"/>
                <w:szCs w:val="22"/>
                <w:lang w:eastAsia="en-GB"/>
              </w:rPr>
              <w:t>1</w:t>
            </w:r>
            <w:r w:rsidR="00670EC7">
              <w:rPr>
                <w:rFonts w:cs="Arial"/>
                <w:bCs/>
                <w:color w:val="000000"/>
                <w:sz w:val="22"/>
                <w:szCs w:val="22"/>
                <w:lang w:eastAsia="en-GB"/>
              </w:rPr>
              <w:t>83,1</w:t>
            </w:r>
            <w:r w:rsidR="003C2D3D" w:rsidRPr="000B308F">
              <w:rPr>
                <w:rFonts w:cs="Arial"/>
                <w:bCs/>
                <w:color w:val="000000"/>
                <w:sz w:val="22"/>
                <w:szCs w:val="22"/>
                <w:lang w:eastAsia="en-GB"/>
              </w:rPr>
              <w:t>00</w:t>
            </w:r>
          </w:p>
        </w:tc>
      </w:tr>
      <w:tr w:rsidR="00447E6B" w:rsidRPr="00685CA8" w14:paraId="062BA2B7"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tcPr>
          <w:p w14:paraId="5877C10A" w14:textId="26CD9100" w:rsidR="00447E6B" w:rsidRPr="004A0CCF" w:rsidRDefault="00447E6B" w:rsidP="002C48DD">
            <w:pPr>
              <w:rPr>
                <w:rFonts w:cs="Arial"/>
                <w:color w:val="000000"/>
                <w:sz w:val="22"/>
                <w:szCs w:val="22"/>
                <w:lang w:eastAsia="en-GB"/>
              </w:rPr>
            </w:pPr>
            <w:r>
              <w:rPr>
                <w:rFonts w:cs="Arial"/>
                <w:color w:val="000000"/>
                <w:sz w:val="22"/>
                <w:szCs w:val="22"/>
                <w:lang w:eastAsia="en-GB"/>
              </w:rPr>
              <w:t xml:space="preserve">Increased </w:t>
            </w:r>
            <w:r w:rsidR="000B7779">
              <w:rPr>
                <w:rFonts w:cs="Arial"/>
                <w:color w:val="000000"/>
                <w:sz w:val="22"/>
                <w:szCs w:val="22"/>
                <w:lang w:eastAsia="en-GB"/>
              </w:rPr>
              <w:t>ETW</w:t>
            </w:r>
            <w:r>
              <w:rPr>
                <w:rFonts w:cs="Arial"/>
                <w:color w:val="000000"/>
                <w:sz w:val="22"/>
                <w:szCs w:val="22"/>
                <w:lang w:eastAsia="en-GB"/>
              </w:rPr>
              <w:t xml:space="preserve"> costs following inclusion of School Exclusion</w:t>
            </w:r>
            <w:r w:rsidR="00402C3D">
              <w:rPr>
                <w:rFonts w:cs="Arial"/>
                <w:color w:val="000000"/>
                <w:sz w:val="22"/>
                <w:szCs w:val="22"/>
                <w:lang w:eastAsia="en-GB"/>
              </w:rPr>
              <w:t xml:space="preserve"> Appeal Panels and Onward Appeals from </w:t>
            </w:r>
            <w:r w:rsidR="00C62915">
              <w:rPr>
                <w:rFonts w:cs="Arial"/>
                <w:color w:val="000000"/>
                <w:sz w:val="22"/>
                <w:szCs w:val="22"/>
                <w:lang w:eastAsia="en-GB"/>
              </w:rPr>
              <w:t>Admission</w:t>
            </w:r>
            <w:r>
              <w:rPr>
                <w:rFonts w:cs="Arial"/>
                <w:color w:val="000000"/>
                <w:sz w:val="22"/>
                <w:szCs w:val="22"/>
                <w:lang w:eastAsia="en-GB"/>
              </w:rPr>
              <w:t xml:space="preserve"> Panel</w:t>
            </w:r>
            <w:r w:rsidR="00A2758A">
              <w:rPr>
                <w:rFonts w:cs="Arial"/>
                <w:color w:val="000000"/>
                <w:sz w:val="22"/>
                <w:szCs w:val="22"/>
                <w:lang w:eastAsia="en-GB"/>
              </w:rPr>
              <w:t>s</w:t>
            </w:r>
          </w:p>
        </w:tc>
        <w:tc>
          <w:tcPr>
            <w:tcW w:w="1743" w:type="dxa"/>
            <w:tcBorders>
              <w:top w:val="nil"/>
              <w:left w:val="nil"/>
              <w:bottom w:val="single" w:sz="4" w:space="0" w:color="auto"/>
              <w:right w:val="single" w:sz="4" w:space="0" w:color="auto"/>
            </w:tcBorders>
            <w:shd w:val="clear" w:color="auto" w:fill="auto"/>
            <w:noWrap/>
            <w:vAlign w:val="bottom"/>
          </w:tcPr>
          <w:p w14:paraId="0535938C" w14:textId="77777777" w:rsidR="00447E6B" w:rsidRPr="000B308F" w:rsidRDefault="00447E6B" w:rsidP="002C48DD">
            <w:pPr>
              <w:jc w:val="right"/>
              <w:rPr>
                <w:rFonts w:cs="Arial"/>
                <w:bCs/>
                <w:color w:val="000000"/>
                <w:sz w:val="22"/>
                <w:szCs w:val="22"/>
                <w:lang w:eastAsia="en-GB"/>
              </w:rPr>
            </w:pPr>
            <w:r w:rsidRPr="000B308F">
              <w:rPr>
                <w:rFonts w:cs="Arial"/>
                <w:bCs/>
                <w:color w:val="000000"/>
                <w:sz w:val="22"/>
                <w:szCs w:val="22"/>
                <w:lang w:eastAsia="en-GB"/>
              </w:rPr>
              <w:t>£</w:t>
            </w:r>
            <w:r w:rsidR="00A2758A">
              <w:rPr>
                <w:rFonts w:cs="Arial"/>
                <w:bCs/>
                <w:color w:val="000000"/>
                <w:sz w:val="22"/>
                <w:szCs w:val="22"/>
                <w:lang w:eastAsia="en-GB"/>
              </w:rPr>
              <w:t>171,400</w:t>
            </w:r>
          </w:p>
        </w:tc>
        <w:tc>
          <w:tcPr>
            <w:tcW w:w="1626" w:type="dxa"/>
            <w:tcBorders>
              <w:top w:val="nil"/>
              <w:left w:val="nil"/>
              <w:bottom w:val="single" w:sz="4" w:space="0" w:color="auto"/>
              <w:right w:val="single" w:sz="4" w:space="0" w:color="auto"/>
            </w:tcBorders>
            <w:shd w:val="clear" w:color="auto" w:fill="auto"/>
            <w:noWrap/>
            <w:vAlign w:val="bottom"/>
          </w:tcPr>
          <w:p w14:paraId="736A1F73" w14:textId="77777777" w:rsidR="00447E6B" w:rsidRPr="000B308F" w:rsidRDefault="00447E6B" w:rsidP="002C48DD">
            <w:pPr>
              <w:jc w:val="right"/>
              <w:rPr>
                <w:rFonts w:cs="Arial"/>
                <w:bCs/>
                <w:color w:val="000000"/>
                <w:sz w:val="22"/>
                <w:szCs w:val="22"/>
                <w:lang w:eastAsia="en-GB"/>
              </w:rPr>
            </w:pPr>
            <w:r w:rsidRPr="000B308F">
              <w:rPr>
                <w:rFonts w:cs="Arial"/>
                <w:bCs/>
                <w:color w:val="000000"/>
                <w:sz w:val="22"/>
                <w:szCs w:val="22"/>
                <w:lang w:eastAsia="en-GB"/>
              </w:rPr>
              <w:t>£</w:t>
            </w:r>
            <w:r w:rsidR="00A2758A">
              <w:rPr>
                <w:rFonts w:cs="Arial"/>
                <w:bCs/>
                <w:color w:val="000000"/>
                <w:sz w:val="22"/>
                <w:szCs w:val="22"/>
                <w:lang w:eastAsia="en-GB"/>
              </w:rPr>
              <w:t>193,2</w:t>
            </w:r>
            <w:r w:rsidRPr="000B308F">
              <w:rPr>
                <w:rFonts w:cs="Arial"/>
                <w:bCs/>
                <w:color w:val="000000"/>
                <w:sz w:val="22"/>
                <w:szCs w:val="22"/>
                <w:lang w:eastAsia="en-GB"/>
              </w:rPr>
              <w:t>00</w:t>
            </w:r>
          </w:p>
        </w:tc>
        <w:tc>
          <w:tcPr>
            <w:tcW w:w="1626" w:type="dxa"/>
            <w:tcBorders>
              <w:top w:val="nil"/>
              <w:left w:val="nil"/>
              <w:bottom w:val="single" w:sz="4" w:space="0" w:color="auto"/>
              <w:right w:val="single" w:sz="8" w:space="0" w:color="auto"/>
            </w:tcBorders>
            <w:shd w:val="clear" w:color="auto" w:fill="auto"/>
            <w:noWrap/>
            <w:vAlign w:val="bottom"/>
          </w:tcPr>
          <w:p w14:paraId="49456474" w14:textId="77777777" w:rsidR="00447E6B" w:rsidRPr="000B308F" w:rsidRDefault="00447E6B" w:rsidP="002C48DD">
            <w:pPr>
              <w:jc w:val="right"/>
              <w:rPr>
                <w:rFonts w:cs="Arial"/>
                <w:bCs/>
                <w:color w:val="000000"/>
                <w:sz w:val="22"/>
                <w:szCs w:val="22"/>
                <w:lang w:eastAsia="en-GB"/>
              </w:rPr>
            </w:pPr>
            <w:r w:rsidRPr="000B308F">
              <w:rPr>
                <w:rFonts w:cs="Arial"/>
                <w:bCs/>
                <w:color w:val="000000"/>
                <w:sz w:val="22"/>
                <w:szCs w:val="22"/>
                <w:lang w:eastAsia="en-GB"/>
              </w:rPr>
              <w:t>£</w:t>
            </w:r>
            <w:r w:rsidR="00A2758A">
              <w:rPr>
                <w:rFonts w:cs="Arial"/>
                <w:bCs/>
                <w:color w:val="000000"/>
                <w:sz w:val="22"/>
                <w:szCs w:val="22"/>
                <w:lang w:eastAsia="en-GB"/>
              </w:rPr>
              <w:t>214,90</w:t>
            </w:r>
            <w:r w:rsidRPr="000B308F">
              <w:rPr>
                <w:rFonts w:cs="Arial"/>
                <w:bCs/>
                <w:color w:val="000000"/>
                <w:sz w:val="22"/>
                <w:szCs w:val="22"/>
                <w:lang w:eastAsia="en-GB"/>
              </w:rPr>
              <w:t>0</w:t>
            </w:r>
          </w:p>
        </w:tc>
      </w:tr>
      <w:tr w:rsidR="00447E6B" w:rsidRPr="00685CA8" w14:paraId="5CE3EAFC"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tcPr>
          <w:p w14:paraId="530E0186" w14:textId="503FEEB2" w:rsidR="00447E6B" w:rsidRPr="000B308F" w:rsidRDefault="00447E6B" w:rsidP="002C48DD">
            <w:pPr>
              <w:rPr>
                <w:rFonts w:cs="Arial"/>
                <w:b/>
                <w:color w:val="000000"/>
                <w:sz w:val="22"/>
                <w:szCs w:val="22"/>
                <w:lang w:eastAsia="en-GB"/>
              </w:rPr>
            </w:pPr>
            <w:r w:rsidRPr="000B308F">
              <w:rPr>
                <w:rFonts w:cs="Arial"/>
                <w:b/>
                <w:color w:val="000000"/>
                <w:sz w:val="22"/>
                <w:szCs w:val="22"/>
                <w:lang w:eastAsia="en-GB"/>
              </w:rPr>
              <w:t>Total</w:t>
            </w:r>
            <w:r w:rsidR="00EC0C48">
              <w:rPr>
                <w:rFonts w:cs="Arial"/>
                <w:b/>
                <w:color w:val="000000"/>
                <w:sz w:val="22"/>
                <w:szCs w:val="22"/>
                <w:lang w:eastAsia="en-GB"/>
              </w:rPr>
              <w:t xml:space="preserve"> annual </w:t>
            </w:r>
            <w:r w:rsidRPr="000B308F">
              <w:rPr>
                <w:rFonts w:cs="Arial"/>
                <w:b/>
                <w:color w:val="000000"/>
                <w:sz w:val="22"/>
                <w:szCs w:val="22"/>
                <w:lang w:eastAsia="en-GB"/>
              </w:rPr>
              <w:t>costs</w:t>
            </w:r>
            <w:r w:rsidR="00D82239">
              <w:rPr>
                <w:rStyle w:val="FootnoteReference"/>
                <w:b/>
                <w:color w:val="000000"/>
                <w:szCs w:val="22"/>
                <w:lang w:eastAsia="en-GB"/>
              </w:rPr>
              <w:footnoteReference w:id="51"/>
            </w:r>
          </w:p>
        </w:tc>
        <w:tc>
          <w:tcPr>
            <w:tcW w:w="1743" w:type="dxa"/>
            <w:tcBorders>
              <w:top w:val="nil"/>
              <w:left w:val="nil"/>
              <w:bottom w:val="single" w:sz="4" w:space="0" w:color="auto"/>
              <w:right w:val="single" w:sz="4" w:space="0" w:color="auto"/>
            </w:tcBorders>
            <w:shd w:val="clear" w:color="auto" w:fill="auto"/>
            <w:noWrap/>
            <w:vAlign w:val="bottom"/>
          </w:tcPr>
          <w:p w14:paraId="5B5D509D" w14:textId="51796888" w:rsidR="00447E6B" w:rsidRDefault="00447E6B" w:rsidP="002C48DD">
            <w:pPr>
              <w:jc w:val="right"/>
              <w:rPr>
                <w:rFonts w:cs="Arial"/>
                <w:b/>
                <w:bCs/>
                <w:color w:val="000000"/>
                <w:sz w:val="22"/>
                <w:szCs w:val="22"/>
                <w:lang w:eastAsia="en-GB"/>
              </w:rPr>
            </w:pPr>
            <w:r>
              <w:rPr>
                <w:rFonts w:cs="Arial"/>
                <w:b/>
                <w:bCs/>
                <w:color w:val="000000"/>
                <w:sz w:val="22"/>
                <w:szCs w:val="22"/>
                <w:lang w:eastAsia="en-GB"/>
              </w:rPr>
              <w:t>£</w:t>
            </w:r>
            <w:r w:rsidR="00A2758A">
              <w:rPr>
                <w:rFonts w:cs="Arial"/>
                <w:b/>
                <w:bCs/>
                <w:color w:val="000000"/>
                <w:sz w:val="22"/>
                <w:szCs w:val="22"/>
                <w:lang w:eastAsia="en-GB"/>
              </w:rPr>
              <w:t>17</w:t>
            </w:r>
            <w:r w:rsidR="00B21989">
              <w:rPr>
                <w:rFonts w:cs="Arial"/>
                <w:b/>
                <w:bCs/>
                <w:color w:val="000000"/>
                <w:sz w:val="22"/>
                <w:szCs w:val="22"/>
                <w:lang w:eastAsia="en-GB"/>
              </w:rPr>
              <w:t>3,4</w:t>
            </w:r>
            <w:r w:rsidR="008722B8">
              <w:rPr>
                <w:rFonts w:cs="Arial"/>
                <w:b/>
                <w:bCs/>
                <w:color w:val="000000"/>
                <w:sz w:val="22"/>
                <w:szCs w:val="22"/>
                <w:lang w:eastAsia="en-GB"/>
              </w:rPr>
              <w:t>5</w:t>
            </w:r>
            <w:r w:rsidR="006F0B3D">
              <w:rPr>
                <w:rFonts w:cs="Arial"/>
                <w:b/>
                <w:bCs/>
                <w:color w:val="000000"/>
                <w:sz w:val="22"/>
                <w:szCs w:val="22"/>
                <w:lang w:eastAsia="en-GB"/>
              </w:rPr>
              <w:t>0</w:t>
            </w:r>
          </w:p>
        </w:tc>
        <w:tc>
          <w:tcPr>
            <w:tcW w:w="1626" w:type="dxa"/>
            <w:tcBorders>
              <w:top w:val="nil"/>
              <w:left w:val="nil"/>
              <w:bottom w:val="single" w:sz="4" w:space="0" w:color="auto"/>
              <w:right w:val="single" w:sz="4" w:space="0" w:color="auto"/>
            </w:tcBorders>
            <w:shd w:val="clear" w:color="auto" w:fill="auto"/>
            <w:noWrap/>
            <w:vAlign w:val="bottom"/>
          </w:tcPr>
          <w:p w14:paraId="25EA7632" w14:textId="18418B56" w:rsidR="00447E6B" w:rsidRDefault="003C2D3D" w:rsidP="002C48DD">
            <w:pPr>
              <w:jc w:val="right"/>
              <w:rPr>
                <w:rFonts w:cs="Arial"/>
                <w:b/>
                <w:bCs/>
                <w:color w:val="000000"/>
                <w:sz w:val="22"/>
                <w:szCs w:val="22"/>
                <w:lang w:eastAsia="en-GB"/>
              </w:rPr>
            </w:pPr>
            <w:r>
              <w:rPr>
                <w:rFonts w:cs="Arial"/>
                <w:b/>
                <w:bCs/>
                <w:color w:val="000000"/>
                <w:sz w:val="22"/>
                <w:szCs w:val="22"/>
                <w:lang w:eastAsia="en-GB"/>
              </w:rPr>
              <w:t>£</w:t>
            </w:r>
            <w:r w:rsidR="00A2758A">
              <w:rPr>
                <w:rFonts w:cs="Arial"/>
                <w:b/>
                <w:bCs/>
                <w:color w:val="000000"/>
                <w:sz w:val="22"/>
                <w:szCs w:val="22"/>
                <w:lang w:eastAsia="en-GB"/>
              </w:rPr>
              <w:t>27</w:t>
            </w:r>
            <w:r w:rsidR="00B21989">
              <w:rPr>
                <w:rFonts w:cs="Arial"/>
                <w:b/>
                <w:bCs/>
                <w:color w:val="000000"/>
                <w:sz w:val="22"/>
                <w:szCs w:val="22"/>
                <w:lang w:eastAsia="en-GB"/>
              </w:rPr>
              <w:t>5,7</w:t>
            </w:r>
            <w:r w:rsidR="008F6416">
              <w:rPr>
                <w:rFonts w:cs="Arial"/>
                <w:b/>
                <w:bCs/>
                <w:color w:val="000000"/>
                <w:sz w:val="22"/>
                <w:szCs w:val="22"/>
                <w:lang w:eastAsia="en-GB"/>
              </w:rPr>
              <w:t>0</w:t>
            </w:r>
            <w:r>
              <w:rPr>
                <w:rFonts w:cs="Arial"/>
                <w:b/>
                <w:bCs/>
                <w:color w:val="000000"/>
                <w:sz w:val="22"/>
                <w:szCs w:val="22"/>
                <w:lang w:eastAsia="en-GB"/>
              </w:rPr>
              <w:t>0</w:t>
            </w:r>
          </w:p>
        </w:tc>
        <w:tc>
          <w:tcPr>
            <w:tcW w:w="1626" w:type="dxa"/>
            <w:tcBorders>
              <w:top w:val="nil"/>
              <w:left w:val="nil"/>
              <w:bottom w:val="single" w:sz="4" w:space="0" w:color="auto"/>
              <w:right w:val="single" w:sz="8" w:space="0" w:color="auto"/>
            </w:tcBorders>
            <w:shd w:val="clear" w:color="auto" w:fill="auto"/>
            <w:noWrap/>
            <w:vAlign w:val="bottom"/>
          </w:tcPr>
          <w:p w14:paraId="2EC529DE" w14:textId="64C9FA22" w:rsidR="00447E6B" w:rsidRDefault="003C2D3D" w:rsidP="002C48DD">
            <w:pPr>
              <w:jc w:val="right"/>
              <w:rPr>
                <w:rFonts w:cs="Arial"/>
                <w:b/>
                <w:bCs/>
                <w:color w:val="000000"/>
                <w:sz w:val="22"/>
                <w:szCs w:val="22"/>
                <w:lang w:eastAsia="en-GB"/>
              </w:rPr>
            </w:pPr>
            <w:r>
              <w:rPr>
                <w:rFonts w:cs="Arial"/>
                <w:b/>
                <w:bCs/>
                <w:color w:val="000000"/>
                <w:sz w:val="22"/>
                <w:szCs w:val="22"/>
                <w:lang w:eastAsia="en-GB"/>
              </w:rPr>
              <w:t>£</w:t>
            </w:r>
            <w:r w:rsidR="00E831D7">
              <w:rPr>
                <w:rFonts w:cs="Arial"/>
                <w:b/>
                <w:bCs/>
                <w:color w:val="000000"/>
                <w:sz w:val="22"/>
                <w:szCs w:val="22"/>
                <w:lang w:eastAsia="en-GB"/>
              </w:rPr>
              <w:t>40</w:t>
            </w:r>
            <w:r w:rsidR="00B21989">
              <w:rPr>
                <w:rFonts w:cs="Arial"/>
                <w:b/>
                <w:bCs/>
                <w:color w:val="000000"/>
                <w:sz w:val="22"/>
                <w:szCs w:val="22"/>
                <w:lang w:eastAsia="en-GB"/>
              </w:rPr>
              <w:t>6,09</w:t>
            </w:r>
            <w:r>
              <w:rPr>
                <w:rFonts w:cs="Arial"/>
                <w:b/>
                <w:bCs/>
                <w:color w:val="000000"/>
                <w:sz w:val="22"/>
                <w:szCs w:val="22"/>
                <w:lang w:eastAsia="en-GB"/>
              </w:rPr>
              <w:t>0</w:t>
            </w:r>
          </w:p>
        </w:tc>
      </w:tr>
      <w:tr w:rsidR="005057E8" w:rsidRPr="00685CA8" w14:paraId="70598552"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tcPr>
          <w:p w14:paraId="2EBAAE5F" w14:textId="77777777" w:rsidR="005057E8" w:rsidRPr="006F5953" w:rsidRDefault="005057E8" w:rsidP="002C48DD">
            <w:pPr>
              <w:rPr>
                <w:rFonts w:cs="Arial"/>
                <w:b/>
                <w:color w:val="000000"/>
                <w:sz w:val="22"/>
                <w:szCs w:val="22"/>
                <w:lang w:eastAsia="en-GB"/>
              </w:rPr>
            </w:pPr>
            <w:r w:rsidRPr="006F5953">
              <w:rPr>
                <w:rFonts w:cs="Arial"/>
                <w:b/>
                <w:color w:val="000000"/>
                <w:sz w:val="22"/>
                <w:szCs w:val="22"/>
                <w:lang w:eastAsia="en-GB"/>
              </w:rPr>
              <w:t>Benefits</w:t>
            </w:r>
          </w:p>
        </w:tc>
        <w:tc>
          <w:tcPr>
            <w:tcW w:w="1743" w:type="dxa"/>
            <w:tcBorders>
              <w:top w:val="nil"/>
              <w:left w:val="nil"/>
              <w:bottom w:val="single" w:sz="4" w:space="0" w:color="auto"/>
              <w:right w:val="single" w:sz="4" w:space="0" w:color="auto"/>
            </w:tcBorders>
            <w:shd w:val="clear" w:color="auto" w:fill="auto"/>
            <w:noWrap/>
            <w:vAlign w:val="bottom"/>
          </w:tcPr>
          <w:p w14:paraId="4AC050C5" w14:textId="77777777" w:rsidR="005057E8" w:rsidRPr="006F5953" w:rsidRDefault="005057E8" w:rsidP="002C48DD">
            <w:pPr>
              <w:jc w:val="right"/>
              <w:rPr>
                <w:rFonts w:cs="Arial"/>
                <w:b/>
                <w:bCs/>
                <w:color w:val="000000"/>
                <w:sz w:val="22"/>
                <w:szCs w:val="22"/>
                <w:lang w:eastAsia="en-GB"/>
              </w:rPr>
            </w:pPr>
          </w:p>
        </w:tc>
        <w:tc>
          <w:tcPr>
            <w:tcW w:w="1626" w:type="dxa"/>
            <w:tcBorders>
              <w:top w:val="nil"/>
              <w:left w:val="nil"/>
              <w:bottom w:val="single" w:sz="4" w:space="0" w:color="auto"/>
              <w:right w:val="single" w:sz="4" w:space="0" w:color="auto"/>
            </w:tcBorders>
            <w:shd w:val="clear" w:color="auto" w:fill="auto"/>
            <w:noWrap/>
            <w:vAlign w:val="bottom"/>
          </w:tcPr>
          <w:p w14:paraId="4EE782BD" w14:textId="77777777" w:rsidR="005057E8" w:rsidRPr="006F5953" w:rsidRDefault="005057E8" w:rsidP="002C48DD">
            <w:pPr>
              <w:jc w:val="right"/>
              <w:rPr>
                <w:rFonts w:cs="Arial"/>
                <w:b/>
                <w:bCs/>
                <w:color w:val="000000"/>
                <w:sz w:val="22"/>
                <w:szCs w:val="22"/>
                <w:lang w:eastAsia="en-GB"/>
              </w:rPr>
            </w:pPr>
          </w:p>
        </w:tc>
        <w:tc>
          <w:tcPr>
            <w:tcW w:w="1626" w:type="dxa"/>
            <w:tcBorders>
              <w:top w:val="nil"/>
              <w:left w:val="nil"/>
              <w:bottom w:val="single" w:sz="4" w:space="0" w:color="auto"/>
              <w:right w:val="single" w:sz="8" w:space="0" w:color="auto"/>
            </w:tcBorders>
            <w:shd w:val="clear" w:color="auto" w:fill="auto"/>
            <w:noWrap/>
            <w:vAlign w:val="bottom"/>
          </w:tcPr>
          <w:p w14:paraId="228F5917" w14:textId="77777777" w:rsidR="005057E8" w:rsidRPr="006F5953" w:rsidRDefault="005057E8" w:rsidP="002C48DD">
            <w:pPr>
              <w:jc w:val="right"/>
              <w:rPr>
                <w:rFonts w:cs="Arial"/>
                <w:b/>
                <w:bCs/>
                <w:color w:val="000000"/>
                <w:sz w:val="22"/>
                <w:szCs w:val="22"/>
                <w:lang w:eastAsia="en-GB"/>
              </w:rPr>
            </w:pPr>
          </w:p>
        </w:tc>
      </w:tr>
      <w:tr w:rsidR="005057E8" w:rsidRPr="00685CA8" w14:paraId="46B24F94"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tcPr>
          <w:p w14:paraId="355C7CF2" w14:textId="77777777" w:rsidR="005057E8" w:rsidRPr="006F5953" w:rsidRDefault="005057E8" w:rsidP="002C48DD">
            <w:pPr>
              <w:rPr>
                <w:rFonts w:cs="Arial"/>
                <w:color w:val="000000"/>
                <w:sz w:val="22"/>
                <w:szCs w:val="22"/>
                <w:lang w:eastAsia="en-GB"/>
              </w:rPr>
            </w:pPr>
            <w:r w:rsidRPr="006F5953">
              <w:rPr>
                <w:rFonts w:cs="Arial"/>
                <w:color w:val="000000"/>
                <w:sz w:val="22"/>
                <w:szCs w:val="22"/>
                <w:lang w:eastAsia="en-GB"/>
              </w:rPr>
              <w:t>Transitional benefits</w:t>
            </w:r>
          </w:p>
        </w:tc>
        <w:tc>
          <w:tcPr>
            <w:tcW w:w="1743" w:type="dxa"/>
            <w:tcBorders>
              <w:top w:val="nil"/>
              <w:left w:val="nil"/>
              <w:bottom w:val="single" w:sz="4" w:space="0" w:color="auto"/>
              <w:right w:val="single" w:sz="4" w:space="0" w:color="auto"/>
            </w:tcBorders>
            <w:shd w:val="clear" w:color="auto" w:fill="auto"/>
            <w:noWrap/>
            <w:vAlign w:val="bottom"/>
          </w:tcPr>
          <w:p w14:paraId="383227F5" w14:textId="77777777" w:rsidR="005057E8" w:rsidRPr="006F5953" w:rsidRDefault="005057E8" w:rsidP="002C48DD">
            <w:pPr>
              <w:jc w:val="right"/>
              <w:rPr>
                <w:rFonts w:cs="Arial"/>
                <w:bCs/>
                <w:color w:val="000000"/>
                <w:sz w:val="22"/>
                <w:szCs w:val="22"/>
                <w:lang w:eastAsia="en-GB"/>
              </w:rPr>
            </w:pPr>
            <w:r w:rsidRPr="006F5953">
              <w:rPr>
                <w:rFonts w:cs="Arial"/>
                <w:bCs/>
                <w:color w:val="000000"/>
                <w:sz w:val="22"/>
                <w:szCs w:val="22"/>
                <w:lang w:eastAsia="en-GB"/>
              </w:rPr>
              <w:t>0</w:t>
            </w:r>
          </w:p>
        </w:tc>
        <w:tc>
          <w:tcPr>
            <w:tcW w:w="1626" w:type="dxa"/>
            <w:tcBorders>
              <w:top w:val="nil"/>
              <w:left w:val="nil"/>
              <w:bottom w:val="single" w:sz="4" w:space="0" w:color="auto"/>
              <w:right w:val="single" w:sz="4" w:space="0" w:color="auto"/>
            </w:tcBorders>
            <w:shd w:val="clear" w:color="auto" w:fill="auto"/>
            <w:noWrap/>
            <w:vAlign w:val="bottom"/>
          </w:tcPr>
          <w:p w14:paraId="7733A5E3" w14:textId="77777777" w:rsidR="005057E8" w:rsidRPr="006F5953" w:rsidRDefault="005057E8" w:rsidP="002C48DD">
            <w:pPr>
              <w:jc w:val="right"/>
              <w:rPr>
                <w:rFonts w:cs="Arial"/>
                <w:bCs/>
                <w:color w:val="000000"/>
                <w:sz w:val="22"/>
                <w:szCs w:val="22"/>
                <w:lang w:eastAsia="en-GB"/>
              </w:rPr>
            </w:pPr>
            <w:r w:rsidRPr="006F5953">
              <w:rPr>
                <w:rFonts w:cs="Arial"/>
                <w:bCs/>
                <w:color w:val="000000"/>
                <w:sz w:val="22"/>
                <w:szCs w:val="22"/>
                <w:lang w:eastAsia="en-GB"/>
              </w:rPr>
              <w:t>0</w:t>
            </w:r>
          </w:p>
        </w:tc>
        <w:tc>
          <w:tcPr>
            <w:tcW w:w="1626" w:type="dxa"/>
            <w:tcBorders>
              <w:top w:val="nil"/>
              <w:left w:val="nil"/>
              <w:bottom w:val="single" w:sz="4" w:space="0" w:color="auto"/>
              <w:right w:val="single" w:sz="8" w:space="0" w:color="auto"/>
            </w:tcBorders>
            <w:shd w:val="clear" w:color="auto" w:fill="auto"/>
            <w:noWrap/>
            <w:vAlign w:val="bottom"/>
          </w:tcPr>
          <w:p w14:paraId="136FE509" w14:textId="77777777" w:rsidR="005057E8" w:rsidRPr="006F5953" w:rsidRDefault="005057E8" w:rsidP="002C48DD">
            <w:pPr>
              <w:jc w:val="right"/>
              <w:rPr>
                <w:rFonts w:cs="Arial"/>
                <w:bCs/>
                <w:color w:val="000000"/>
                <w:sz w:val="22"/>
                <w:szCs w:val="22"/>
                <w:lang w:eastAsia="en-GB"/>
              </w:rPr>
            </w:pPr>
            <w:r w:rsidRPr="006F5953">
              <w:rPr>
                <w:rFonts w:cs="Arial"/>
                <w:bCs/>
                <w:color w:val="000000"/>
                <w:sz w:val="22"/>
                <w:szCs w:val="22"/>
                <w:lang w:eastAsia="en-GB"/>
              </w:rPr>
              <w:t>0</w:t>
            </w:r>
          </w:p>
        </w:tc>
      </w:tr>
      <w:tr w:rsidR="005057E8" w:rsidRPr="00685CA8" w14:paraId="7B9B968F"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tcPr>
          <w:p w14:paraId="41A3BB47" w14:textId="77777777" w:rsidR="005057E8" w:rsidRPr="006F5953" w:rsidRDefault="005057E8" w:rsidP="002C48DD">
            <w:pPr>
              <w:rPr>
                <w:rFonts w:cs="Arial"/>
                <w:color w:val="000000"/>
                <w:sz w:val="22"/>
                <w:szCs w:val="22"/>
                <w:lang w:eastAsia="en-GB"/>
              </w:rPr>
            </w:pPr>
            <w:r w:rsidRPr="006F5953">
              <w:rPr>
                <w:rFonts w:cs="Arial"/>
                <w:color w:val="000000"/>
                <w:sz w:val="22"/>
                <w:szCs w:val="22"/>
                <w:lang w:eastAsia="en-GB"/>
              </w:rPr>
              <w:t>On-going benefits</w:t>
            </w:r>
          </w:p>
        </w:tc>
        <w:tc>
          <w:tcPr>
            <w:tcW w:w="1743" w:type="dxa"/>
            <w:tcBorders>
              <w:top w:val="nil"/>
              <w:left w:val="nil"/>
              <w:bottom w:val="single" w:sz="4" w:space="0" w:color="auto"/>
              <w:right w:val="single" w:sz="4" w:space="0" w:color="auto"/>
            </w:tcBorders>
            <w:shd w:val="clear" w:color="auto" w:fill="auto"/>
            <w:noWrap/>
            <w:vAlign w:val="bottom"/>
          </w:tcPr>
          <w:p w14:paraId="41547CD1" w14:textId="77777777" w:rsidR="005057E8" w:rsidRPr="006F5953" w:rsidRDefault="005057E8" w:rsidP="002C48DD">
            <w:pPr>
              <w:jc w:val="right"/>
              <w:rPr>
                <w:rFonts w:cs="Arial"/>
                <w:bCs/>
                <w:color w:val="000000"/>
                <w:sz w:val="22"/>
                <w:szCs w:val="22"/>
                <w:lang w:eastAsia="en-GB"/>
              </w:rPr>
            </w:pPr>
          </w:p>
        </w:tc>
        <w:tc>
          <w:tcPr>
            <w:tcW w:w="1626" w:type="dxa"/>
            <w:tcBorders>
              <w:top w:val="nil"/>
              <w:left w:val="nil"/>
              <w:bottom w:val="single" w:sz="4" w:space="0" w:color="auto"/>
              <w:right w:val="single" w:sz="4" w:space="0" w:color="auto"/>
            </w:tcBorders>
            <w:shd w:val="clear" w:color="auto" w:fill="auto"/>
            <w:noWrap/>
            <w:vAlign w:val="bottom"/>
          </w:tcPr>
          <w:p w14:paraId="61453896" w14:textId="77777777" w:rsidR="005057E8" w:rsidRPr="006F5953" w:rsidRDefault="005057E8" w:rsidP="002C48DD">
            <w:pPr>
              <w:jc w:val="right"/>
              <w:rPr>
                <w:rFonts w:cs="Arial"/>
                <w:bCs/>
                <w:color w:val="000000"/>
                <w:sz w:val="22"/>
                <w:szCs w:val="22"/>
                <w:lang w:eastAsia="en-GB"/>
              </w:rPr>
            </w:pPr>
          </w:p>
        </w:tc>
        <w:tc>
          <w:tcPr>
            <w:tcW w:w="1626" w:type="dxa"/>
            <w:tcBorders>
              <w:top w:val="nil"/>
              <w:left w:val="nil"/>
              <w:bottom w:val="single" w:sz="4" w:space="0" w:color="auto"/>
              <w:right w:val="single" w:sz="8" w:space="0" w:color="auto"/>
            </w:tcBorders>
            <w:shd w:val="clear" w:color="auto" w:fill="auto"/>
            <w:noWrap/>
            <w:vAlign w:val="bottom"/>
          </w:tcPr>
          <w:p w14:paraId="3798CA74" w14:textId="77777777" w:rsidR="005057E8" w:rsidRPr="006F5953" w:rsidRDefault="005057E8" w:rsidP="002C48DD">
            <w:pPr>
              <w:jc w:val="right"/>
              <w:rPr>
                <w:rFonts w:cs="Arial"/>
                <w:bCs/>
                <w:color w:val="000000"/>
                <w:sz w:val="22"/>
                <w:szCs w:val="22"/>
                <w:lang w:eastAsia="en-GB"/>
              </w:rPr>
            </w:pPr>
          </w:p>
        </w:tc>
      </w:tr>
      <w:tr w:rsidR="005057E8" w:rsidRPr="00685CA8" w14:paraId="33CBFAD8"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hideMark/>
          </w:tcPr>
          <w:p w14:paraId="1AEBE4A9" w14:textId="77777777" w:rsidR="005057E8" w:rsidRPr="006F5953" w:rsidRDefault="004A0CCF" w:rsidP="002C48DD">
            <w:pPr>
              <w:rPr>
                <w:rFonts w:cs="Arial"/>
                <w:color w:val="000000"/>
                <w:sz w:val="22"/>
                <w:szCs w:val="22"/>
                <w:lang w:eastAsia="en-GB"/>
              </w:rPr>
            </w:pPr>
            <w:r>
              <w:rPr>
                <w:rFonts w:cs="Arial"/>
                <w:color w:val="000000"/>
                <w:sz w:val="22"/>
                <w:szCs w:val="22"/>
                <w:lang w:eastAsia="en-GB"/>
              </w:rPr>
              <w:t>Savings from avoiding Tribunal set-up costs</w:t>
            </w:r>
            <w:r w:rsidR="005057E8" w:rsidRPr="006F5953">
              <w:rPr>
                <w:rFonts w:cs="Arial"/>
                <w:color w:val="000000"/>
                <w:sz w:val="22"/>
                <w:szCs w:val="22"/>
                <w:lang w:eastAsia="en-GB"/>
              </w:rPr>
              <w:t xml:space="preserve"> </w:t>
            </w:r>
          </w:p>
        </w:tc>
        <w:tc>
          <w:tcPr>
            <w:tcW w:w="1743" w:type="dxa"/>
            <w:tcBorders>
              <w:top w:val="nil"/>
              <w:left w:val="nil"/>
              <w:bottom w:val="single" w:sz="4" w:space="0" w:color="auto"/>
              <w:right w:val="single" w:sz="4" w:space="0" w:color="auto"/>
            </w:tcBorders>
            <w:shd w:val="clear" w:color="auto" w:fill="auto"/>
            <w:noWrap/>
            <w:vAlign w:val="bottom"/>
          </w:tcPr>
          <w:p w14:paraId="66AFF2D8" w14:textId="77777777" w:rsidR="005057E8" w:rsidRPr="006F5953" w:rsidRDefault="00FD1B35" w:rsidP="002C48DD">
            <w:pPr>
              <w:jc w:val="right"/>
              <w:rPr>
                <w:rFonts w:cs="Arial"/>
                <w:bCs/>
                <w:color w:val="000000"/>
                <w:sz w:val="22"/>
                <w:szCs w:val="22"/>
                <w:lang w:eastAsia="en-GB"/>
              </w:rPr>
            </w:pPr>
            <w:r>
              <w:rPr>
                <w:rFonts w:cs="Arial"/>
                <w:bCs/>
                <w:color w:val="000000"/>
                <w:sz w:val="22"/>
                <w:szCs w:val="22"/>
                <w:lang w:eastAsia="en-GB"/>
              </w:rPr>
              <w:t>£</w:t>
            </w:r>
            <w:r w:rsidR="00447E6B">
              <w:rPr>
                <w:rFonts w:cs="Arial"/>
                <w:bCs/>
                <w:color w:val="000000"/>
                <w:sz w:val="22"/>
                <w:szCs w:val="22"/>
                <w:lang w:eastAsia="en-GB"/>
              </w:rPr>
              <w:t>4,180</w:t>
            </w:r>
          </w:p>
        </w:tc>
        <w:tc>
          <w:tcPr>
            <w:tcW w:w="1626" w:type="dxa"/>
            <w:tcBorders>
              <w:top w:val="nil"/>
              <w:left w:val="nil"/>
              <w:bottom w:val="single" w:sz="4" w:space="0" w:color="auto"/>
              <w:right w:val="single" w:sz="4" w:space="0" w:color="auto"/>
            </w:tcBorders>
            <w:shd w:val="clear" w:color="auto" w:fill="auto"/>
            <w:noWrap/>
            <w:vAlign w:val="bottom"/>
          </w:tcPr>
          <w:p w14:paraId="0704454E" w14:textId="77777777" w:rsidR="005057E8" w:rsidRPr="006F5953" w:rsidRDefault="00FD1B35" w:rsidP="002C48DD">
            <w:pPr>
              <w:jc w:val="right"/>
              <w:rPr>
                <w:rFonts w:cs="Arial"/>
                <w:bCs/>
                <w:color w:val="000000"/>
                <w:sz w:val="22"/>
                <w:szCs w:val="22"/>
                <w:lang w:eastAsia="en-GB"/>
              </w:rPr>
            </w:pPr>
            <w:r>
              <w:rPr>
                <w:rFonts w:cs="Arial"/>
                <w:bCs/>
                <w:color w:val="000000"/>
                <w:sz w:val="22"/>
                <w:szCs w:val="22"/>
                <w:lang w:eastAsia="en-GB"/>
              </w:rPr>
              <w:t>£</w:t>
            </w:r>
            <w:r w:rsidR="00447E6B">
              <w:rPr>
                <w:rFonts w:cs="Arial"/>
                <w:bCs/>
                <w:color w:val="000000"/>
                <w:sz w:val="22"/>
                <w:szCs w:val="22"/>
                <w:lang w:eastAsia="en-GB"/>
              </w:rPr>
              <w:t>10,</w:t>
            </w:r>
            <w:r w:rsidR="00DD6B87">
              <w:rPr>
                <w:rFonts w:cs="Arial"/>
                <w:bCs/>
                <w:color w:val="000000"/>
                <w:sz w:val="22"/>
                <w:szCs w:val="22"/>
                <w:lang w:eastAsia="en-GB"/>
              </w:rPr>
              <w:t>02</w:t>
            </w:r>
            <w:r>
              <w:rPr>
                <w:rFonts w:cs="Arial"/>
                <w:bCs/>
                <w:color w:val="000000"/>
                <w:sz w:val="22"/>
                <w:szCs w:val="22"/>
                <w:lang w:eastAsia="en-GB"/>
              </w:rPr>
              <w:t>0</w:t>
            </w:r>
          </w:p>
        </w:tc>
        <w:tc>
          <w:tcPr>
            <w:tcW w:w="1626" w:type="dxa"/>
            <w:tcBorders>
              <w:top w:val="nil"/>
              <w:left w:val="nil"/>
              <w:bottom w:val="single" w:sz="4" w:space="0" w:color="auto"/>
              <w:right w:val="single" w:sz="8" w:space="0" w:color="auto"/>
            </w:tcBorders>
            <w:shd w:val="clear" w:color="auto" w:fill="auto"/>
            <w:noWrap/>
            <w:vAlign w:val="bottom"/>
          </w:tcPr>
          <w:p w14:paraId="49E365FA" w14:textId="77777777" w:rsidR="005057E8" w:rsidRPr="006F5953" w:rsidRDefault="00FD1B35" w:rsidP="002C48DD">
            <w:pPr>
              <w:jc w:val="right"/>
              <w:rPr>
                <w:rFonts w:cs="Arial"/>
                <w:bCs/>
                <w:color w:val="000000"/>
                <w:sz w:val="22"/>
                <w:szCs w:val="22"/>
                <w:lang w:eastAsia="en-GB"/>
              </w:rPr>
            </w:pPr>
            <w:r>
              <w:rPr>
                <w:rFonts w:cs="Arial"/>
                <w:bCs/>
                <w:color w:val="000000"/>
                <w:sz w:val="22"/>
                <w:szCs w:val="22"/>
                <w:lang w:eastAsia="en-GB"/>
              </w:rPr>
              <w:t>£</w:t>
            </w:r>
            <w:r w:rsidR="00447E6B">
              <w:rPr>
                <w:rFonts w:cs="Arial"/>
                <w:bCs/>
                <w:color w:val="000000"/>
                <w:sz w:val="22"/>
                <w:szCs w:val="22"/>
                <w:lang w:eastAsia="en-GB"/>
              </w:rPr>
              <w:t>16,28</w:t>
            </w:r>
            <w:r>
              <w:rPr>
                <w:rFonts w:cs="Arial"/>
                <w:bCs/>
                <w:color w:val="000000"/>
                <w:sz w:val="22"/>
                <w:szCs w:val="22"/>
                <w:lang w:eastAsia="en-GB"/>
              </w:rPr>
              <w:t>0</w:t>
            </w:r>
          </w:p>
        </w:tc>
      </w:tr>
      <w:tr w:rsidR="005057E8" w:rsidRPr="00685CA8" w14:paraId="6FF8B1D8" w14:textId="77777777" w:rsidTr="00A2758A">
        <w:trPr>
          <w:trHeight w:val="300"/>
        </w:trPr>
        <w:tc>
          <w:tcPr>
            <w:tcW w:w="4633" w:type="dxa"/>
            <w:tcBorders>
              <w:top w:val="nil"/>
              <w:left w:val="single" w:sz="8" w:space="0" w:color="auto"/>
              <w:bottom w:val="single" w:sz="4" w:space="0" w:color="auto"/>
              <w:right w:val="single" w:sz="4" w:space="0" w:color="auto"/>
            </w:tcBorders>
            <w:shd w:val="clear" w:color="auto" w:fill="auto"/>
            <w:vAlign w:val="bottom"/>
            <w:hideMark/>
          </w:tcPr>
          <w:p w14:paraId="3362EDD6" w14:textId="77777777" w:rsidR="005057E8" w:rsidRPr="006F5953" w:rsidRDefault="005057E8" w:rsidP="002C48DD">
            <w:pPr>
              <w:rPr>
                <w:rFonts w:cs="Arial"/>
                <w:color w:val="000000"/>
                <w:sz w:val="22"/>
                <w:szCs w:val="22"/>
                <w:lang w:eastAsia="en-GB"/>
              </w:rPr>
            </w:pPr>
            <w:r w:rsidRPr="006F5953">
              <w:rPr>
                <w:rFonts w:cs="Arial"/>
                <w:color w:val="000000"/>
                <w:sz w:val="22"/>
                <w:szCs w:val="22"/>
                <w:lang w:eastAsia="en-GB"/>
              </w:rPr>
              <w:t xml:space="preserve">Savings </w:t>
            </w:r>
            <w:r w:rsidR="004A0CCF">
              <w:rPr>
                <w:rFonts w:cs="Arial"/>
                <w:color w:val="000000"/>
                <w:sz w:val="22"/>
                <w:szCs w:val="22"/>
                <w:lang w:eastAsia="en-GB"/>
              </w:rPr>
              <w:t>from reduced admin support of Sch. Exclusion panel</w:t>
            </w:r>
          </w:p>
        </w:tc>
        <w:tc>
          <w:tcPr>
            <w:tcW w:w="1743" w:type="dxa"/>
            <w:tcBorders>
              <w:top w:val="nil"/>
              <w:left w:val="nil"/>
              <w:bottom w:val="single" w:sz="4" w:space="0" w:color="auto"/>
              <w:right w:val="single" w:sz="4" w:space="0" w:color="auto"/>
            </w:tcBorders>
            <w:shd w:val="clear" w:color="auto" w:fill="auto"/>
            <w:noWrap/>
            <w:vAlign w:val="bottom"/>
          </w:tcPr>
          <w:p w14:paraId="754AFB83" w14:textId="77777777" w:rsidR="005057E8" w:rsidRPr="006F5953" w:rsidRDefault="004A0CCF" w:rsidP="002C48DD">
            <w:pPr>
              <w:jc w:val="right"/>
              <w:rPr>
                <w:rFonts w:cs="Arial"/>
                <w:bCs/>
                <w:color w:val="000000"/>
                <w:sz w:val="22"/>
                <w:szCs w:val="22"/>
                <w:lang w:eastAsia="en-GB"/>
              </w:rPr>
            </w:pPr>
            <w:r>
              <w:rPr>
                <w:rFonts w:cs="Arial"/>
                <w:bCs/>
                <w:color w:val="000000"/>
                <w:sz w:val="22"/>
                <w:szCs w:val="22"/>
                <w:lang w:eastAsia="en-GB"/>
              </w:rPr>
              <w:t>£</w:t>
            </w:r>
            <w:r w:rsidR="00FC6D39">
              <w:rPr>
                <w:rFonts w:cs="Arial"/>
                <w:bCs/>
                <w:color w:val="000000"/>
                <w:sz w:val="22"/>
                <w:szCs w:val="22"/>
                <w:lang w:eastAsia="en-GB"/>
              </w:rPr>
              <w:t>2,500</w:t>
            </w:r>
          </w:p>
        </w:tc>
        <w:tc>
          <w:tcPr>
            <w:tcW w:w="1626" w:type="dxa"/>
            <w:tcBorders>
              <w:top w:val="nil"/>
              <w:left w:val="nil"/>
              <w:bottom w:val="single" w:sz="4" w:space="0" w:color="auto"/>
              <w:right w:val="single" w:sz="4" w:space="0" w:color="auto"/>
            </w:tcBorders>
            <w:shd w:val="clear" w:color="auto" w:fill="auto"/>
            <w:noWrap/>
            <w:vAlign w:val="bottom"/>
          </w:tcPr>
          <w:p w14:paraId="589FC973" w14:textId="77777777" w:rsidR="005057E8" w:rsidRPr="006F5953" w:rsidRDefault="004A0CCF" w:rsidP="002C48DD">
            <w:pPr>
              <w:jc w:val="right"/>
              <w:rPr>
                <w:rFonts w:cs="Arial"/>
                <w:bCs/>
                <w:color w:val="000000"/>
                <w:sz w:val="22"/>
                <w:szCs w:val="22"/>
                <w:lang w:eastAsia="en-GB"/>
              </w:rPr>
            </w:pPr>
            <w:r>
              <w:rPr>
                <w:rFonts w:cs="Arial"/>
                <w:bCs/>
                <w:color w:val="000000"/>
                <w:sz w:val="22"/>
                <w:szCs w:val="22"/>
                <w:lang w:eastAsia="en-GB"/>
              </w:rPr>
              <w:t>£</w:t>
            </w:r>
            <w:r w:rsidR="00FC6D39">
              <w:rPr>
                <w:rFonts w:cs="Arial"/>
                <w:bCs/>
                <w:color w:val="000000"/>
                <w:sz w:val="22"/>
                <w:szCs w:val="22"/>
                <w:lang w:eastAsia="en-GB"/>
              </w:rPr>
              <w:t>6,600</w:t>
            </w:r>
          </w:p>
        </w:tc>
        <w:tc>
          <w:tcPr>
            <w:tcW w:w="1626" w:type="dxa"/>
            <w:tcBorders>
              <w:top w:val="nil"/>
              <w:left w:val="nil"/>
              <w:bottom w:val="single" w:sz="4" w:space="0" w:color="auto"/>
              <w:right w:val="single" w:sz="8" w:space="0" w:color="auto"/>
            </w:tcBorders>
            <w:shd w:val="clear" w:color="auto" w:fill="auto"/>
            <w:noWrap/>
            <w:vAlign w:val="bottom"/>
          </w:tcPr>
          <w:p w14:paraId="05001A2C" w14:textId="77777777" w:rsidR="005057E8" w:rsidRPr="006F5953" w:rsidRDefault="004A0CCF" w:rsidP="002C48DD">
            <w:pPr>
              <w:jc w:val="right"/>
              <w:rPr>
                <w:rFonts w:cs="Arial"/>
                <w:bCs/>
                <w:color w:val="000000"/>
                <w:sz w:val="22"/>
                <w:szCs w:val="22"/>
                <w:lang w:eastAsia="en-GB"/>
              </w:rPr>
            </w:pPr>
            <w:r>
              <w:rPr>
                <w:rFonts w:cs="Arial"/>
                <w:bCs/>
                <w:color w:val="000000"/>
                <w:sz w:val="22"/>
                <w:szCs w:val="22"/>
                <w:lang w:eastAsia="en-GB"/>
              </w:rPr>
              <w:t>£</w:t>
            </w:r>
            <w:r w:rsidR="00FC6D39">
              <w:rPr>
                <w:rFonts w:cs="Arial"/>
                <w:bCs/>
                <w:color w:val="000000"/>
                <w:sz w:val="22"/>
                <w:szCs w:val="22"/>
                <w:lang w:eastAsia="en-GB"/>
              </w:rPr>
              <w:t>13,050</w:t>
            </w:r>
          </w:p>
        </w:tc>
      </w:tr>
      <w:tr w:rsidR="005057E8" w:rsidRPr="00685CA8" w14:paraId="1B5BD0F4"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2CB9D96" w14:textId="77777777" w:rsidR="005057E8" w:rsidRPr="006F5953" w:rsidRDefault="005057E8" w:rsidP="002C48DD">
            <w:pPr>
              <w:rPr>
                <w:rFonts w:cs="Arial"/>
                <w:b/>
                <w:bCs/>
                <w:color w:val="000000"/>
                <w:sz w:val="22"/>
                <w:szCs w:val="22"/>
                <w:lang w:eastAsia="en-GB"/>
              </w:rPr>
            </w:pPr>
            <w:r w:rsidRPr="006F5953">
              <w:rPr>
                <w:rFonts w:cs="Arial"/>
                <w:b/>
                <w:bCs/>
                <w:color w:val="000000"/>
                <w:sz w:val="22"/>
                <w:szCs w:val="22"/>
                <w:lang w:eastAsia="en-GB"/>
              </w:rPr>
              <w:t xml:space="preserve">Total </w:t>
            </w:r>
            <w:r w:rsidR="00EC0C48">
              <w:rPr>
                <w:rFonts w:cs="Arial"/>
                <w:b/>
                <w:bCs/>
                <w:color w:val="000000"/>
                <w:sz w:val="22"/>
                <w:szCs w:val="22"/>
                <w:lang w:eastAsia="en-GB"/>
              </w:rPr>
              <w:t xml:space="preserve">annual </w:t>
            </w:r>
            <w:r w:rsidRPr="006F5953">
              <w:rPr>
                <w:rFonts w:cs="Arial"/>
                <w:b/>
                <w:bCs/>
                <w:color w:val="000000"/>
                <w:sz w:val="22"/>
                <w:szCs w:val="22"/>
                <w:lang w:eastAsia="en-GB"/>
              </w:rPr>
              <w:t>savings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48694F8B" w14:textId="77777777" w:rsidR="005057E8" w:rsidRPr="006F5953" w:rsidRDefault="00FC6D39" w:rsidP="002C48DD">
            <w:pPr>
              <w:jc w:val="right"/>
              <w:rPr>
                <w:rFonts w:cs="Arial"/>
                <w:b/>
                <w:bCs/>
                <w:color w:val="000000"/>
                <w:sz w:val="22"/>
                <w:szCs w:val="22"/>
                <w:lang w:eastAsia="en-GB"/>
              </w:rPr>
            </w:pPr>
            <w:r>
              <w:rPr>
                <w:rFonts w:cs="Arial"/>
                <w:b/>
                <w:bCs/>
                <w:color w:val="000000"/>
                <w:sz w:val="22"/>
                <w:szCs w:val="22"/>
                <w:lang w:eastAsia="en-GB"/>
              </w:rPr>
              <w:t>£6,680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0B1D6F5A" w14:textId="77777777" w:rsidR="005057E8" w:rsidRPr="006F5953" w:rsidRDefault="00FC6D39" w:rsidP="002C48DD">
            <w:pPr>
              <w:jc w:val="right"/>
              <w:rPr>
                <w:rFonts w:cs="Arial"/>
                <w:b/>
                <w:bCs/>
                <w:color w:val="000000"/>
                <w:sz w:val="22"/>
                <w:szCs w:val="22"/>
                <w:lang w:eastAsia="en-GB"/>
              </w:rPr>
            </w:pPr>
            <w:r>
              <w:rPr>
                <w:rFonts w:cs="Arial"/>
                <w:b/>
                <w:bCs/>
                <w:color w:val="000000"/>
                <w:sz w:val="22"/>
                <w:szCs w:val="22"/>
                <w:lang w:eastAsia="en-GB"/>
              </w:rPr>
              <w:t>£16,620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034579BC" w14:textId="77777777" w:rsidR="005057E8" w:rsidRPr="006F5953" w:rsidRDefault="00FC6D39" w:rsidP="002C48DD">
            <w:pPr>
              <w:jc w:val="right"/>
              <w:rPr>
                <w:rFonts w:cs="Arial"/>
                <w:b/>
                <w:bCs/>
                <w:color w:val="000000"/>
                <w:sz w:val="22"/>
                <w:szCs w:val="22"/>
                <w:lang w:eastAsia="en-GB"/>
              </w:rPr>
            </w:pPr>
            <w:r>
              <w:rPr>
                <w:rFonts w:cs="Arial"/>
                <w:b/>
                <w:bCs/>
                <w:color w:val="000000"/>
                <w:sz w:val="22"/>
                <w:szCs w:val="22"/>
                <w:lang w:eastAsia="en-GB"/>
              </w:rPr>
              <w:t>£28,330</w:t>
            </w:r>
          </w:p>
        </w:tc>
      </w:tr>
      <w:tr w:rsidR="005057E8" w:rsidRPr="00685CA8" w14:paraId="0E5A3255"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2C6BE833" w14:textId="597EB7C9" w:rsidR="005057E8" w:rsidRPr="006F5953" w:rsidRDefault="000D3DE0" w:rsidP="002C48DD">
            <w:pPr>
              <w:rPr>
                <w:rFonts w:cs="Arial"/>
                <w:b/>
                <w:color w:val="000000"/>
                <w:sz w:val="22"/>
                <w:szCs w:val="22"/>
                <w:lang w:eastAsia="en-GB"/>
              </w:rPr>
            </w:pPr>
            <w:r>
              <w:rPr>
                <w:rFonts w:cs="Arial"/>
                <w:b/>
                <w:color w:val="000000"/>
                <w:sz w:val="22"/>
                <w:szCs w:val="22"/>
                <w:lang w:eastAsia="en-GB"/>
              </w:rPr>
              <w:t xml:space="preserve">Net Present </w:t>
            </w:r>
            <w:r w:rsidR="00D82239">
              <w:rPr>
                <w:rFonts w:cs="Arial"/>
                <w:b/>
                <w:color w:val="000000"/>
                <w:sz w:val="22"/>
                <w:szCs w:val="22"/>
                <w:lang w:eastAsia="en-GB"/>
              </w:rPr>
              <w:t xml:space="preserve">Social </w:t>
            </w:r>
            <w:r>
              <w:rPr>
                <w:rFonts w:cs="Arial"/>
                <w:b/>
                <w:color w:val="000000"/>
                <w:sz w:val="22"/>
                <w:szCs w:val="22"/>
                <w:lang w:eastAsia="en-GB"/>
              </w:rPr>
              <w:t>Value</w:t>
            </w:r>
            <w:r w:rsidR="00392C2B">
              <w:rPr>
                <w:rFonts w:cs="Arial"/>
                <w:b/>
                <w:color w:val="000000"/>
                <w:sz w:val="22"/>
                <w:szCs w:val="22"/>
                <w:lang w:eastAsia="en-GB"/>
              </w:rPr>
              <w:t xml:space="preserve"> [in million £s]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42B7C8EA" w14:textId="63BFFA09" w:rsidR="005057E8" w:rsidRPr="006F5953" w:rsidRDefault="00392C2B" w:rsidP="002C48DD">
            <w:pPr>
              <w:jc w:val="right"/>
              <w:rPr>
                <w:rFonts w:cs="Arial"/>
                <w:b/>
                <w:bCs/>
                <w:color w:val="000000"/>
                <w:sz w:val="22"/>
                <w:szCs w:val="22"/>
                <w:lang w:eastAsia="en-GB"/>
              </w:rPr>
            </w:pPr>
            <w:r>
              <w:rPr>
                <w:rFonts w:cs="Arial"/>
                <w:b/>
                <w:bCs/>
                <w:color w:val="000000"/>
                <w:sz w:val="22"/>
                <w:szCs w:val="22"/>
                <w:lang w:eastAsia="en-GB"/>
              </w:rPr>
              <w:t>-£</w:t>
            </w:r>
            <w:r w:rsidR="00E831D7">
              <w:rPr>
                <w:rFonts w:cs="Arial"/>
                <w:b/>
                <w:bCs/>
                <w:color w:val="000000"/>
                <w:sz w:val="22"/>
                <w:szCs w:val="22"/>
                <w:lang w:eastAsia="en-GB"/>
              </w:rPr>
              <w:t>1.</w:t>
            </w:r>
            <w:r w:rsidR="006F0B3D">
              <w:rPr>
                <w:rFonts w:cs="Arial"/>
                <w:b/>
                <w:bCs/>
                <w:color w:val="000000"/>
                <w:sz w:val="22"/>
                <w:szCs w:val="22"/>
                <w:lang w:eastAsia="en-GB"/>
              </w:rPr>
              <w:t>39</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1FA3916D" w14:textId="56E81A63" w:rsidR="005057E8" w:rsidRPr="006F5953" w:rsidRDefault="00392C2B" w:rsidP="002C48DD">
            <w:pPr>
              <w:jc w:val="right"/>
              <w:rPr>
                <w:rFonts w:cs="Arial"/>
                <w:b/>
                <w:bCs/>
                <w:color w:val="000000"/>
                <w:sz w:val="22"/>
                <w:szCs w:val="22"/>
                <w:lang w:eastAsia="en-GB"/>
              </w:rPr>
            </w:pPr>
            <w:r>
              <w:rPr>
                <w:rFonts w:cs="Arial"/>
                <w:b/>
                <w:bCs/>
                <w:color w:val="000000"/>
                <w:sz w:val="22"/>
                <w:szCs w:val="22"/>
                <w:lang w:eastAsia="en-GB"/>
              </w:rPr>
              <w:t>-£</w:t>
            </w:r>
            <w:r w:rsidR="00E831D7">
              <w:rPr>
                <w:rFonts w:cs="Arial"/>
                <w:b/>
                <w:bCs/>
                <w:color w:val="000000"/>
                <w:sz w:val="22"/>
                <w:szCs w:val="22"/>
                <w:lang w:eastAsia="en-GB"/>
              </w:rPr>
              <w:t>2.</w:t>
            </w:r>
            <w:r w:rsidR="006F0B3D">
              <w:rPr>
                <w:rFonts w:cs="Arial"/>
                <w:b/>
                <w:bCs/>
                <w:color w:val="000000"/>
                <w:sz w:val="22"/>
                <w:szCs w:val="22"/>
                <w:lang w:eastAsia="en-GB"/>
              </w:rPr>
              <w:t>16</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610EC2F6" w14:textId="2149301E" w:rsidR="005057E8" w:rsidRPr="006F5953" w:rsidRDefault="00392C2B" w:rsidP="002C48DD">
            <w:pPr>
              <w:jc w:val="right"/>
              <w:rPr>
                <w:rFonts w:cs="Arial"/>
                <w:b/>
                <w:bCs/>
                <w:color w:val="000000"/>
                <w:sz w:val="22"/>
                <w:szCs w:val="22"/>
                <w:lang w:eastAsia="en-GB"/>
              </w:rPr>
            </w:pPr>
            <w:r>
              <w:rPr>
                <w:rFonts w:cs="Arial"/>
                <w:b/>
                <w:bCs/>
                <w:color w:val="000000"/>
                <w:sz w:val="22"/>
                <w:szCs w:val="22"/>
                <w:lang w:eastAsia="en-GB"/>
              </w:rPr>
              <w:t>-£</w:t>
            </w:r>
            <w:r w:rsidR="00E831D7">
              <w:rPr>
                <w:rFonts w:cs="Arial"/>
                <w:b/>
                <w:bCs/>
                <w:color w:val="000000"/>
                <w:sz w:val="22"/>
                <w:szCs w:val="22"/>
                <w:lang w:eastAsia="en-GB"/>
              </w:rPr>
              <w:t>3.1</w:t>
            </w:r>
            <w:r w:rsidR="006F0B3D">
              <w:rPr>
                <w:rFonts w:cs="Arial"/>
                <w:b/>
                <w:bCs/>
                <w:color w:val="000000"/>
                <w:sz w:val="22"/>
                <w:szCs w:val="22"/>
                <w:lang w:eastAsia="en-GB"/>
              </w:rPr>
              <w:t>5</w:t>
            </w:r>
          </w:p>
        </w:tc>
      </w:tr>
      <w:tr w:rsidR="005057E8" w:rsidRPr="00685CA8" w14:paraId="08025AAC"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3549ADFD" w14:textId="77777777" w:rsidR="005057E8" w:rsidRPr="006F5953" w:rsidRDefault="005057E8" w:rsidP="002C48DD">
            <w:pPr>
              <w:rPr>
                <w:rFonts w:cs="Arial"/>
                <w:b/>
                <w:bCs/>
                <w:color w:val="000000"/>
                <w:sz w:val="22"/>
                <w:szCs w:val="22"/>
                <w:lang w:eastAsia="en-GB"/>
              </w:rPr>
            </w:pPr>
            <w:r w:rsidRPr="006F5953">
              <w:rPr>
                <w:rFonts w:cs="Arial"/>
                <w:b/>
                <w:color w:val="000000"/>
                <w:sz w:val="22"/>
                <w:szCs w:val="22"/>
                <w:lang w:eastAsia="en-GB"/>
              </w:rPr>
              <w:t>OPTION 2</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66A484D8" w14:textId="77777777" w:rsidR="005057E8" w:rsidRPr="006F5953" w:rsidRDefault="005057E8" w:rsidP="002C48DD">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50894CAD" w14:textId="77777777" w:rsidR="005057E8" w:rsidRPr="006F5953" w:rsidRDefault="005057E8" w:rsidP="002C48DD">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3E4F6C81" w14:textId="77777777" w:rsidR="005057E8" w:rsidRPr="006F5953" w:rsidRDefault="005057E8" w:rsidP="002C48DD">
            <w:pPr>
              <w:jc w:val="right"/>
              <w:rPr>
                <w:rFonts w:cs="Arial"/>
                <w:b/>
                <w:bCs/>
                <w:color w:val="000000"/>
                <w:sz w:val="22"/>
                <w:szCs w:val="22"/>
                <w:lang w:eastAsia="en-GB"/>
              </w:rPr>
            </w:pPr>
          </w:p>
        </w:tc>
      </w:tr>
      <w:tr w:rsidR="005057E8" w:rsidRPr="00685CA8" w14:paraId="42D0FFAB"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5D5D28BD" w14:textId="77777777" w:rsidR="005057E8" w:rsidRPr="006F5953" w:rsidRDefault="005057E8" w:rsidP="002C48DD">
            <w:pPr>
              <w:rPr>
                <w:rFonts w:cs="Arial"/>
                <w:b/>
                <w:bCs/>
                <w:color w:val="000000"/>
                <w:sz w:val="22"/>
                <w:szCs w:val="22"/>
                <w:lang w:eastAsia="en-GB"/>
              </w:rPr>
            </w:pPr>
            <w:r w:rsidRPr="006F5953">
              <w:rPr>
                <w:rFonts w:cs="Arial"/>
                <w:b/>
                <w:color w:val="000000"/>
                <w:sz w:val="22"/>
                <w:szCs w:val="22"/>
                <w:lang w:eastAsia="en-GB"/>
              </w:rPr>
              <w:t>Costs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59F0B399" w14:textId="77777777" w:rsidR="005057E8" w:rsidRPr="006F5953" w:rsidRDefault="005057E8" w:rsidP="002C48DD">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0226E5BA" w14:textId="77777777" w:rsidR="005057E8" w:rsidRPr="006F5953" w:rsidRDefault="005057E8" w:rsidP="002C48DD">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2947CEB0" w14:textId="77777777" w:rsidR="005057E8" w:rsidRPr="006F5953" w:rsidRDefault="005057E8" w:rsidP="002C48DD">
            <w:pPr>
              <w:jc w:val="right"/>
              <w:rPr>
                <w:rFonts w:cs="Arial"/>
                <w:b/>
                <w:bCs/>
                <w:color w:val="000000"/>
                <w:sz w:val="22"/>
                <w:szCs w:val="22"/>
                <w:lang w:eastAsia="en-GB"/>
              </w:rPr>
            </w:pPr>
          </w:p>
        </w:tc>
      </w:tr>
      <w:tr w:rsidR="005057E8" w:rsidRPr="00685CA8" w14:paraId="25BFC9A2"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66ED29C5" w14:textId="77777777" w:rsidR="005057E8" w:rsidRPr="006F5953" w:rsidRDefault="005057E8" w:rsidP="002C48DD">
            <w:pPr>
              <w:rPr>
                <w:rFonts w:cs="Arial"/>
                <w:b/>
                <w:bCs/>
                <w:color w:val="000000"/>
                <w:sz w:val="22"/>
                <w:szCs w:val="22"/>
                <w:lang w:eastAsia="en-GB"/>
              </w:rPr>
            </w:pPr>
            <w:r w:rsidRPr="006F5953">
              <w:rPr>
                <w:rFonts w:cs="Arial"/>
                <w:color w:val="000000"/>
                <w:sz w:val="22"/>
                <w:szCs w:val="22"/>
                <w:lang w:eastAsia="en-GB"/>
              </w:rPr>
              <w:t>Transitional costs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336864ED" w14:textId="79B6BF2F" w:rsidR="005057E8" w:rsidRPr="006F5953" w:rsidRDefault="00D82239" w:rsidP="002C48DD">
            <w:pPr>
              <w:jc w:val="right"/>
              <w:rPr>
                <w:rFonts w:cs="Arial"/>
                <w:bCs/>
                <w:color w:val="000000"/>
                <w:sz w:val="22"/>
                <w:szCs w:val="22"/>
                <w:lang w:eastAsia="en-GB"/>
              </w:rPr>
            </w:pPr>
            <w:r>
              <w:rPr>
                <w:rFonts w:cs="Arial"/>
                <w:bCs/>
                <w:color w:val="000000"/>
                <w:sz w:val="22"/>
                <w:szCs w:val="22"/>
                <w:lang w:eastAsia="en-GB"/>
              </w:rPr>
              <w:t>£6,210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46F4A353" w14:textId="72D16D3A" w:rsidR="005057E8" w:rsidRPr="006F5953" w:rsidRDefault="00D82239" w:rsidP="002C48DD">
            <w:pPr>
              <w:jc w:val="right"/>
              <w:rPr>
                <w:rFonts w:cs="Arial"/>
                <w:bCs/>
                <w:color w:val="000000"/>
                <w:sz w:val="22"/>
                <w:szCs w:val="22"/>
                <w:lang w:eastAsia="en-GB"/>
              </w:rPr>
            </w:pPr>
            <w:r>
              <w:rPr>
                <w:rFonts w:cs="Arial"/>
                <w:bCs/>
                <w:color w:val="000000"/>
                <w:sz w:val="22"/>
                <w:szCs w:val="22"/>
                <w:lang w:eastAsia="en-GB"/>
              </w:rPr>
              <w:t>£6,900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322A8F14" w14:textId="67582D59" w:rsidR="005057E8" w:rsidRPr="006F5953" w:rsidRDefault="00D82239" w:rsidP="002C48DD">
            <w:pPr>
              <w:jc w:val="right"/>
              <w:rPr>
                <w:rFonts w:cs="Arial"/>
                <w:bCs/>
                <w:color w:val="000000"/>
                <w:sz w:val="22"/>
                <w:szCs w:val="22"/>
                <w:lang w:eastAsia="en-GB"/>
              </w:rPr>
            </w:pPr>
            <w:r>
              <w:rPr>
                <w:rFonts w:cs="Arial"/>
                <w:bCs/>
                <w:color w:val="000000"/>
                <w:sz w:val="22"/>
                <w:szCs w:val="22"/>
                <w:lang w:eastAsia="en-GB"/>
              </w:rPr>
              <w:t>£16,180</w:t>
            </w:r>
          </w:p>
        </w:tc>
      </w:tr>
      <w:tr w:rsidR="005057E8" w:rsidRPr="00685CA8" w14:paraId="69FB1E3C"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49A71DBF" w14:textId="77777777" w:rsidR="005057E8" w:rsidRPr="006F5953" w:rsidRDefault="005057E8" w:rsidP="002C48DD">
            <w:pPr>
              <w:rPr>
                <w:rFonts w:cs="Arial"/>
                <w:b/>
                <w:bCs/>
                <w:color w:val="000000"/>
                <w:sz w:val="22"/>
                <w:szCs w:val="22"/>
                <w:lang w:eastAsia="en-GB"/>
              </w:rPr>
            </w:pPr>
            <w:r w:rsidRPr="006F5953">
              <w:rPr>
                <w:rFonts w:cs="Arial"/>
                <w:color w:val="000000"/>
                <w:sz w:val="22"/>
                <w:szCs w:val="22"/>
                <w:lang w:eastAsia="en-GB"/>
              </w:rPr>
              <w:t>On-going Costs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2B2D16AF" w14:textId="77777777" w:rsidR="005057E8" w:rsidRPr="006F5953" w:rsidRDefault="005057E8" w:rsidP="002C48DD">
            <w:pPr>
              <w:jc w:val="right"/>
              <w:rPr>
                <w:rFonts w:cs="Arial"/>
                <w:bCs/>
                <w:color w:val="000000"/>
                <w:sz w:val="22"/>
                <w:szCs w:val="22"/>
                <w:lang w:eastAsia="en-GB"/>
              </w:rPr>
            </w:pPr>
            <w:r w:rsidRPr="006F5953">
              <w:rPr>
                <w:rFonts w:cs="Arial"/>
                <w:bCs/>
                <w:color w:val="000000"/>
                <w:sz w:val="22"/>
                <w:szCs w:val="22"/>
                <w:lang w:eastAsia="en-GB"/>
              </w:rPr>
              <w:t>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7BCBF96F" w14:textId="77777777" w:rsidR="005057E8" w:rsidRPr="006F5953" w:rsidRDefault="005057E8" w:rsidP="002C48DD">
            <w:pPr>
              <w:jc w:val="right"/>
              <w:rPr>
                <w:rFonts w:cs="Arial"/>
                <w:bCs/>
                <w:color w:val="000000"/>
                <w:sz w:val="22"/>
                <w:szCs w:val="22"/>
                <w:lang w:eastAsia="en-GB"/>
              </w:rPr>
            </w:pPr>
            <w:r w:rsidRPr="006F5953">
              <w:rPr>
                <w:rFonts w:cs="Arial"/>
                <w:bCs/>
                <w:color w:val="000000"/>
                <w:sz w:val="22"/>
                <w:szCs w:val="22"/>
                <w:lang w:eastAsia="en-GB"/>
              </w:rPr>
              <w:t>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5B2D0A90" w14:textId="77777777" w:rsidR="005057E8" w:rsidRPr="006F5953" w:rsidRDefault="005057E8" w:rsidP="002C48DD">
            <w:pPr>
              <w:jc w:val="right"/>
              <w:rPr>
                <w:rFonts w:cs="Arial"/>
                <w:bCs/>
                <w:color w:val="000000"/>
                <w:sz w:val="22"/>
                <w:szCs w:val="22"/>
                <w:lang w:eastAsia="en-GB"/>
              </w:rPr>
            </w:pPr>
            <w:r w:rsidRPr="006F5953">
              <w:rPr>
                <w:rFonts w:cs="Arial"/>
                <w:bCs/>
                <w:color w:val="000000"/>
                <w:sz w:val="22"/>
                <w:szCs w:val="22"/>
                <w:lang w:eastAsia="en-GB"/>
              </w:rPr>
              <w:t>0</w:t>
            </w:r>
          </w:p>
        </w:tc>
      </w:tr>
      <w:tr w:rsidR="00FD1B35" w:rsidRPr="00685CA8" w14:paraId="6741AF85"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61C3E186" w14:textId="77777777" w:rsidR="00FD1B35" w:rsidRPr="006F5953" w:rsidRDefault="00FD1B35" w:rsidP="00FD1B35">
            <w:pPr>
              <w:rPr>
                <w:rFonts w:cs="Arial"/>
                <w:b/>
                <w:color w:val="000000"/>
                <w:sz w:val="22"/>
                <w:szCs w:val="22"/>
                <w:lang w:eastAsia="en-GB"/>
              </w:rPr>
            </w:pPr>
            <w:r w:rsidRPr="00C357ED">
              <w:rPr>
                <w:rFonts w:cs="Arial"/>
                <w:color w:val="000000"/>
                <w:sz w:val="22"/>
                <w:szCs w:val="22"/>
                <w:lang w:eastAsia="en-GB"/>
              </w:rPr>
              <w:t xml:space="preserve">Inclusion of </w:t>
            </w:r>
            <w:r w:rsidR="00C25BE0">
              <w:rPr>
                <w:rFonts w:cs="Arial"/>
                <w:color w:val="000000"/>
                <w:sz w:val="22"/>
                <w:szCs w:val="22"/>
                <w:lang w:eastAsia="en-GB"/>
              </w:rPr>
              <w:t>Valuation Tribunal for Wales</w:t>
            </w:r>
            <w:r w:rsidR="00FC6D39">
              <w:rPr>
                <w:rFonts w:cs="Arial"/>
                <w:color w:val="000000"/>
                <w:sz w:val="22"/>
                <w:szCs w:val="22"/>
                <w:lang w:eastAsia="en-GB"/>
              </w:rPr>
              <w:t xml:space="preserve"> from year 6</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32AFC9F1" w14:textId="77777777" w:rsidR="00FD1B35" w:rsidRPr="006F5953" w:rsidRDefault="00FD1B35" w:rsidP="00FD1B35">
            <w:pPr>
              <w:jc w:val="right"/>
              <w:rPr>
                <w:rFonts w:cs="Arial"/>
                <w:bCs/>
                <w:color w:val="000000"/>
                <w:sz w:val="22"/>
                <w:szCs w:val="22"/>
                <w:lang w:eastAsia="en-GB"/>
              </w:rPr>
            </w:pPr>
            <w:r>
              <w:rPr>
                <w:rFonts w:cs="Arial"/>
                <w:bCs/>
                <w:color w:val="000000"/>
                <w:sz w:val="22"/>
                <w:szCs w:val="22"/>
                <w:lang w:eastAsia="en-GB"/>
              </w:rPr>
              <w:t>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1CE2EA7C" w14:textId="77777777" w:rsidR="00FD1B35" w:rsidRPr="006F5953" w:rsidRDefault="00670EC7" w:rsidP="00FD1B35">
            <w:pPr>
              <w:jc w:val="right"/>
              <w:rPr>
                <w:rFonts w:cs="Arial"/>
                <w:bCs/>
                <w:color w:val="000000"/>
                <w:sz w:val="22"/>
                <w:szCs w:val="22"/>
                <w:lang w:eastAsia="en-GB"/>
              </w:rPr>
            </w:pPr>
            <w:r w:rsidRPr="000B308F">
              <w:rPr>
                <w:rFonts w:cs="Arial"/>
                <w:bCs/>
                <w:color w:val="000000"/>
                <w:sz w:val="22"/>
                <w:szCs w:val="22"/>
                <w:lang w:eastAsia="en-GB"/>
              </w:rPr>
              <w:t>£</w:t>
            </w:r>
            <w:r>
              <w:rPr>
                <w:rFonts w:cs="Arial"/>
                <w:bCs/>
                <w:color w:val="000000"/>
                <w:sz w:val="22"/>
                <w:szCs w:val="22"/>
                <w:lang w:eastAsia="en-GB"/>
              </w:rPr>
              <w:t>77,6</w:t>
            </w:r>
            <w:r w:rsidRPr="000B308F">
              <w:rPr>
                <w:rFonts w:cs="Arial"/>
                <w:bCs/>
                <w:color w:val="000000"/>
                <w:sz w:val="22"/>
                <w:szCs w:val="22"/>
                <w:lang w:eastAsia="en-GB"/>
              </w:rPr>
              <w:t>00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484A58E9" w14:textId="77777777" w:rsidR="00FD1B35" w:rsidRPr="00DD6FAB" w:rsidRDefault="00FD1B35" w:rsidP="00FD1B35">
            <w:pPr>
              <w:jc w:val="right"/>
              <w:rPr>
                <w:rFonts w:cs="Arial"/>
                <w:bCs/>
                <w:color w:val="000000"/>
                <w:sz w:val="22"/>
                <w:szCs w:val="22"/>
                <w:lang w:eastAsia="en-GB"/>
              </w:rPr>
            </w:pPr>
            <w:r w:rsidRPr="00402C3D">
              <w:rPr>
                <w:rFonts w:cs="Arial"/>
                <w:bCs/>
                <w:color w:val="000000"/>
                <w:sz w:val="22"/>
                <w:szCs w:val="22"/>
                <w:lang w:eastAsia="en-GB"/>
              </w:rPr>
              <w:t>£</w:t>
            </w:r>
            <w:r w:rsidR="00DD6B87" w:rsidRPr="00402C3D">
              <w:rPr>
                <w:rFonts w:cs="Arial"/>
                <w:bCs/>
                <w:color w:val="000000"/>
                <w:sz w:val="22"/>
                <w:szCs w:val="22"/>
                <w:lang w:eastAsia="en-GB"/>
              </w:rPr>
              <w:t>1</w:t>
            </w:r>
            <w:r w:rsidR="00670EC7" w:rsidRPr="00402C3D">
              <w:rPr>
                <w:rFonts w:cs="Arial"/>
                <w:bCs/>
                <w:color w:val="000000"/>
                <w:sz w:val="22"/>
                <w:szCs w:val="22"/>
                <w:lang w:eastAsia="en-GB"/>
              </w:rPr>
              <w:t>83,100</w:t>
            </w:r>
          </w:p>
        </w:tc>
      </w:tr>
      <w:tr w:rsidR="00A2758A" w:rsidRPr="00685CA8" w14:paraId="66D22CDB"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5DF76917" w14:textId="3CD0A319" w:rsidR="00A2758A" w:rsidRPr="00C357ED" w:rsidRDefault="00A2758A" w:rsidP="00A2758A">
            <w:pPr>
              <w:rPr>
                <w:rFonts w:cs="Arial"/>
                <w:color w:val="000000"/>
                <w:sz w:val="22"/>
                <w:szCs w:val="22"/>
                <w:lang w:eastAsia="en-GB"/>
              </w:rPr>
            </w:pPr>
            <w:r>
              <w:rPr>
                <w:rFonts w:cs="Arial"/>
                <w:color w:val="000000"/>
                <w:sz w:val="22"/>
                <w:szCs w:val="22"/>
                <w:lang w:eastAsia="en-GB"/>
              </w:rPr>
              <w:t xml:space="preserve">Increased </w:t>
            </w:r>
            <w:r w:rsidR="000B7779">
              <w:rPr>
                <w:rFonts w:cs="Arial"/>
                <w:color w:val="000000"/>
                <w:sz w:val="22"/>
                <w:szCs w:val="22"/>
                <w:lang w:eastAsia="en-GB"/>
              </w:rPr>
              <w:t>ETW</w:t>
            </w:r>
            <w:r>
              <w:rPr>
                <w:rFonts w:cs="Arial"/>
                <w:color w:val="000000"/>
                <w:sz w:val="22"/>
                <w:szCs w:val="22"/>
                <w:lang w:eastAsia="en-GB"/>
              </w:rPr>
              <w:t xml:space="preserve"> costs following inclusion of School Exclusion Panel from year 4</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77878725" w14:textId="77777777" w:rsidR="00A2758A" w:rsidRPr="00A2758A" w:rsidRDefault="00A2758A" w:rsidP="00A2758A">
            <w:pPr>
              <w:jc w:val="right"/>
              <w:rPr>
                <w:rFonts w:cs="Arial"/>
                <w:bCs/>
                <w:color w:val="000000"/>
                <w:sz w:val="22"/>
                <w:szCs w:val="22"/>
                <w:lang w:eastAsia="en-GB"/>
              </w:rPr>
            </w:pPr>
            <w:r w:rsidRPr="00402C3D">
              <w:rPr>
                <w:rFonts w:cs="Arial"/>
                <w:bCs/>
                <w:color w:val="000000"/>
                <w:sz w:val="22"/>
                <w:szCs w:val="22"/>
                <w:lang w:eastAsia="en-GB"/>
              </w:rPr>
              <w:t>£171,400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255896F2" w14:textId="77777777" w:rsidR="00A2758A" w:rsidRDefault="00A2758A" w:rsidP="00A2758A">
            <w:pPr>
              <w:jc w:val="right"/>
              <w:rPr>
                <w:rFonts w:cs="Arial"/>
                <w:b/>
                <w:bCs/>
                <w:color w:val="000000"/>
                <w:sz w:val="22"/>
                <w:szCs w:val="22"/>
                <w:lang w:eastAsia="en-GB"/>
              </w:rPr>
            </w:pPr>
            <w:r w:rsidRPr="000B308F">
              <w:rPr>
                <w:rFonts w:cs="Arial"/>
                <w:bCs/>
                <w:color w:val="000000"/>
                <w:sz w:val="22"/>
                <w:szCs w:val="22"/>
                <w:lang w:eastAsia="en-GB"/>
              </w:rPr>
              <w:t>£</w:t>
            </w:r>
            <w:r>
              <w:rPr>
                <w:rFonts w:cs="Arial"/>
                <w:bCs/>
                <w:color w:val="000000"/>
                <w:sz w:val="22"/>
                <w:szCs w:val="22"/>
                <w:lang w:eastAsia="en-GB"/>
              </w:rPr>
              <w:t>193,2</w:t>
            </w:r>
            <w:r w:rsidRPr="000B308F">
              <w:rPr>
                <w:rFonts w:cs="Arial"/>
                <w:bCs/>
                <w:color w:val="000000"/>
                <w:sz w:val="22"/>
                <w:szCs w:val="22"/>
                <w:lang w:eastAsia="en-GB"/>
              </w:rPr>
              <w:t>00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52A3892C" w14:textId="77777777" w:rsidR="00A2758A" w:rsidRDefault="00A2758A" w:rsidP="00A2758A">
            <w:pPr>
              <w:jc w:val="right"/>
              <w:rPr>
                <w:rFonts w:cs="Arial"/>
                <w:b/>
                <w:bCs/>
                <w:color w:val="000000"/>
                <w:sz w:val="22"/>
                <w:szCs w:val="22"/>
                <w:lang w:eastAsia="en-GB"/>
              </w:rPr>
            </w:pPr>
            <w:r w:rsidRPr="000B308F">
              <w:rPr>
                <w:rFonts w:cs="Arial"/>
                <w:bCs/>
                <w:color w:val="000000"/>
                <w:sz w:val="22"/>
                <w:szCs w:val="22"/>
                <w:lang w:eastAsia="en-GB"/>
              </w:rPr>
              <w:t>£</w:t>
            </w:r>
            <w:r>
              <w:rPr>
                <w:rFonts w:cs="Arial"/>
                <w:bCs/>
                <w:color w:val="000000"/>
                <w:sz w:val="22"/>
                <w:szCs w:val="22"/>
                <w:lang w:eastAsia="en-GB"/>
              </w:rPr>
              <w:t>214,90</w:t>
            </w:r>
            <w:r w:rsidRPr="000B308F">
              <w:rPr>
                <w:rFonts w:cs="Arial"/>
                <w:bCs/>
                <w:color w:val="000000"/>
                <w:sz w:val="22"/>
                <w:szCs w:val="22"/>
                <w:lang w:eastAsia="en-GB"/>
              </w:rPr>
              <w:t>0</w:t>
            </w:r>
          </w:p>
        </w:tc>
      </w:tr>
      <w:tr w:rsidR="00A2758A" w:rsidRPr="00685CA8" w14:paraId="1F064812"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280FBF87" w14:textId="77777777" w:rsidR="00A2758A" w:rsidRPr="00C357ED" w:rsidRDefault="00A2758A" w:rsidP="00A2758A">
            <w:pPr>
              <w:rPr>
                <w:rFonts w:cs="Arial"/>
                <w:color w:val="000000"/>
                <w:sz w:val="22"/>
                <w:szCs w:val="22"/>
                <w:lang w:eastAsia="en-GB"/>
              </w:rPr>
            </w:pPr>
            <w:r w:rsidRPr="00DE306B">
              <w:rPr>
                <w:rFonts w:cs="Arial"/>
                <w:b/>
                <w:color w:val="000000"/>
                <w:sz w:val="22"/>
                <w:szCs w:val="22"/>
                <w:lang w:eastAsia="en-GB"/>
              </w:rPr>
              <w:t xml:space="preserve">Total </w:t>
            </w:r>
            <w:r w:rsidR="00EC0C48">
              <w:rPr>
                <w:rFonts w:cs="Arial"/>
                <w:b/>
                <w:color w:val="000000"/>
                <w:sz w:val="22"/>
                <w:szCs w:val="22"/>
                <w:lang w:eastAsia="en-GB"/>
              </w:rPr>
              <w:t xml:space="preserve">annual </w:t>
            </w:r>
            <w:r w:rsidRPr="00DE306B">
              <w:rPr>
                <w:rFonts w:cs="Arial"/>
                <w:b/>
                <w:color w:val="000000"/>
                <w:sz w:val="22"/>
                <w:szCs w:val="22"/>
                <w:lang w:eastAsia="en-GB"/>
              </w:rPr>
              <w:t>costs</w:t>
            </w:r>
            <w:r w:rsidR="00EC0C48">
              <w:rPr>
                <w:rStyle w:val="FootnoteReference"/>
                <w:b/>
                <w:color w:val="000000"/>
                <w:szCs w:val="22"/>
                <w:lang w:eastAsia="en-GB"/>
              </w:rPr>
              <w:footnoteReference w:id="52"/>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70607AC0" w14:textId="77777777" w:rsidR="00A2758A" w:rsidRDefault="00A2758A" w:rsidP="00A2758A">
            <w:pPr>
              <w:jc w:val="right"/>
              <w:rPr>
                <w:rFonts w:cs="Arial"/>
                <w:bCs/>
                <w:color w:val="000000"/>
                <w:sz w:val="22"/>
                <w:szCs w:val="22"/>
                <w:lang w:eastAsia="en-GB"/>
              </w:rPr>
            </w:pPr>
            <w:r>
              <w:rPr>
                <w:rFonts w:cs="Arial"/>
                <w:b/>
                <w:bCs/>
                <w:color w:val="000000"/>
                <w:sz w:val="22"/>
                <w:szCs w:val="22"/>
                <w:lang w:eastAsia="en-GB"/>
              </w:rPr>
              <w:t>£</w:t>
            </w:r>
            <w:r w:rsidR="00DD6FAB">
              <w:rPr>
                <w:rFonts w:cs="Arial"/>
                <w:b/>
                <w:bCs/>
                <w:color w:val="000000"/>
                <w:sz w:val="22"/>
                <w:szCs w:val="22"/>
                <w:lang w:eastAsia="en-GB"/>
              </w:rPr>
              <w:t>120,0</w:t>
            </w:r>
            <w:r>
              <w:rPr>
                <w:rFonts w:cs="Arial"/>
                <w:b/>
                <w:bCs/>
                <w:color w:val="000000"/>
                <w:sz w:val="22"/>
                <w:szCs w:val="22"/>
                <w:lang w:eastAsia="en-GB"/>
              </w:rPr>
              <w:t>00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405211F5" w14:textId="77777777" w:rsidR="00A2758A" w:rsidRDefault="00A2758A" w:rsidP="00A2758A">
            <w:pPr>
              <w:jc w:val="right"/>
              <w:rPr>
                <w:rFonts w:cs="Arial"/>
                <w:b/>
                <w:bCs/>
                <w:color w:val="000000"/>
                <w:sz w:val="22"/>
                <w:szCs w:val="22"/>
                <w:lang w:eastAsia="en-GB"/>
              </w:rPr>
            </w:pPr>
            <w:r>
              <w:rPr>
                <w:rFonts w:cs="Arial"/>
                <w:b/>
                <w:bCs/>
                <w:color w:val="000000"/>
                <w:sz w:val="22"/>
                <w:szCs w:val="22"/>
                <w:lang w:eastAsia="en-GB"/>
              </w:rPr>
              <w:t>£1</w:t>
            </w:r>
            <w:r w:rsidR="00DD6FAB">
              <w:rPr>
                <w:rFonts w:cs="Arial"/>
                <w:b/>
                <w:bCs/>
                <w:color w:val="000000"/>
                <w:sz w:val="22"/>
                <w:szCs w:val="22"/>
                <w:lang w:eastAsia="en-GB"/>
              </w:rPr>
              <w:t>74,0</w:t>
            </w:r>
            <w:r>
              <w:rPr>
                <w:rFonts w:cs="Arial"/>
                <w:b/>
                <w:bCs/>
                <w:color w:val="000000"/>
                <w:sz w:val="22"/>
                <w:szCs w:val="22"/>
                <w:lang w:eastAsia="en-GB"/>
              </w:rPr>
              <w:t>00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2787C7BC" w14:textId="77777777" w:rsidR="00A2758A" w:rsidRDefault="00A2758A" w:rsidP="00A2758A">
            <w:pPr>
              <w:jc w:val="right"/>
              <w:rPr>
                <w:rFonts w:cs="Arial"/>
                <w:b/>
                <w:bCs/>
                <w:color w:val="000000"/>
                <w:sz w:val="22"/>
                <w:szCs w:val="22"/>
                <w:lang w:eastAsia="en-GB"/>
              </w:rPr>
            </w:pPr>
            <w:r>
              <w:rPr>
                <w:rFonts w:cs="Arial"/>
                <w:b/>
                <w:bCs/>
                <w:color w:val="000000"/>
                <w:sz w:val="22"/>
                <w:szCs w:val="22"/>
                <w:lang w:eastAsia="en-GB"/>
              </w:rPr>
              <w:t>£2</w:t>
            </w:r>
            <w:r w:rsidR="00DD6FAB">
              <w:rPr>
                <w:rFonts w:cs="Arial"/>
                <w:b/>
                <w:bCs/>
                <w:color w:val="000000"/>
                <w:sz w:val="22"/>
                <w:szCs w:val="22"/>
                <w:lang w:eastAsia="en-GB"/>
              </w:rPr>
              <w:t>41,0</w:t>
            </w:r>
            <w:r>
              <w:rPr>
                <w:rFonts w:cs="Arial"/>
                <w:b/>
                <w:bCs/>
                <w:color w:val="000000"/>
                <w:sz w:val="22"/>
                <w:szCs w:val="22"/>
                <w:lang w:eastAsia="en-GB"/>
              </w:rPr>
              <w:t>00</w:t>
            </w:r>
          </w:p>
        </w:tc>
      </w:tr>
      <w:tr w:rsidR="00A2758A" w:rsidRPr="00685CA8" w14:paraId="0A42069A"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4F07AD09" w14:textId="77777777" w:rsidR="00A2758A" w:rsidRPr="006F5953" w:rsidRDefault="00A2758A" w:rsidP="00A2758A">
            <w:pPr>
              <w:rPr>
                <w:rFonts w:cs="Arial"/>
                <w:b/>
                <w:bCs/>
                <w:color w:val="000000"/>
                <w:sz w:val="22"/>
                <w:szCs w:val="22"/>
                <w:lang w:eastAsia="en-GB"/>
              </w:rPr>
            </w:pPr>
            <w:r w:rsidRPr="006F5953">
              <w:rPr>
                <w:rFonts w:cs="Arial"/>
                <w:b/>
                <w:color w:val="000000"/>
                <w:sz w:val="22"/>
                <w:szCs w:val="22"/>
                <w:lang w:eastAsia="en-GB"/>
              </w:rPr>
              <w:t>Benefits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74860B95" w14:textId="77777777" w:rsidR="00A2758A" w:rsidRPr="006F5953" w:rsidRDefault="00A2758A" w:rsidP="00A2758A">
            <w:pPr>
              <w:jc w:val="right"/>
              <w:rPr>
                <w:rFonts w:cs="Arial"/>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557740BF" w14:textId="77777777" w:rsidR="00A2758A" w:rsidRPr="006F5953" w:rsidRDefault="00A2758A" w:rsidP="00A2758A">
            <w:pPr>
              <w:jc w:val="right"/>
              <w:rPr>
                <w:rFonts w:cs="Arial"/>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5AFBD5B2" w14:textId="77777777" w:rsidR="00A2758A" w:rsidRPr="006F5953" w:rsidRDefault="00A2758A" w:rsidP="00A2758A">
            <w:pPr>
              <w:jc w:val="right"/>
              <w:rPr>
                <w:rFonts w:cs="Arial"/>
                <w:bCs/>
                <w:color w:val="000000"/>
                <w:sz w:val="22"/>
                <w:szCs w:val="22"/>
                <w:lang w:eastAsia="en-GB"/>
              </w:rPr>
            </w:pPr>
          </w:p>
        </w:tc>
      </w:tr>
      <w:tr w:rsidR="00A2758A" w:rsidRPr="00685CA8" w14:paraId="3AD6799B"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2203FBDE" w14:textId="77777777" w:rsidR="00A2758A" w:rsidRPr="006F5953" w:rsidRDefault="00A2758A" w:rsidP="00A2758A">
            <w:pPr>
              <w:rPr>
                <w:rFonts w:cs="Arial"/>
                <w:bCs/>
                <w:color w:val="000000"/>
                <w:sz w:val="22"/>
                <w:szCs w:val="22"/>
                <w:lang w:eastAsia="en-GB"/>
              </w:rPr>
            </w:pPr>
            <w:r w:rsidRPr="006F5953">
              <w:rPr>
                <w:rFonts w:cs="Arial"/>
                <w:color w:val="000000"/>
                <w:sz w:val="22"/>
                <w:szCs w:val="22"/>
                <w:lang w:eastAsia="en-GB"/>
              </w:rPr>
              <w:t>Transitional benefits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0DE236CA" w14:textId="77777777" w:rsidR="00A2758A" w:rsidRPr="006F5953" w:rsidRDefault="00A2758A" w:rsidP="00A2758A">
            <w:pPr>
              <w:jc w:val="right"/>
              <w:rPr>
                <w:rFonts w:cs="Arial"/>
                <w:bCs/>
                <w:color w:val="000000"/>
                <w:sz w:val="22"/>
                <w:szCs w:val="22"/>
                <w:lang w:eastAsia="en-GB"/>
              </w:rPr>
            </w:pPr>
            <w:r w:rsidRPr="006F5953">
              <w:rPr>
                <w:rFonts w:cs="Arial"/>
                <w:bCs/>
                <w:color w:val="000000"/>
                <w:sz w:val="22"/>
                <w:szCs w:val="22"/>
                <w:lang w:eastAsia="en-GB"/>
              </w:rPr>
              <w:t>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3A5C8D45" w14:textId="77777777" w:rsidR="00A2758A" w:rsidRPr="006F5953" w:rsidRDefault="00A2758A" w:rsidP="00A2758A">
            <w:pPr>
              <w:jc w:val="right"/>
              <w:rPr>
                <w:rFonts w:cs="Arial"/>
                <w:bCs/>
                <w:color w:val="000000"/>
                <w:sz w:val="22"/>
                <w:szCs w:val="22"/>
                <w:lang w:eastAsia="en-GB"/>
              </w:rPr>
            </w:pPr>
            <w:r w:rsidRPr="006F5953">
              <w:rPr>
                <w:rFonts w:cs="Arial"/>
                <w:bCs/>
                <w:color w:val="000000"/>
                <w:sz w:val="22"/>
                <w:szCs w:val="22"/>
                <w:lang w:eastAsia="en-GB"/>
              </w:rPr>
              <w:t>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0BA45827" w14:textId="77777777" w:rsidR="00A2758A" w:rsidRPr="006F5953" w:rsidRDefault="00A2758A" w:rsidP="00A2758A">
            <w:pPr>
              <w:jc w:val="right"/>
              <w:rPr>
                <w:rFonts w:cs="Arial"/>
                <w:bCs/>
                <w:color w:val="000000"/>
                <w:sz w:val="22"/>
                <w:szCs w:val="22"/>
                <w:lang w:eastAsia="en-GB"/>
              </w:rPr>
            </w:pPr>
            <w:r w:rsidRPr="006F5953">
              <w:rPr>
                <w:rFonts w:cs="Arial"/>
                <w:bCs/>
                <w:color w:val="000000"/>
                <w:sz w:val="22"/>
                <w:szCs w:val="22"/>
                <w:lang w:eastAsia="en-GB"/>
              </w:rPr>
              <w:t>0</w:t>
            </w:r>
          </w:p>
        </w:tc>
      </w:tr>
      <w:tr w:rsidR="00A2758A" w:rsidRPr="00685CA8" w14:paraId="583FFB4B"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5103F3F1" w14:textId="77777777" w:rsidR="00A2758A" w:rsidRPr="006F5953" w:rsidRDefault="00A2758A" w:rsidP="00A2758A">
            <w:pPr>
              <w:rPr>
                <w:rFonts w:cs="Arial"/>
                <w:bCs/>
                <w:color w:val="000000"/>
                <w:sz w:val="22"/>
                <w:szCs w:val="22"/>
                <w:lang w:eastAsia="en-GB"/>
              </w:rPr>
            </w:pPr>
            <w:r w:rsidRPr="006F5953">
              <w:rPr>
                <w:rFonts w:cs="Arial"/>
                <w:color w:val="000000"/>
                <w:sz w:val="22"/>
                <w:szCs w:val="22"/>
                <w:lang w:eastAsia="en-GB"/>
              </w:rPr>
              <w:t>On-going benefits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1FB24D14" w14:textId="77777777" w:rsidR="00A2758A" w:rsidRPr="006F5953" w:rsidRDefault="00A2758A" w:rsidP="00A2758A">
            <w:pPr>
              <w:jc w:val="right"/>
              <w:rPr>
                <w:rFonts w:cs="Arial"/>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1643BAA8" w14:textId="77777777" w:rsidR="00A2758A" w:rsidRPr="006F5953" w:rsidRDefault="00A2758A" w:rsidP="00A2758A">
            <w:pPr>
              <w:jc w:val="right"/>
              <w:rPr>
                <w:rFonts w:cs="Arial"/>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3F5C6FF6" w14:textId="77777777" w:rsidR="00A2758A" w:rsidRPr="006F5953" w:rsidRDefault="00A2758A" w:rsidP="00A2758A">
            <w:pPr>
              <w:jc w:val="right"/>
              <w:rPr>
                <w:rFonts w:cs="Arial"/>
                <w:bCs/>
                <w:color w:val="000000"/>
                <w:sz w:val="22"/>
                <w:szCs w:val="22"/>
                <w:lang w:eastAsia="en-GB"/>
              </w:rPr>
            </w:pPr>
          </w:p>
        </w:tc>
      </w:tr>
      <w:tr w:rsidR="00A2758A" w:rsidRPr="00685CA8" w14:paraId="35AC51B1"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29985EAA" w14:textId="77777777" w:rsidR="00A2758A" w:rsidRPr="006F5953" w:rsidRDefault="00A2758A" w:rsidP="00A2758A">
            <w:pPr>
              <w:rPr>
                <w:rFonts w:cs="Arial"/>
                <w:b/>
                <w:bCs/>
                <w:color w:val="000000"/>
                <w:sz w:val="22"/>
                <w:szCs w:val="22"/>
                <w:lang w:eastAsia="en-GB"/>
              </w:rPr>
            </w:pPr>
            <w:r>
              <w:rPr>
                <w:rFonts w:cs="Arial"/>
                <w:color w:val="000000"/>
                <w:sz w:val="22"/>
                <w:szCs w:val="22"/>
                <w:lang w:eastAsia="en-GB"/>
              </w:rPr>
              <w:t>Savings from avoiding Tribunal set-up costs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5574613F" w14:textId="77777777" w:rsidR="00A2758A" w:rsidRPr="006F5953" w:rsidRDefault="00A2758A" w:rsidP="00A2758A">
            <w:pPr>
              <w:jc w:val="right"/>
              <w:rPr>
                <w:rFonts w:cs="Arial"/>
                <w:bCs/>
                <w:color w:val="000000"/>
                <w:sz w:val="22"/>
                <w:szCs w:val="22"/>
                <w:lang w:eastAsia="en-GB"/>
              </w:rPr>
            </w:pPr>
            <w:r>
              <w:rPr>
                <w:rFonts w:cs="Arial"/>
                <w:bCs/>
                <w:color w:val="000000"/>
                <w:sz w:val="22"/>
                <w:szCs w:val="22"/>
                <w:lang w:eastAsia="en-GB"/>
              </w:rPr>
              <w:t>£4,180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6CC37E48" w14:textId="77777777" w:rsidR="00A2758A" w:rsidRPr="006F5953" w:rsidRDefault="00A2758A" w:rsidP="00A2758A">
            <w:pPr>
              <w:jc w:val="right"/>
              <w:rPr>
                <w:rFonts w:cs="Arial"/>
                <w:bCs/>
                <w:color w:val="000000"/>
                <w:sz w:val="22"/>
                <w:szCs w:val="22"/>
                <w:lang w:eastAsia="en-GB"/>
              </w:rPr>
            </w:pPr>
            <w:r>
              <w:rPr>
                <w:rFonts w:cs="Arial"/>
                <w:bCs/>
                <w:color w:val="000000"/>
                <w:sz w:val="22"/>
                <w:szCs w:val="22"/>
                <w:lang w:eastAsia="en-GB"/>
              </w:rPr>
              <w:t>£10,020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22D08C8A" w14:textId="77777777" w:rsidR="00A2758A" w:rsidRPr="006F5953" w:rsidRDefault="00A2758A" w:rsidP="00A2758A">
            <w:pPr>
              <w:jc w:val="right"/>
              <w:rPr>
                <w:rFonts w:cs="Arial"/>
                <w:bCs/>
                <w:color w:val="000000"/>
                <w:sz w:val="22"/>
                <w:szCs w:val="22"/>
                <w:lang w:eastAsia="en-GB"/>
              </w:rPr>
            </w:pPr>
            <w:r>
              <w:rPr>
                <w:rFonts w:cs="Arial"/>
                <w:bCs/>
                <w:color w:val="000000"/>
                <w:sz w:val="22"/>
                <w:szCs w:val="22"/>
                <w:lang w:eastAsia="en-GB"/>
              </w:rPr>
              <w:t>£16,280</w:t>
            </w:r>
          </w:p>
        </w:tc>
      </w:tr>
      <w:tr w:rsidR="00A2758A" w:rsidRPr="00685CA8" w14:paraId="5225996D" w14:textId="77777777" w:rsidTr="00A2758A">
        <w:trPr>
          <w:trHeight w:val="315"/>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2EC6B8B0" w14:textId="77777777" w:rsidR="00A2758A" w:rsidRPr="006F5953" w:rsidRDefault="00A2758A" w:rsidP="00A2758A">
            <w:pPr>
              <w:rPr>
                <w:rFonts w:cs="Arial"/>
                <w:b/>
                <w:bCs/>
                <w:color w:val="000000"/>
                <w:sz w:val="22"/>
                <w:szCs w:val="22"/>
                <w:lang w:eastAsia="en-GB"/>
              </w:rPr>
            </w:pPr>
            <w:r w:rsidRPr="006F5953">
              <w:rPr>
                <w:rFonts w:cs="Arial"/>
                <w:color w:val="000000"/>
                <w:sz w:val="22"/>
                <w:szCs w:val="22"/>
                <w:lang w:eastAsia="en-GB"/>
              </w:rPr>
              <w:t xml:space="preserve">Savings </w:t>
            </w:r>
            <w:r>
              <w:rPr>
                <w:rFonts w:cs="Arial"/>
                <w:color w:val="000000"/>
                <w:sz w:val="22"/>
                <w:szCs w:val="22"/>
                <w:lang w:eastAsia="en-GB"/>
              </w:rPr>
              <w:t>from reduced admin support of School Exclusion panel from year 4</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18A7F30F" w14:textId="77777777" w:rsidR="00A2758A" w:rsidRPr="006F5953" w:rsidRDefault="00A2758A" w:rsidP="00A2758A">
            <w:pPr>
              <w:jc w:val="right"/>
              <w:rPr>
                <w:rFonts w:cs="Arial"/>
                <w:bCs/>
                <w:color w:val="000000"/>
                <w:sz w:val="22"/>
                <w:szCs w:val="22"/>
                <w:lang w:eastAsia="en-GB"/>
              </w:rPr>
            </w:pPr>
            <w:r>
              <w:rPr>
                <w:rFonts w:cs="Arial"/>
                <w:bCs/>
                <w:color w:val="000000"/>
                <w:sz w:val="22"/>
                <w:szCs w:val="22"/>
                <w:lang w:eastAsia="en-GB"/>
              </w:rPr>
              <w:t>£2,500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7E2445FC" w14:textId="77777777" w:rsidR="00A2758A" w:rsidRPr="006F5953" w:rsidRDefault="00A2758A" w:rsidP="00A2758A">
            <w:pPr>
              <w:jc w:val="right"/>
              <w:rPr>
                <w:rFonts w:cs="Arial"/>
                <w:bCs/>
                <w:color w:val="000000"/>
                <w:sz w:val="22"/>
                <w:szCs w:val="22"/>
                <w:lang w:eastAsia="en-GB"/>
              </w:rPr>
            </w:pPr>
            <w:r>
              <w:rPr>
                <w:rFonts w:cs="Arial"/>
                <w:bCs/>
                <w:color w:val="000000"/>
                <w:sz w:val="22"/>
                <w:szCs w:val="22"/>
                <w:lang w:eastAsia="en-GB"/>
              </w:rPr>
              <w:t>£6,600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509DD5F3" w14:textId="77777777" w:rsidR="00A2758A" w:rsidRPr="006F5953" w:rsidRDefault="00A2758A" w:rsidP="00A2758A">
            <w:pPr>
              <w:jc w:val="right"/>
              <w:rPr>
                <w:rFonts w:cs="Arial"/>
                <w:bCs/>
                <w:color w:val="000000"/>
                <w:sz w:val="22"/>
                <w:szCs w:val="22"/>
                <w:lang w:eastAsia="en-GB"/>
              </w:rPr>
            </w:pPr>
            <w:r>
              <w:rPr>
                <w:rFonts w:cs="Arial"/>
                <w:bCs/>
                <w:color w:val="000000"/>
                <w:sz w:val="22"/>
                <w:szCs w:val="22"/>
                <w:lang w:eastAsia="en-GB"/>
              </w:rPr>
              <w:t>£13,050</w:t>
            </w:r>
          </w:p>
        </w:tc>
      </w:tr>
      <w:tr w:rsidR="00A2758A" w:rsidRPr="00685CA8" w14:paraId="498B1460" w14:textId="77777777" w:rsidTr="00A2758A">
        <w:trPr>
          <w:trHeight w:val="411"/>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077BD5C0" w14:textId="77777777" w:rsidR="00A2758A" w:rsidRPr="006F5953" w:rsidRDefault="00A2758A" w:rsidP="00A2758A">
            <w:pPr>
              <w:rPr>
                <w:rFonts w:cs="Arial"/>
                <w:b/>
                <w:bCs/>
                <w:color w:val="000000"/>
                <w:sz w:val="22"/>
                <w:szCs w:val="22"/>
                <w:lang w:eastAsia="en-GB"/>
              </w:rPr>
            </w:pPr>
            <w:r w:rsidRPr="006F5953">
              <w:rPr>
                <w:rFonts w:cs="Arial"/>
                <w:b/>
                <w:bCs/>
                <w:color w:val="000000"/>
                <w:sz w:val="22"/>
                <w:szCs w:val="22"/>
                <w:lang w:eastAsia="en-GB"/>
              </w:rPr>
              <w:t xml:space="preserve">Total </w:t>
            </w:r>
            <w:r w:rsidR="00EC0C48">
              <w:rPr>
                <w:rFonts w:cs="Arial"/>
                <w:b/>
                <w:bCs/>
                <w:color w:val="000000"/>
                <w:sz w:val="22"/>
                <w:szCs w:val="22"/>
                <w:lang w:eastAsia="en-GB"/>
              </w:rPr>
              <w:t xml:space="preserve">annual </w:t>
            </w:r>
            <w:r w:rsidRPr="006F5953">
              <w:rPr>
                <w:rFonts w:cs="Arial"/>
                <w:b/>
                <w:bCs/>
                <w:color w:val="000000"/>
                <w:sz w:val="22"/>
                <w:szCs w:val="22"/>
                <w:lang w:eastAsia="en-GB"/>
              </w:rPr>
              <w:t>savings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34C3D07C" w14:textId="77777777" w:rsidR="00A2758A" w:rsidRPr="006F5953" w:rsidRDefault="00A2758A" w:rsidP="00A2758A">
            <w:pPr>
              <w:jc w:val="right"/>
              <w:rPr>
                <w:rFonts w:cs="Arial"/>
                <w:b/>
                <w:bCs/>
                <w:color w:val="000000"/>
                <w:sz w:val="22"/>
                <w:szCs w:val="22"/>
                <w:lang w:eastAsia="en-GB"/>
              </w:rPr>
            </w:pPr>
            <w:r>
              <w:rPr>
                <w:rFonts w:cs="Arial"/>
                <w:b/>
                <w:bCs/>
                <w:color w:val="000000"/>
                <w:sz w:val="22"/>
                <w:szCs w:val="22"/>
                <w:lang w:eastAsia="en-GB"/>
              </w:rPr>
              <w:t>£6,680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5722058E" w14:textId="77777777" w:rsidR="00A2758A" w:rsidRPr="006F5953" w:rsidRDefault="00A2758A" w:rsidP="00A2758A">
            <w:pPr>
              <w:jc w:val="right"/>
              <w:rPr>
                <w:rFonts w:cs="Arial"/>
                <w:b/>
                <w:bCs/>
                <w:color w:val="000000"/>
                <w:sz w:val="22"/>
                <w:szCs w:val="22"/>
                <w:lang w:eastAsia="en-GB"/>
              </w:rPr>
            </w:pPr>
            <w:r>
              <w:rPr>
                <w:rFonts w:cs="Arial"/>
                <w:b/>
                <w:bCs/>
                <w:color w:val="000000"/>
                <w:sz w:val="22"/>
                <w:szCs w:val="22"/>
                <w:lang w:eastAsia="en-GB"/>
              </w:rPr>
              <w:t>£16,620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4F3BF0A0" w14:textId="77777777" w:rsidR="00A2758A" w:rsidRPr="006F5953" w:rsidRDefault="00A2758A" w:rsidP="00A2758A">
            <w:pPr>
              <w:jc w:val="right"/>
              <w:rPr>
                <w:rFonts w:cs="Arial"/>
                <w:b/>
                <w:bCs/>
                <w:color w:val="000000"/>
                <w:sz w:val="22"/>
                <w:szCs w:val="22"/>
                <w:lang w:eastAsia="en-GB"/>
              </w:rPr>
            </w:pPr>
            <w:r>
              <w:rPr>
                <w:rFonts w:cs="Arial"/>
                <w:b/>
                <w:bCs/>
                <w:color w:val="000000"/>
                <w:sz w:val="22"/>
                <w:szCs w:val="22"/>
                <w:lang w:eastAsia="en-GB"/>
              </w:rPr>
              <w:t>£28,330</w:t>
            </w:r>
          </w:p>
        </w:tc>
      </w:tr>
      <w:tr w:rsidR="00A2758A" w:rsidRPr="00685CA8" w14:paraId="6255412E" w14:textId="77777777" w:rsidTr="00A2758A">
        <w:trPr>
          <w:trHeight w:val="411"/>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77997014" w14:textId="728D332E" w:rsidR="00A2758A" w:rsidRPr="006F5953" w:rsidRDefault="00A2758A" w:rsidP="00A2758A">
            <w:pPr>
              <w:rPr>
                <w:rFonts w:cs="Arial"/>
                <w:b/>
                <w:bCs/>
                <w:color w:val="000000"/>
                <w:sz w:val="22"/>
                <w:szCs w:val="22"/>
                <w:lang w:eastAsia="en-GB"/>
              </w:rPr>
            </w:pPr>
            <w:r>
              <w:rPr>
                <w:rFonts w:cs="Arial"/>
                <w:b/>
                <w:color w:val="000000"/>
                <w:sz w:val="22"/>
                <w:szCs w:val="22"/>
                <w:lang w:eastAsia="en-GB"/>
              </w:rPr>
              <w:t xml:space="preserve">Net Present </w:t>
            </w:r>
            <w:r w:rsidR="00D82239">
              <w:rPr>
                <w:rFonts w:cs="Arial"/>
                <w:b/>
                <w:color w:val="000000"/>
                <w:sz w:val="22"/>
                <w:szCs w:val="22"/>
                <w:lang w:eastAsia="en-GB"/>
              </w:rPr>
              <w:t xml:space="preserve">Social </w:t>
            </w:r>
            <w:r>
              <w:rPr>
                <w:rFonts w:cs="Arial"/>
                <w:b/>
                <w:color w:val="000000"/>
                <w:sz w:val="22"/>
                <w:szCs w:val="22"/>
                <w:lang w:eastAsia="en-GB"/>
              </w:rPr>
              <w:t>Value [in million £s]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546D9ADD" w14:textId="2B0DC1E9" w:rsidR="00A2758A" w:rsidRPr="006F5953" w:rsidRDefault="00A2758A" w:rsidP="00A2758A">
            <w:pPr>
              <w:jc w:val="right"/>
              <w:rPr>
                <w:rFonts w:cs="Arial"/>
                <w:b/>
                <w:bCs/>
                <w:color w:val="000000"/>
                <w:sz w:val="22"/>
                <w:szCs w:val="22"/>
                <w:lang w:eastAsia="en-GB"/>
              </w:rPr>
            </w:pPr>
            <w:r>
              <w:rPr>
                <w:rFonts w:cs="Arial"/>
                <w:b/>
                <w:bCs/>
                <w:color w:val="000000"/>
                <w:sz w:val="22"/>
                <w:szCs w:val="22"/>
                <w:lang w:eastAsia="en-GB"/>
              </w:rPr>
              <w:t>-£0.</w:t>
            </w:r>
            <w:r w:rsidR="00DD6FAB">
              <w:rPr>
                <w:rFonts w:cs="Arial"/>
                <w:b/>
                <w:bCs/>
                <w:color w:val="000000"/>
                <w:sz w:val="22"/>
                <w:szCs w:val="22"/>
                <w:lang w:eastAsia="en-GB"/>
              </w:rPr>
              <w:t>9</w:t>
            </w:r>
            <w:r w:rsidR="00D82239">
              <w:rPr>
                <w:rFonts w:cs="Arial"/>
                <w:b/>
                <w:bCs/>
                <w:color w:val="000000"/>
                <w:sz w:val="22"/>
                <w:szCs w:val="22"/>
                <w:lang w:eastAsia="en-GB"/>
              </w:rPr>
              <w:t>1</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0BDAE3D5" w14:textId="49D4DA97" w:rsidR="00A2758A" w:rsidRPr="006F5953" w:rsidRDefault="00A2758A" w:rsidP="00A2758A">
            <w:pPr>
              <w:jc w:val="right"/>
              <w:rPr>
                <w:rFonts w:cs="Arial"/>
                <w:b/>
                <w:bCs/>
                <w:color w:val="000000"/>
                <w:sz w:val="22"/>
                <w:szCs w:val="22"/>
                <w:lang w:eastAsia="en-GB"/>
              </w:rPr>
            </w:pPr>
            <w:r>
              <w:rPr>
                <w:rFonts w:cs="Arial"/>
                <w:b/>
                <w:bCs/>
                <w:color w:val="000000"/>
                <w:sz w:val="22"/>
                <w:szCs w:val="22"/>
                <w:lang w:eastAsia="en-GB"/>
              </w:rPr>
              <w:t>-£</w:t>
            </w:r>
            <w:r w:rsidR="00DD6FAB">
              <w:rPr>
                <w:rFonts w:cs="Arial"/>
                <w:b/>
                <w:bCs/>
                <w:color w:val="000000"/>
                <w:sz w:val="22"/>
                <w:szCs w:val="22"/>
                <w:lang w:eastAsia="en-GB"/>
              </w:rPr>
              <w:t>1.2</w:t>
            </w:r>
            <w:r w:rsidR="008C344A">
              <w:rPr>
                <w:rFonts w:cs="Arial"/>
                <w:b/>
                <w:bCs/>
                <w:color w:val="000000"/>
                <w:sz w:val="22"/>
                <w:szCs w:val="22"/>
                <w:lang w:eastAsia="en-GB"/>
              </w:rPr>
              <w:t>5</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67632A28" w14:textId="05D2AF9F" w:rsidR="00A2758A" w:rsidRPr="006F5953" w:rsidRDefault="00A2758A" w:rsidP="00A2758A">
            <w:pPr>
              <w:jc w:val="right"/>
              <w:rPr>
                <w:rFonts w:cs="Arial"/>
                <w:b/>
                <w:bCs/>
                <w:color w:val="000000"/>
                <w:sz w:val="22"/>
                <w:szCs w:val="22"/>
                <w:lang w:eastAsia="en-GB"/>
              </w:rPr>
            </w:pPr>
            <w:r>
              <w:rPr>
                <w:rFonts w:cs="Arial"/>
                <w:b/>
                <w:bCs/>
                <w:color w:val="000000"/>
                <w:sz w:val="22"/>
                <w:szCs w:val="22"/>
                <w:lang w:eastAsia="en-GB"/>
              </w:rPr>
              <w:t>-£1.</w:t>
            </w:r>
            <w:r w:rsidR="00DD6FAB">
              <w:rPr>
                <w:rFonts w:cs="Arial"/>
                <w:b/>
                <w:bCs/>
                <w:color w:val="000000"/>
                <w:sz w:val="22"/>
                <w:szCs w:val="22"/>
                <w:lang w:eastAsia="en-GB"/>
              </w:rPr>
              <w:t>6</w:t>
            </w:r>
            <w:r w:rsidR="008C344A">
              <w:rPr>
                <w:rFonts w:cs="Arial"/>
                <w:b/>
                <w:bCs/>
                <w:color w:val="000000"/>
                <w:sz w:val="22"/>
                <w:szCs w:val="22"/>
                <w:lang w:eastAsia="en-GB"/>
              </w:rPr>
              <w:t>9</w:t>
            </w:r>
          </w:p>
        </w:tc>
      </w:tr>
      <w:tr w:rsidR="00A2758A" w:rsidRPr="00685CA8" w14:paraId="5E46EE61" w14:textId="77777777" w:rsidTr="00A2758A">
        <w:trPr>
          <w:trHeight w:val="411"/>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7BB27D30" w14:textId="77777777" w:rsidR="00A2758A" w:rsidRPr="006F5953" w:rsidRDefault="00A2758A" w:rsidP="00A2758A">
            <w:pPr>
              <w:rPr>
                <w:rFonts w:cs="Arial"/>
                <w:b/>
                <w:bCs/>
                <w:color w:val="000000"/>
                <w:sz w:val="22"/>
                <w:szCs w:val="22"/>
                <w:lang w:eastAsia="en-GB"/>
              </w:rPr>
            </w:pPr>
            <w:r w:rsidRPr="006F5953">
              <w:rPr>
                <w:rFonts w:cs="Arial"/>
                <w:b/>
                <w:color w:val="000000"/>
                <w:sz w:val="22"/>
                <w:szCs w:val="22"/>
                <w:lang w:eastAsia="en-GB"/>
              </w:rPr>
              <w:t xml:space="preserve">OPTION </w:t>
            </w:r>
            <w:r>
              <w:rPr>
                <w:rFonts w:cs="Arial"/>
                <w:b/>
                <w:color w:val="000000"/>
                <w:sz w:val="22"/>
                <w:szCs w:val="22"/>
                <w:lang w:eastAsia="en-GB"/>
              </w:rPr>
              <w:t>3</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0979A7D5" w14:textId="77777777" w:rsidR="00A2758A" w:rsidRPr="006F5953" w:rsidRDefault="00A2758A" w:rsidP="00A2758A">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1B284091" w14:textId="77777777" w:rsidR="00A2758A" w:rsidRPr="006F5953" w:rsidRDefault="00A2758A" w:rsidP="00A2758A">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7241B844" w14:textId="77777777" w:rsidR="00A2758A" w:rsidRPr="006F5953" w:rsidRDefault="00A2758A" w:rsidP="00A2758A">
            <w:pPr>
              <w:jc w:val="right"/>
              <w:rPr>
                <w:rFonts w:cs="Arial"/>
                <w:b/>
                <w:bCs/>
                <w:color w:val="000000"/>
                <w:sz w:val="22"/>
                <w:szCs w:val="22"/>
                <w:lang w:eastAsia="en-GB"/>
              </w:rPr>
            </w:pPr>
          </w:p>
        </w:tc>
      </w:tr>
      <w:tr w:rsidR="00A2758A" w:rsidRPr="00685CA8" w14:paraId="2E94C626" w14:textId="77777777" w:rsidTr="00A2758A">
        <w:trPr>
          <w:trHeight w:val="411"/>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6233EBCF" w14:textId="77777777" w:rsidR="00A2758A" w:rsidRPr="006F5953" w:rsidRDefault="00A2758A" w:rsidP="00A2758A">
            <w:pPr>
              <w:rPr>
                <w:rFonts w:cs="Arial"/>
                <w:b/>
                <w:bCs/>
                <w:color w:val="000000"/>
                <w:sz w:val="22"/>
                <w:szCs w:val="22"/>
                <w:lang w:eastAsia="en-GB"/>
              </w:rPr>
            </w:pPr>
            <w:r w:rsidRPr="006F5953">
              <w:rPr>
                <w:rFonts w:cs="Arial"/>
                <w:b/>
                <w:color w:val="000000"/>
                <w:sz w:val="22"/>
                <w:szCs w:val="22"/>
                <w:lang w:eastAsia="en-GB"/>
              </w:rPr>
              <w:t>Costs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7CEA459A" w14:textId="77777777" w:rsidR="00A2758A" w:rsidRPr="006F5953" w:rsidRDefault="00A2758A" w:rsidP="00A2758A">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427D2A3E" w14:textId="77777777" w:rsidR="00A2758A" w:rsidRPr="006F5953" w:rsidRDefault="00A2758A" w:rsidP="00A2758A">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56CA6BC2" w14:textId="77777777" w:rsidR="00A2758A" w:rsidRPr="006F5953" w:rsidRDefault="00A2758A" w:rsidP="00A2758A">
            <w:pPr>
              <w:jc w:val="right"/>
              <w:rPr>
                <w:rFonts w:cs="Arial"/>
                <w:b/>
                <w:bCs/>
                <w:color w:val="000000"/>
                <w:sz w:val="22"/>
                <w:szCs w:val="22"/>
                <w:lang w:eastAsia="en-GB"/>
              </w:rPr>
            </w:pPr>
          </w:p>
        </w:tc>
      </w:tr>
      <w:tr w:rsidR="00A2758A" w:rsidRPr="00685CA8" w14:paraId="00E9A29A" w14:textId="77777777" w:rsidTr="00A2758A">
        <w:trPr>
          <w:trHeight w:val="411"/>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1C825D06" w14:textId="77777777" w:rsidR="00A2758A" w:rsidRPr="006F5953" w:rsidRDefault="00A2758A" w:rsidP="00A2758A">
            <w:pPr>
              <w:rPr>
                <w:rFonts w:cs="Arial"/>
                <w:b/>
                <w:bCs/>
                <w:color w:val="000000"/>
                <w:sz w:val="22"/>
                <w:szCs w:val="22"/>
                <w:lang w:eastAsia="en-GB"/>
              </w:rPr>
            </w:pPr>
            <w:r w:rsidRPr="006F5953">
              <w:rPr>
                <w:rFonts w:cs="Arial"/>
                <w:color w:val="000000"/>
                <w:sz w:val="22"/>
                <w:szCs w:val="22"/>
                <w:lang w:eastAsia="en-GB"/>
              </w:rPr>
              <w:t>Transitional costs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50377204" w14:textId="77777777" w:rsidR="00A2758A" w:rsidRPr="006F5953" w:rsidRDefault="00A2758A" w:rsidP="00A2758A">
            <w:pPr>
              <w:jc w:val="right"/>
              <w:rPr>
                <w:rFonts w:cs="Arial"/>
                <w:b/>
                <w:bCs/>
                <w:color w:val="000000"/>
                <w:sz w:val="22"/>
                <w:szCs w:val="22"/>
                <w:lang w:eastAsia="en-GB"/>
              </w:rPr>
            </w:pPr>
            <w:r w:rsidRPr="006F5953">
              <w:rPr>
                <w:rFonts w:cs="Arial"/>
                <w:bCs/>
                <w:color w:val="000000"/>
                <w:sz w:val="22"/>
                <w:szCs w:val="22"/>
                <w:lang w:eastAsia="en-GB"/>
              </w:rPr>
              <w:t>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7A1DDE30" w14:textId="77777777" w:rsidR="00A2758A" w:rsidRPr="006F5953" w:rsidRDefault="00A2758A" w:rsidP="00A2758A">
            <w:pPr>
              <w:jc w:val="right"/>
              <w:rPr>
                <w:rFonts w:cs="Arial"/>
                <w:b/>
                <w:bCs/>
                <w:color w:val="000000"/>
                <w:sz w:val="22"/>
                <w:szCs w:val="22"/>
                <w:lang w:eastAsia="en-GB"/>
              </w:rPr>
            </w:pPr>
            <w:r w:rsidRPr="006F5953">
              <w:rPr>
                <w:rFonts w:cs="Arial"/>
                <w:bCs/>
                <w:color w:val="000000"/>
                <w:sz w:val="22"/>
                <w:szCs w:val="22"/>
                <w:lang w:eastAsia="en-GB"/>
              </w:rPr>
              <w:t>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66E1D65D" w14:textId="77777777" w:rsidR="00A2758A" w:rsidRPr="006F5953" w:rsidRDefault="00A2758A" w:rsidP="00A2758A">
            <w:pPr>
              <w:jc w:val="right"/>
              <w:rPr>
                <w:rFonts w:cs="Arial"/>
                <w:b/>
                <w:bCs/>
                <w:color w:val="000000"/>
                <w:sz w:val="22"/>
                <w:szCs w:val="22"/>
                <w:lang w:eastAsia="en-GB"/>
              </w:rPr>
            </w:pPr>
            <w:r w:rsidRPr="006F5953">
              <w:rPr>
                <w:rFonts w:cs="Arial"/>
                <w:bCs/>
                <w:color w:val="000000"/>
                <w:sz w:val="22"/>
                <w:szCs w:val="22"/>
                <w:lang w:eastAsia="en-GB"/>
              </w:rPr>
              <w:t>0</w:t>
            </w:r>
          </w:p>
        </w:tc>
      </w:tr>
      <w:tr w:rsidR="00A2758A" w:rsidRPr="00685CA8" w14:paraId="72ED28BA" w14:textId="77777777" w:rsidTr="00A2758A">
        <w:trPr>
          <w:trHeight w:val="411"/>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1E0FA83E" w14:textId="77777777" w:rsidR="00A2758A" w:rsidRPr="006F5953" w:rsidRDefault="00A2758A" w:rsidP="00A2758A">
            <w:pPr>
              <w:rPr>
                <w:rFonts w:cs="Arial"/>
                <w:b/>
                <w:bCs/>
                <w:color w:val="000000"/>
                <w:sz w:val="22"/>
                <w:szCs w:val="22"/>
                <w:lang w:eastAsia="en-GB"/>
              </w:rPr>
            </w:pPr>
            <w:r w:rsidRPr="006F5953">
              <w:rPr>
                <w:rFonts w:cs="Arial"/>
                <w:color w:val="000000"/>
                <w:sz w:val="22"/>
                <w:szCs w:val="22"/>
                <w:lang w:eastAsia="en-GB"/>
              </w:rPr>
              <w:t>On-going Costs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59B61223" w14:textId="77777777" w:rsidR="00A2758A" w:rsidRPr="006F5953" w:rsidRDefault="00A2758A" w:rsidP="00A2758A">
            <w:pPr>
              <w:jc w:val="right"/>
              <w:rPr>
                <w:rFonts w:cs="Arial"/>
                <w:b/>
                <w:bCs/>
                <w:color w:val="000000"/>
                <w:sz w:val="22"/>
                <w:szCs w:val="22"/>
                <w:lang w:eastAsia="en-GB"/>
              </w:rPr>
            </w:pPr>
            <w:r w:rsidRPr="006F5953">
              <w:rPr>
                <w:rFonts w:cs="Arial"/>
                <w:bCs/>
                <w:color w:val="000000"/>
                <w:sz w:val="22"/>
                <w:szCs w:val="22"/>
                <w:lang w:eastAsia="en-GB"/>
              </w:rPr>
              <w:t>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38E2B639" w14:textId="77777777" w:rsidR="00A2758A" w:rsidRPr="006F5953" w:rsidRDefault="00A2758A" w:rsidP="00A2758A">
            <w:pPr>
              <w:jc w:val="right"/>
              <w:rPr>
                <w:rFonts w:cs="Arial"/>
                <w:b/>
                <w:bCs/>
                <w:color w:val="000000"/>
                <w:sz w:val="22"/>
                <w:szCs w:val="22"/>
                <w:lang w:eastAsia="en-GB"/>
              </w:rPr>
            </w:pPr>
            <w:r w:rsidRPr="006F5953">
              <w:rPr>
                <w:rFonts w:cs="Arial"/>
                <w:bCs/>
                <w:color w:val="000000"/>
                <w:sz w:val="22"/>
                <w:szCs w:val="22"/>
                <w:lang w:eastAsia="en-GB"/>
              </w:rPr>
              <w:t>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6C758145" w14:textId="77777777" w:rsidR="00A2758A" w:rsidRPr="006F5953" w:rsidRDefault="00A2758A" w:rsidP="00A2758A">
            <w:pPr>
              <w:jc w:val="right"/>
              <w:rPr>
                <w:rFonts w:cs="Arial"/>
                <w:b/>
                <w:bCs/>
                <w:color w:val="000000"/>
                <w:sz w:val="22"/>
                <w:szCs w:val="22"/>
                <w:lang w:eastAsia="en-GB"/>
              </w:rPr>
            </w:pPr>
            <w:r w:rsidRPr="006F5953">
              <w:rPr>
                <w:rFonts w:cs="Arial"/>
                <w:bCs/>
                <w:color w:val="000000"/>
                <w:sz w:val="22"/>
                <w:szCs w:val="22"/>
                <w:lang w:eastAsia="en-GB"/>
              </w:rPr>
              <w:t>0</w:t>
            </w:r>
          </w:p>
        </w:tc>
      </w:tr>
      <w:tr w:rsidR="00A2758A" w:rsidRPr="00685CA8" w14:paraId="7DA6ECDC" w14:textId="77777777" w:rsidTr="00A2758A">
        <w:trPr>
          <w:trHeight w:val="411"/>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0F4060BC" w14:textId="77777777" w:rsidR="00A2758A" w:rsidRPr="006F5953" w:rsidRDefault="00A2758A" w:rsidP="00A2758A">
            <w:pPr>
              <w:rPr>
                <w:rFonts w:cs="Arial"/>
                <w:b/>
                <w:bCs/>
                <w:color w:val="000000"/>
                <w:sz w:val="22"/>
                <w:szCs w:val="22"/>
                <w:lang w:eastAsia="en-GB"/>
              </w:rPr>
            </w:pPr>
            <w:r w:rsidRPr="006F5953">
              <w:rPr>
                <w:rFonts w:cs="Arial"/>
                <w:b/>
                <w:color w:val="000000"/>
                <w:sz w:val="22"/>
                <w:szCs w:val="22"/>
                <w:lang w:eastAsia="en-GB"/>
              </w:rPr>
              <w:t>Benefits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33CBB4D6" w14:textId="77777777" w:rsidR="00A2758A" w:rsidRPr="006F5953" w:rsidRDefault="00A2758A" w:rsidP="00A2758A">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28E5337C" w14:textId="77777777" w:rsidR="00A2758A" w:rsidRPr="006F5953" w:rsidRDefault="00A2758A" w:rsidP="00A2758A">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7BF4E94B" w14:textId="77777777" w:rsidR="00A2758A" w:rsidRPr="006F5953" w:rsidRDefault="00A2758A" w:rsidP="00A2758A">
            <w:pPr>
              <w:jc w:val="right"/>
              <w:rPr>
                <w:rFonts w:cs="Arial"/>
                <w:b/>
                <w:bCs/>
                <w:color w:val="000000"/>
                <w:sz w:val="22"/>
                <w:szCs w:val="22"/>
                <w:lang w:eastAsia="en-GB"/>
              </w:rPr>
            </w:pPr>
          </w:p>
        </w:tc>
      </w:tr>
      <w:tr w:rsidR="00A2758A" w:rsidRPr="00685CA8" w14:paraId="3C666068" w14:textId="77777777" w:rsidTr="00A2758A">
        <w:trPr>
          <w:trHeight w:val="411"/>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07D9B5A0" w14:textId="77777777" w:rsidR="00A2758A" w:rsidRPr="006F5953" w:rsidRDefault="00A2758A" w:rsidP="00A2758A">
            <w:pPr>
              <w:rPr>
                <w:rFonts w:cs="Arial"/>
                <w:b/>
                <w:bCs/>
                <w:color w:val="000000"/>
                <w:sz w:val="22"/>
                <w:szCs w:val="22"/>
                <w:lang w:eastAsia="en-GB"/>
              </w:rPr>
            </w:pPr>
            <w:r w:rsidRPr="006F5953">
              <w:rPr>
                <w:rFonts w:cs="Arial"/>
                <w:color w:val="000000"/>
                <w:sz w:val="22"/>
                <w:szCs w:val="22"/>
                <w:lang w:eastAsia="en-GB"/>
              </w:rPr>
              <w:t>Transitional benefits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46197EC9" w14:textId="77777777" w:rsidR="00A2758A" w:rsidRPr="006F5953" w:rsidRDefault="00A2758A" w:rsidP="00A2758A">
            <w:pPr>
              <w:jc w:val="right"/>
              <w:rPr>
                <w:rFonts w:cs="Arial"/>
                <w:b/>
                <w:bCs/>
                <w:color w:val="000000"/>
                <w:sz w:val="22"/>
                <w:szCs w:val="22"/>
                <w:lang w:eastAsia="en-GB"/>
              </w:rPr>
            </w:pPr>
            <w:r w:rsidRPr="006F5953">
              <w:rPr>
                <w:rFonts w:cs="Arial"/>
                <w:bCs/>
                <w:color w:val="000000"/>
                <w:sz w:val="22"/>
                <w:szCs w:val="22"/>
                <w:lang w:eastAsia="en-GB"/>
              </w:rPr>
              <w:t>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5B21BFAE" w14:textId="77777777" w:rsidR="00A2758A" w:rsidRPr="006F5953" w:rsidRDefault="00A2758A" w:rsidP="00A2758A">
            <w:pPr>
              <w:jc w:val="right"/>
              <w:rPr>
                <w:rFonts w:cs="Arial"/>
                <w:b/>
                <w:bCs/>
                <w:color w:val="000000"/>
                <w:sz w:val="22"/>
                <w:szCs w:val="22"/>
                <w:lang w:eastAsia="en-GB"/>
              </w:rPr>
            </w:pPr>
            <w:r w:rsidRPr="006F5953">
              <w:rPr>
                <w:rFonts w:cs="Arial"/>
                <w:bCs/>
                <w:color w:val="000000"/>
                <w:sz w:val="22"/>
                <w:szCs w:val="22"/>
                <w:lang w:eastAsia="en-GB"/>
              </w:rPr>
              <w:t>0</w:t>
            </w: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38C36E2C" w14:textId="77777777" w:rsidR="00A2758A" w:rsidRPr="006F5953" w:rsidRDefault="00A2758A" w:rsidP="00A2758A">
            <w:pPr>
              <w:jc w:val="right"/>
              <w:rPr>
                <w:rFonts w:cs="Arial"/>
                <w:b/>
                <w:bCs/>
                <w:color w:val="000000"/>
                <w:sz w:val="22"/>
                <w:szCs w:val="22"/>
                <w:lang w:eastAsia="en-GB"/>
              </w:rPr>
            </w:pPr>
            <w:r w:rsidRPr="006F5953">
              <w:rPr>
                <w:rFonts w:cs="Arial"/>
                <w:bCs/>
                <w:color w:val="000000"/>
                <w:sz w:val="22"/>
                <w:szCs w:val="22"/>
                <w:lang w:eastAsia="en-GB"/>
              </w:rPr>
              <w:t>0</w:t>
            </w:r>
          </w:p>
        </w:tc>
      </w:tr>
      <w:tr w:rsidR="00A2758A" w:rsidRPr="00685CA8" w14:paraId="2147279C" w14:textId="77777777" w:rsidTr="00A2758A">
        <w:trPr>
          <w:trHeight w:val="411"/>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3E8D4821" w14:textId="77777777" w:rsidR="00A2758A" w:rsidRPr="006F5953" w:rsidRDefault="00A2758A" w:rsidP="00A2758A">
            <w:pPr>
              <w:rPr>
                <w:rFonts w:cs="Arial"/>
                <w:b/>
                <w:bCs/>
                <w:color w:val="000000"/>
                <w:sz w:val="22"/>
                <w:szCs w:val="22"/>
                <w:lang w:eastAsia="en-GB"/>
              </w:rPr>
            </w:pPr>
            <w:r w:rsidRPr="006F5953">
              <w:rPr>
                <w:rFonts w:cs="Arial"/>
                <w:color w:val="000000"/>
                <w:sz w:val="22"/>
                <w:szCs w:val="22"/>
                <w:lang w:eastAsia="en-GB"/>
              </w:rPr>
              <w:t>On-going benefits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4D14E55E" w14:textId="77777777" w:rsidR="00A2758A" w:rsidRPr="006F5953" w:rsidRDefault="00A2758A" w:rsidP="00A2758A">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35B016A6" w14:textId="77777777" w:rsidR="00A2758A" w:rsidRPr="006F5953" w:rsidRDefault="00A2758A" w:rsidP="00A2758A">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3F61AD6E" w14:textId="77777777" w:rsidR="00A2758A" w:rsidRPr="006F5953" w:rsidRDefault="00A2758A" w:rsidP="00A2758A">
            <w:pPr>
              <w:jc w:val="right"/>
              <w:rPr>
                <w:rFonts w:cs="Arial"/>
                <w:b/>
                <w:bCs/>
                <w:color w:val="000000"/>
                <w:sz w:val="22"/>
                <w:szCs w:val="22"/>
                <w:lang w:eastAsia="en-GB"/>
              </w:rPr>
            </w:pPr>
          </w:p>
        </w:tc>
      </w:tr>
      <w:tr w:rsidR="00A2758A" w:rsidRPr="006F5953" w14:paraId="289DBDC6" w14:textId="77777777" w:rsidTr="00A2758A">
        <w:trPr>
          <w:trHeight w:val="411"/>
        </w:trPr>
        <w:tc>
          <w:tcPr>
            <w:tcW w:w="4633" w:type="dxa"/>
            <w:tcBorders>
              <w:top w:val="single" w:sz="8" w:space="0" w:color="auto"/>
              <w:left w:val="single" w:sz="8" w:space="0" w:color="auto"/>
              <w:bottom w:val="single" w:sz="8" w:space="0" w:color="auto"/>
              <w:right w:val="single" w:sz="8" w:space="0" w:color="auto"/>
            </w:tcBorders>
            <w:shd w:val="clear" w:color="auto" w:fill="auto"/>
            <w:vAlign w:val="bottom"/>
          </w:tcPr>
          <w:p w14:paraId="41C74C8F" w14:textId="77777777" w:rsidR="00A2758A" w:rsidRPr="006F5953" w:rsidRDefault="00A2758A" w:rsidP="00A2758A">
            <w:pPr>
              <w:rPr>
                <w:rFonts w:cs="Arial"/>
                <w:b/>
                <w:bCs/>
                <w:color w:val="000000"/>
                <w:sz w:val="22"/>
                <w:szCs w:val="22"/>
                <w:lang w:eastAsia="en-GB"/>
              </w:rPr>
            </w:pPr>
            <w:r w:rsidRPr="006F5953">
              <w:rPr>
                <w:rFonts w:cs="Arial"/>
                <w:b/>
                <w:bCs/>
                <w:color w:val="000000"/>
                <w:sz w:val="22"/>
                <w:szCs w:val="22"/>
                <w:lang w:eastAsia="en-GB"/>
              </w:rPr>
              <w:t>Total savings</w:t>
            </w:r>
          </w:p>
        </w:tc>
        <w:tc>
          <w:tcPr>
            <w:tcW w:w="1743" w:type="dxa"/>
            <w:tcBorders>
              <w:top w:val="single" w:sz="8" w:space="0" w:color="auto"/>
              <w:left w:val="nil"/>
              <w:bottom w:val="single" w:sz="8" w:space="0" w:color="auto"/>
              <w:right w:val="single" w:sz="8" w:space="0" w:color="auto"/>
            </w:tcBorders>
            <w:shd w:val="clear" w:color="auto" w:fill="auto"/>
            <w:noWrap/>
            <w:vAlign w:val="bottom"/>
          </w:tcPr>
          <w:p w14:paraId="15D0EF55" w14:textId="77777777" w:rsidR="00A2758A" w:rsidRPr="006F5953" w:rsidRDefault="00A2758A" w:rsidP="00A2758A">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0B7A3A24" w14:textId="77777777" w:rsidR="00A2758A" w:rsidRPr="006F5953" w:rsidRDefault="00A2758A" w:rsidP="00A2758A">
            <w:pPr>
              <w:jc w:val="right"/>
              <w:rPr>
                <w:rFonts w:cs="Arial"/>
                <w:b/>
                <w:bCs/>
                <w:color w:val="000000"/>
                <w:sz w:val="22"/>
                <w:szCs w:val="22"/>
                <w:lang w:eastAsia="en-GB"/>
              </w:rPr>
            </w:pPr>
          </w:p>
        </w:tc>
        <w:tc>
          <w:tcPr>
            <w:tcW w:w="1626" w:type="dxa"/>
            <w:tcBorders>
              <w:top w:val="single" w:sz="8" w:space="0" w:color="auto"/>
              <w:left w:val="nil"/>
              <w:bottom w:val="single" w:sz="8" w:space="0" w:color="auto"/>
              <w:right w:val="single" w:sz="8" w:space="0" w:color="auto"/>
            </w:tcBorders>
            <w:shd w:val="clear" w:color="auto" w:fill="auto"/>
            <w:noWrap/>
            <w:vAlign w:val="bottom"/>
          </w:tcPr>
          <w:p w14:paraId="6B153BA3" w14:textId="77777777" w:rsidR="00A2758A" w:rsidRPr="006F5953" w:rsidRDefault="00A2758A" w:rsidP="00A2758A">
            <w:pPr>
              <w:jc w:val="right"/>
              <w:rPr>
                <w:rFonts w:cs="Arial"/>
                <w:b/>
                <w:bCs/>
                <w:color w:val="000000"/>
                <w:sz w:val="22"/>
                <w:szCs w:val="22"/>
                <w:lang w:eastAsia="en-GB"/>
              </w:rPr>
            </w:pPr>
          </w:p>
        </w:tc>
      </w:tr>
    </w:tbl>
    <w:p w14:paraId="46861B96" w14:textId="77777777" w:rsidR="005057E8" w:rsidRPr="006F5953" w:rsidRDefault="005057E8" w:rsidP="000B308F">
      <w:pPr>
        <w:ind w:firstLine="720"/>
        <w:rPr>
          <w:sz w:val="18"/>
          <w:szCs w:val="18"/>
        </w:rPr>
      </w:pPr>
      <w:r w:rsidRPr="006F5953">
        <w:rPr>
          <w:sz w:val="18"/>
          <w:szCs w:val="18"/>
        </w:rPr>
        <w:t>Source: Law Commission, own estimates, 2020.</w:t>
      </w:r>
    </w:p>
    <w:p w14:paraId="21DD2E59" w14:textId="77777777" w:rsidR="005057E8" w:rsidRDefault="00782C80" w:rsidP="005057E8">
      <w:pPr>
        <w:pStyle w:val="EBBodyPara"/>
      </w:pPr>
      <w:r>
        <w:tab/>
      </w:r>
      <w:r>
        <w:tab/>
      </w:r>
    </w:p>
    <w:p w14:paraId="5ECCECE5" w14:textId="50320ACC" w:rsidR="00D73EE9" w:rsidRPr="00D73EE9" w:rsidRDefault="00D73EE9" w:rsidP="00D73EE9">
      <w:pPr>
        <w:pStyle w:val="ListParagraph"/>
        <w:numPr>
          <w:ilvl w:val="0"/>
          <w:numId w:val="34"/>
        </w:numPr>
        <w:spacing w:after="120"/>
        <w:rPr>
          <w:rFonts w:cs="Arial"/>
        </w:rPr>
      </w:pPr>
      <w:r w:rsidRPr="00D73EE9">
        <w:rPr>
          <w:rFonts w:cs="Arial"/>
        </w:rPr>
        <w:t>For the reasons given on page 17, Option 1 is our preferred option.</w:t>
      </w:r>
    </w:p>
    <w:p w14:paraId="2AD511C5" w14:textId="77777777" w:rsidR="00D73EE9" w:rsidRDefault="00D73EE9" w:rsidP="008449EE">
      <w:pPr>
        <w:ind w:left="720"/>
        <w:rPr>
          <w:rFonts w:cs="Arial"/>
          <w:b/>
          <w:sz w:val="32"/>
          <w:szCs w:val="32"/>
        </w:rPr>
      </w:pPr>
    </w:p>
    <w:p w14:paraId="3D47D28A" w14:textId="00EEA8C3" w:rsidR="00742D37" w:rsidRPr="000B308F" w:rsidRDefault="00B65926" w:rsidP="008449EE">
      <w:pPr>
        <w:ind w:left="720"/>
        <w:rPr>
          <w:rFonts w:cs="Arial"/>
          <w:b/>
          <w:sz w:val="32"/>
          <w:szCs w:val="32"/>
        </w:rPr>
      </w:pPr>
      <w:r w:rsidRPr="000B308F">
        <w:rPr>
          <w:rFonts w:cs="Arial"/>
          <w:b/>
          <w:sz w:val="32"/>
          <w:szCs w:val="32"/>
        </w:rPr>
        <w:t>Assumptions and Risks</w:t>
      </w:r>
    </w:p>
    <w:p w14:paraId="0764D98B" w14:textId="77777777" w:rsidR="00B65926" w:rsidRDefault="00B65926" w:rsidP="008449EE">
      <w:pPr>
        <w:ind w:left="720"/>
        <w:rPr>
          <w:rFonts w:cs="Arial"/>
        </w:rPr>
      </w:pPr>
    </w:p>
    <w:p w14:paraId="42FA6211" w14:textId="77777777" w:rsidR="00B65926" w:rsidRPr="00F9788B" w:rsidRDefault="00B65926" w:rsidP="000B308F">
      <w:pPr>
        <w:pStyle w:val="ListParagraph"/>
        <w:numPr>
          <w:ilvl w:val="0"/>
          <w:numId w:val="34"/>
        </w:numPr>
        <w:spacing w:after="120"/>
        <w:rPr>
          <w:rFonts w:cs="Arial"/>
        </w:rPr>
      </w:pPr>
      <w:r w:rsidRPr="00323A42">
        <w:rPr>
          <w:rFonts w:cs="Arial"/>
        </w:rPr>
        <w:t xml:space="preserve">Pension </w:t>
      </w:r>
      <w:r w:rsidR="00E82DAA">
        <w:rPr>
          <w:rFonts w:cs="Arial"/>
        </w:rPr>
        <w:t>costs relating to employees of the</w:t>
      </w:r>
      <w:r w:rsidRPr="00323A42">
        <w:rPr>
          <w:rFonts w:cs="Arial"/>
        </w:rPr>
        <w:t xml:space="preserve"> </w:t>
      </w:r>
      <w:r w:rsidR="00C25BE0">
        <w:rPr>
          <w:rFonts w:cs="Arial"/>
        </w:rPr>
        <w:t>Valuation Tribunal for Wales</w:t>
      </w:r>
      <w:r w:rsidR="008D5297" w:rsidRPr="00F9788B">
        <w:rPr>
          <w:rFonts w:cs="Arial"/>
        </w:rPr>
        <w:t xml:space="preserve">. </w:t>
      </w:r>
      <w:r w:rsidR="00C25BE0">
        <w:rPr>
          <w:rFonts w:cs="Arial"/>
        </w:rPr>
        <w:t>Valuation Tribunal for Wales</w:t>
      </w:r>
      <w:r w:rsidR="008D5297" w:rsidRPr="00F9788B">
        <w:rPr>
          <w:rFonts w:cs="Arial"/>
        </w:rPr>
        <w:t xml:space="preserve"> </w:t>
      </w:r>
      <w:r w:rsidR="00E82DAA">
        <w:rPr>
          <w:rFonts w:cs="Arial"/>
        </w:rPr>
        <w:t>employees</w:t>
      </w:r>
      <w:r w:rsidR="008D5297" w:rsidRPr="00F9788B">
        <w:rPr>
          <w:rFonts w:cs="Arial"/>
        </w:rPr>
        <w:t xml:space="preserve"> </w:t>
      </w:r>
      <w:r w:rsidR="00E82DAA">
        <w:rPr>
          <w:rFonts w:cs="Arial"/>
        </w:rPr>
        <w:t>are currently members of the Local Government Pension Scheme</w:t>
      </w:r>
      <w:r w:rsidR="008D5297" w:rsidRPr="00F9788B">
        <w:rPr>
          <w:rFonts w:cs="Arial"/>
        </w:rPr>
        <w:t xml:space="preserve">. </w:t>
      </w:r>
      <w:r w:rsidR="00E82DAA">
        <w:rPr>
          <w:rFonts w:cs="Arial"/>
        </w:rPr>
        <w:t>A p</w:t>
      </w:r>
      <w:r w:rsidR="008D5297" w:rsidRPr="00F9788B">
        <w:rPr>
          <w:rFonts w:cs="Arial"/>
        </w:rPr>
        <w:t>roposed move to the unified first-tier tribunal system</w:t>
      </w:r>
      <w:r w:rsidR="004D513E">
        <w:rPr>
          <w:rFonts w:cs="Arial"/>
        </w:rPr>
        <w:t xml:space="preserve"> may involve a significant one-off cost arising from the transfer of staff. </w:t>
      </w:r>
    </w:p>
    <w:p w14:paraId="1A910556" w14:textId="77777777" w:rsidR="008D5297" w:rsidRDefault="008D5297">
      <w:pPr>
        <w:ind w:left="720"/>
        <w:rPr>
          <w:rFonts w:cs="Arial"/>
        </w:rPr>
      </w:pPr>
    </w:p>
    <w:p w14:paraId="488681F1" w14:textId="77777777" w:rsidR="008D5297" w:rsidRDefault="0004404F" w:rsidP="000B308F">
      <w:pPr>
        <w:pStyle w:val="ListParagraph"/>
        <w:numPr>
          <w:ilvl w:val="0"/>
          <w:numId w:val="34"/>
        </w:numPr>
        <w:spacing w:after="120"/>
        <w:rPr>
          <w:rFonts w:cs="Arial"/>
        </w:rPr>
      </w:pPr>
      <w:r>
        <w:rPr>
          <w:rFonts w:cs="Arial"/>
        </w:rPr>
        <w:t>Depending on the type of appeal introduced, t</w:t>
      </w:r>
      <w:r w:rsidR="008D5297">
        <w:rPr>
          <w:rFonts w:cs="Arial"/>
        </w:rPr>
        <w:t xml:space="preserve">he cost of setting up new appeal routes to the </w:t>
      </w:r>
      <w:r w:rsidR="00E82DAA">
        <w:rPr>
          <w:rFonts w:cs="Arial"/>
        </w:rPr>
        <w:t>F</w:t>
      </w:r>
      <w:r w:rsidR="008D5297">
        <w:rPr>
          <w:rFonts w:cs="Arial"/>
        </w:rPr>
        <w:t>irst</w:t>
      </w:r>
      <w:r w:rsidR="00E82DAA">
        <w:rPr>
          <w:rFonts w:cs="Arial"/>
        </w:rPr>
        <w:t>-t</w:t>
      </w:r>
      <w:r w:rsidR="008D5297">
        <w:rPr>
          <w:rFonts w:cs="Arial"/>
        </w:rPr>
        <w:t xml:space="preserve">ier tribunal may require </w:t>
      </w:r>
      <w:r>
        <w:rPr>
          <w:rFonts w:cs="Arial"/>
        </w:rPr>
        <w:t>consequent adjustments to IT. Those costs vary from appeal route to appeal route, and have</w:t>
      </w:r>
      <w:r w:rsidR="008D5297">
        <w:rPr>
          <w:rFonts w:cs="Arial"/>
        </w:rPr>
        <w:t xml:space="preserve"> not been factored into the cost schedule.</w:t>
      </w:r>
    </w:p>
    <w:p w14:paraId="6B33E240" w14:textId="77777777" w:rsidR="008D5297" w:rsidRDefault="008D5297">
      <w:pPr>
        <w:ind w:left="720"/>
        <w:rPr>
          <w:rFonts w:cs="Arial"/>
        </w:rPr>
      </w:pPr>
    </w:p>
    <w:p w14:paraId="407B9A13" w14:textId="77777777" w:rsidR="00782C80" w:rsidRDefault="004D513E" w:rsidP="000B308F">
      <w:pPr>
        <w:pStyle w:val="ListParagraph"/>
        <w:numPr>
          <w:ilvl w:val="0"/>
          <w:numId w:val="34"/>
        </w:numPr>
        <w:spacing w:after="120"/>
        <w:rPr>
          <w:rFonts w:cs="Arial"/>
        </w:rPr>
      </w:pPr>
      <w:r>
        <w:rPr>
          <w:rFonts w:cs="Arial"/>
        </w:rPr>
        <w:t>We assume that a reformed Welsh Tribunals Unit would continue to be spread across different Welsh Government buildings, with tribunal cases continuing to be heard in their current locations.</w:t>
      </w:r>
    </w:p>
    <w:p w14:paraId="60D2A93C" w14:textId="77777777" w:rsidR="00782C80" w:rsidRDefault="00782C80">
      <w:pPr>
        <w:ind w:left="720"/>
        <w:rPr>
          <w:rFonts w:cs="Arial"/>
        </w:rPr>
      </w:pPr>
    </w:p>
    <w:p w14:paraId="0CB356F0" w14:textId="77777777" w:rsidR="00473876" w:rsidRDefault="00612A3A" w:rsidP="000B308F">
      <w:pPr>
        <w:pStyle w:val="ListParagraph"/>
        <w:numPr>
          <w:ilvl w:val="0"/>
          <w:numId w:val="34"/>
        </w:numPr>
        <w:spacing w:after="120"/>
        <w:rPr>
          <w:rFonts w:cs="Arial"/>
        </w:rPr>
      </w:pPr>
      <w:r>
        <w:rPr>
          <w:rFonts w:cs="Arial"/>
        </w:rPr>
        <w:t>Trend in creation of t</w:t>
      </w:r>
      <w:r w:rsidR="00473876">
        <w:rPr>
          <w:rFonts w:cs="Arial"/>
        </w:rPr>
        <w:t>ribunals unlikely to change</w:t>
      </w:r>
      <w:r>
        <w:rPr>
          <w:rFonts w:cs="Arial"/>
        </w:rPr>
        <w:t>.</w:t>
      </w:r>
    </w:p>
    <w:p w14:paraId="571AFD7E" w14:textId="77777777" w:rsidR="00473876" w:rsidRDefault="00473876">
      <w:pPr>
        <w:ind w:left="720"/>
        <w:rPr>
          <w:rFonts w:cs="Arial"/>
        </w:rPr>
      </w:pPr>
    </w:p>
    <w:p w14:paraId="417BAF7A" w14:textId="77777777" w:rsidR="00782C80" w:rsidRPr="005F140B" w:rsidRDefault="00473876">
      <w:pPr>
        <w:ind w:left="720"/>
        <w:rPr>
          <w:rFonts w:cs="Arial"/>
        </w:rPr>
      </w:pPr>
      <w:r>
        <w:rPr>
          <w:rFonts w:cs="Arial"/>
        </w:rPr>
        <w:t xml:space="preserve"> </w:t>
      </w:r>
    </w:p>
    <w:p w14:paraId="4107B9F4" w14:textId="77777777" w:rsidR="00742D37" w:rsidRPr="005F140B" w:rsidRDefault="00742D37" w:rsidP="00742D37">
      <w:pPr>
        <w:ind w:left="720"/>
        <w:rPr>
          <w:rFonts w:cs="Arial"/>
        </w:rPr>
      </w:pPr>
    </w:p>
    <w:p w14:paraId="6075AF4A" w14:textId="77777777" w:rsidR="00742D37" w:rsidRPr="000B308F" w:rsidRDefault="008449EE" w:rsidP="002A6CB2">
      <w:pPr>
        <w:rPr>
          <w:rFonts w:cs="Arial"/>
          <w:b/>
          <w:iCs/>
          <w:sz w:val="32"/>
          <w:szCs w:val="32"/>
          <w:lang w:eastAsia="en-GB"/>
        </w:rPr>
      </w:pPr>
      <w:r>
        <w:rPr>
          <w:rFonts w:cs="Arial"/>
          <w:iCs/>
          <w:lang w:eastAsia="en-GB"/>
        </w:rPr>
        <w:tab/>
      </w:r>
      <w:r w:rsidRPr="000B308F">
        <w:rPr>
          <w:rFonts w:cs="Arial"/>
          <w:b/>
          <w:iCs/>
          <w:sz w:val="32"/>
          <w:szCs w:val="32"/>
          <w:lang w:eastAsia="en-GB"/>
        </w:rPr>
        <w:t>Additional assessment</w:t>
      </w:r>
    </w:p>
    <w:p w14:paraId="1DD28812" w14:textId="77777777" w:rsidR="008449EE" w:rsidRDefault="008449EE" w:rsidP="002A6CB2">
      <w:pPr>
        <w:rPr>
          <w:rFonts w:cs="Arial"/>
          <w:iCs/>
          <w:lang w:eastAsia="en-GB"/>
        </w:rPr>
      </w:pPr>
    </w:p>
    <w:p w14:paraId="30BADA61" w14:textId="77777777" w:rsidR="001C4DE7" w:rsidRDefault="008449EE" w:rsidP="001C4DE7">
      <w:pPr>
        <w:ind w:left="720"/>
        <w:rPr>
          <w:rFonts w:cs="Arial"/>
          <w:iCs/>
          <w:lang w:eastAsia="en-GB"/>
        </w:rPr>
      </w:pPr>
      <w:r w:rsidRPr="000B308F">
        <w:rPr>
          <w:rFonts w:cs="Arial"/>
          <w:b/>
          <w:iCs/>
          <w:lang w:eastAsia="en-GB"/>
        </w:rPr>
        <w:t>Equality assessment</w:t>
      </w:r>
      <w:r>
        <w:rPr>
          <w:rFonts w:cs="Arial"/>
          <w:iCs/>
          <w:lang w:eastAsia="en-GB"/>
        </w:rPr>
        <w:t>:</w:t>
      </w:r>
      <w:r w:rsidR="001C4DE7">
        <w:rPr>
          <w:rFonts w:cs="Arial"/>
          <w:iCs/>
          <w:lang w:eastAsia="en-GB"/>
        </w:rPr>
        <w:t xml:space="preserve"> </w:t>
      </w:r>
    </w:p>
    <w:p w14:paraId="0B588BCA" w14:textId="77777777" w:rsidR="001C4DE7" w:rsidRDefault="001C4DE7" w:rsidP="001C4DE7">
      <w:pPr>
        <w:ind w:left="720"/>
        <w:rPr>
          <w:rFonts w:cs="Arial"/>
          <w:iCs/>
          <w:lang w:eastAsia="en-GB"/>
        </w:rPr>
      </w:pPr>
    </w:p>
    <w:p w14:paraId="5EF781F9" w14:textId="77777777" w:rsidR="008449EE" w:rsidRPr="001C4DE7" w:rsidRDefault="001C4DE7" w:rsidP="000B308F">
      <w:pPr>
        <w:ind w:left="720"/>
        <w:rPr>
          <w:rFonts w:cs="Arial"/>
          <w:iCs/>
          <w:lang w:eastAsia="en-GB"/>
        </w:rPr>
      </w:pPr>
      <w:r w:rsidRPr="000B308F">
        <w:rPr>
          <w:noProof/>
        </w:rPr>
        <w:t>Many of our provisional proposals relate to a unified tribunal system for Wales. We envisage these provisional proposals may make the devolved Welsh tribunals more accessible for users generally</w:t>
      </w:r>
      <w:r w:rsidR="00B3499D">
        <w:rPr>
          <w:noProof/>
        </w:rPr>
        <w:t>, as procedural rules are rewritten</w:t>
      </w:r>
      <w:r w:rsidRPr="000B308F">
        <w:rPr>
          <w:noProof/>
        </w:rPr>
        <w:t xml:space="preserve">. However, they are unlikely to have a significant impact on individuals with protected characteristics over a general improvement in accessibility for all users.  No adverse effects have been identified and a </w:t>
      </w:r>
      <w:r w:rsidR="00051A1C">
        <w:rPr>
          <w:noProof/>
        </w:rPr>
        <w:t>f</w:t>
      </w:r>
      <w:r w:rsidRPr="000B308F">
        <w:rPr>
          <w:noProof/>
        </w:rPr>
        <w:t>ull EIA is not required.</w:t>
      </w:r>
    </w:p>
    <w:p w14:paraId="58421322" w14:textId="77777777" w:rsidR="008449EE" w:rsidRPr="001C4DE7" w:rsidRDefault="008449EE" w:rsidP="002A6CB2">
      <w:pPr>
        <w:rPr>
          <w:rFonts w:cs="Arial"/>
          <w:iCs/>
          <w:lang w:eastAsia="en-GB"/>
        </w:rPr>
      </w:pPr>
    </w:p>
    <w:p w14:paraId="79E4EBD8" w14:textId="77777777" w:rsidR="008449EE" w:rsidRDefault="008449EE" w:rsidP="002A6CB2">
      <w:pPr>
        <w:rPr>
          <w:rFonts w:cs="Arial"/>
          <w:iCs/>
          <w:lang w:eastAsia="en-GB"/>
        </w:rPr>
      </w:pPr>
    </w:p>
    <w:p w14:paraId="5E38BE45" w14:textId="77777777" w:rsidR="001C4DE7" w:rsidRDefault="008449EE">
      <w:pPr>
        <w:ind w:left="720"/>
        <w:rPr>
          <w:rFonts w:cs="Arial"/>
          <w:iCs/>
          <w:lang w:eastAsia="en-GB"/>
        </w:rPr>
      </w:pPr>
      <w:r w:rsidRPr="000B308F">
        <w:rPr>
          <w:rFonts w:cs="Arial"/>
          <w:b/>
          <w:iCs/>
          <w:lang w:eastAsia="en-GB"/>
        </w:rPr>
        <w:t>Justice impact assessment</w:t>
      </w:r>
      <w:r>
        <w:rPr>
          <w:rFonts w:cs="Arial"/>
          <w:iCs/>
          <w:lang w:eastAsia="en-GB"/>
        </w:rPr>
        <w:t>:</w:t>
      </w:r>
      <w:r w:rsidR="00C9647E">
        <w:rPr>
          <w:rFonts w:cs="Arial"/>
          <w:iCs/>
          <w:lang w:eastAsia="en-GB"/>
        </w:rPr>
        <w:t xml:space="preserve"> </w:t>
      </w:r>
    </w:p>
    <w:p w14:paraId="41E84032" w14:textId="77777777" w:rsidR="00334C97" w:rsidRDefault="00334C97">
      <w:pPr>
        <w:ind w:left="720"/>
        <w:rPr>
          <w:rFonts w:cs="Arial"/>
          <w:iCs/>
          <w:lang w:eastAsia="en-GB"/>
        </w:rPr>
      </w:pPr>
    </w:p>
    <w:p w14:paraId="05F3A3EC" w14:textId="77777777" w:rsidR="008449EE" w:rsidRDefault="00C9647E" w:rsidP="000B308F">
      <w:pPr>
        <w:ind w:left="720"/>
        <w:rPr>
          <w:rFonts w:cs="Arial"/>
          <w:iCs/>
          <w:lang w:eastAsia="en-GB"/>
        </w:rPr>
      </w:pPr>
      <w:r>
        <w:rPr>
          <w:rFonts w:cs="Arial"/>
          <w:iCs/>
          <w:lang w:eastAsia="en-GB"/>
        </w:rPr>
        <w:t>The impact on the justice system is examined throughout the impact assessment.</w:t>
      </w:r>
    </w:p>
    <w:p w14:paraId="6EE43B78" w14:textId="77777777" w:rsidR="008449EE" w:rsidRDefault="008449EE" w:rsidP="002A6CB2">
      <w:pPr>
        <w:rPr>
          <w:rFonts w:cs="Arial"/>
          <w:iCs/>
          <w:lang w:eastAsia="en-GB"/>
        </w:rPr>
      </w:pPr>
    </w:p>
    <w:p w14:paraId="44CA6746" w14:textId="77777777" w:rsidR="008449EE" w:rsidRDefault="008449EE" w:rsidP="002A6CB2">
      <w:pPr>
        <w:rPr>
          <w:rFonts w:cs="Arial"/>
          <w:iCs/>
          <w:lang w:eastAsia="en-GB"/>
        </w:rPr>
      </w:pPr>
    </w:p>
    <w:p w14:paraId="23E8CBDD" w14:textId="77777777" w:rsidR="008449EE" w:rsidRDefault="008449EE">
      <w:pPr>
        <w:rPr>
          <w:rFonts w:cs="Arial"/>
          <w:iCs/>
          <w:lang w:eastAsia="en-GB"/>
        </w:rPr>
      </w:pPr>
      <w:r>
        <w:rPr>
          <w:rFonts w:cs="Arial"/>
          <w:iCs/>
          <w:lang w:eastAsia="en-GB"/>
        </w:rPr>
        <w:tab/>
      </w:r>
      <w:r w:rsidR="00782C80" w:rsidRPr="000B308F">
        <w:rPr>
          <w:rFonts w:cs="Arial"/>
          <w:b/>
          <w:iCs/>
          <w:lang w:eastAsia="en-GB"/>
        </w:rPr>
        <w:t>Welsh Language Impact Assessment</w:t>
      </w:r>
      <w:r w:rsidR="00782C80">
        <w:rPr>
          <w:rFonts w:cs="Arial"/>
          <w:iCs/>
          <w:lang w:eastAsia="en-GB"/>
        </w:rPr>
        <w:t>:</w:t>
      </w:r>
    </w:p>
    <w:p w14:paraId="34E1922F" w14:textId="77777777" w:rsidR="00257CAC" w:rsidRDefault="00257CAC">
      <w:pPr>
        <w:rPr>
          <w:rFonts w:cs="Arial"/>
          <w:iCs/>
          <w:lang w:eastAsia="en-GB"/>
        </w:rPr>
      </w:pPr>
    </w:p>
    <w:p w14:paraId="4CB1F80E" w14:textId="77777777" w:rsidR="00257CAC" w:rsidRDefault="00257CAC" w:rsidP="0002212B">
      <w:pPr>
        <w:spacing w:before="240"/>
        <w:ind w:left="720"/>
        <w:rPr>
          <w:rStyle w:val="Strong"/>
          <w:rFonts w:eastAsiaTheme="minorEastAsia"/>
          <w:b w:val="0"/>
          <w:color w:val="000000" w:themeColor="text1"/>
        </w:rPr>
      </w:pPr>
      <w:r>
        <w:rPr>
          <w:rFonts w:cs="Arial"/>
          <w:iCs/>
          <w:lang w:eastAsia="en-GB"/>
        </w:rPr>
        <w:t xml:space="preserve">We have undertaken an assessment of the implications of proposed law reform for the Welsh language. </w:t>
      </w:r>
      <w:r>
        <w:rPr>
          <w:rStyle w:val="Strong"/>
          <w:rFonts w:eastAsiaTheme="minorEastAsia"/>
          <w:b w:val="0"/>
          <w:color w:val="000000" w:themeColor="text1"/>
        </w:rPr>
        <w:t>We do not anticipate that our proposals will have a significant impact on the sustainability of Welsh speaking communities. By future-</w:t>
      </w:r>
      <w:r w:rsidRPr="00DF25BA">
        <w:rPr>
          <w:rStyle w:val="Strong"/>
          <w:rFonts w:eastAsiaTheme="minorEastAsia"/>
          <w:b w:val="0"/>
          <w:color w:val="000000" w:themeColor="text1"/>
        </w:rPr>
        <w:t xml:space="preserve">proofing the system of devolved tribunals, we </w:t>
      </w:r>
      <w:r>
        <w:rPr>
          <w:rStyle w:val="Strong"/>
          <w:rFonts w:eastAsiaTheme="minorEastAsia"/>
          <w:b w:val="0"/>
          <w:color w:val="000000" w:themeColor="text1"/>
        </w:rPr>
        <w:t>hope however to ensure</w:t>
      </w:r>
      <w:r w:rsidRPr="00DF25BA">
        <w:rPr>
          <w:rStyle w:val="Strong"/>
          <w:rFonts w:eastAsiaTheme="minorEastAsia"/>
          <w:b w:val="0"/>
          <w:color w:val="000000" w:themeColor="text1"/>
        </w:rPr>
        <w:t xml:space="preserve"> the longevity of access to justice for all residents in Wales.</w:t>
      </w:r>
      <w:r>
        <w:rPr>
          <w:rStyle w:val="Strong"/>
          <w:rFonts w:eastAsiaTheme="minorEastAsia"/>
          <w:b w:val="0"/>
          <w:color w:val="000000" w:themeColor="text1"/>
        </w:rPr>
        <w:t xml:space="preserve"> </w:t>
      </w:r>
    </w:p>
    <w:p w14:paraId="628608E6" w14:textId="77777777" w:rsidR="00257CAC" w:rsidRDefault="00257CAC" w:rsidP="00257CAC">
      <w:pPr>
        <w:ind w:left="720"/>
        <w:rPr>
          <w:rFonts w:cs="Arial"/>
          <w:iCs/>
          <w:lang w:eastAsia="en-GB"/>
        </w:rPr>
      </w:pPr>
    </w:p>
    <w:p w14:paraId="4B105B43" w14:textId="7EA8154A" w:rsidR="00257CAC" w:rsidRDefault="002578D1" w:rsidP="00257CAC">
      <w:pPr>
        <w:ind w:left="720"/>
        <w:rPr>
          <w:rStyle w:val="Strong"/>
          <w:rFonts w:eastAsiaTheme="minorEastAsia"/>
          <w:b w:val="0"/>
          <w:color w:val="000000" w:themeColor="text1"/>
        </w:rPr>
      </w:pPr>
      <w:r>
        <w:rPr>
          <w:rFonts w:cs="Arial"/>
          <w:iCs/>
          <w:lang w:eastAsia="en-GB"/>
        </w:rPr>
        <w:t>The administration of most tribunals</w:t>
      </w:r>
      <w:r w:rsidR="00262AF5">
        <w:rPr>
          <w:rFonts w:cs="Arial"/>
          <w:iCs/>
          <w:lang w:eastAsia="en-GB"/>
        </w:rPr>
        <w:t xml:space="preserve"> (though not all)</w:t>
      </w:r>
      <w:r>
        <w:rPr>
          <w:rFonts w:cs="Arial"/>
          <w:iCs/>
          <w:lang w:eastAsia="en-GB"/>
        </w:rPr>
        <w:t xml:space="preserve"> is already subject to</w:t>
      </w:r>
      <w:r w:rsidR="00257CAC">
        <w:rPr>
          <w:rStyle w:val="Strong"/>
          <w:rFonts w:eastAsiaTheme="minorEastAsia"/>
          <w:b w:val="0"/>
          <w:color w:val="000000" w:themeColor="text1"/>
        </w:rPr>
        <w:t xml:space="preserve"> Welsh Language Standards. </w:t>
      </w:r>
      <w:r w:rsidR="00262AF5">
        <w:rPr>
          <w:rStyle w:val="Strong"/>
          <w:rFonts w:eastAsiaTheme="minorEastAsia"/>
          <w:b w:val="0"/>
          <w:color w:val="000000" w:themeColor="text1"/>
        </w:rPr>
        <w:t xml:space="preserve">The Adjudication Panel for Wales, which is not subject to the Welsh Language Standards, has made the decision to conform to their requirements. </w:t>
      </w:r>
      <w:r w:rsidR="00257CAC">
        <w:rPr>
          <w:rStyle w:val="Strong"/>
          <w:rFonts w:eastAsiaTheme="minorEastAsia"/>
          <w:b w:val="0"/>
          <w:color w:val="000000" w:themeColor="text1"/>
        </w:rPr>
        <w:t xml:space="preserve">The main way in which information about services is communicated to tribunal users is through individual tribunal websites, which are available in Welsh. We anticipate that this would also be the case for the replacement, unified tribunal </w:t>
      </w:r>
      <w:r>
        <w:rPr>
          <w:rStyle w:val="Strong"/>
          <w:rFonts w:eastAsiaTheme="minorEastAsia"/>
          <w:b w:val="0"/>
          <w:color w:val="000000" w:themeColor="text1"/>
        </w:rPr>
        <w:t>recommended by the final report</w:t>
      </w:r>
      <w:r w:rsidR="00257CAC">
        <w:rPr>
          <w:rStyle w:val="Strong"/>
          <w:rFonts w:eastAsiaTheme="minorEastAsia"/>
          <w:b w:val="0"/>
          <w:color w:val="000000" w:themeColor="text1"/>
        </w:rPr>
        <w:t>.</w:t>
      </w:r>
      <w:r w:rsidR="00612A3A">
        <w:rPr>
          <w:rStyle w:val="Strong"/>
          <w:rFonts w:eastAsiaTheme="minorEastAsia"/>
          <w:b w:val="0"/>
          <w:color w:val="000000" w:themeColor="text1"/>
        </w:rPr>
        <w:t xml:space="preserve"> </w:t>
      </w:r>
    </w:p>
    <w:p w14:paraId="6FEBDACB" w14:textId="46357E2E" w:rsidR="00262AF5" w:rsidRDefault="00262AF5" w:rsidP="00257CAC">
      <w:pPr>
        <w:ind w:left="720"/>
        <w:rPr>
          <w:rStyle w:val="Strong"/>
          <w:rFonts w:eastAsiaTheme="minorEastAsia"/>
          <w:b w:val="0"/>
          <w:color w:val="000000" w:themeColor="text1"/>
        </w:rPr>
      </w:pPr>
    </w:p>
    <w:p w14:paraId="06BEE6AA" w14:textId="67FBED56" w:rsidR="00262AF5" w:rsidRDefault="00262AF5" w:rsidP="00262AF5">
      <w:pPr>
        <w:tabs>
          <w:tab w:val="num" w:pos="624"/>
        </w:tabs>
        <w:ind w:left="720"/>
        <w:rPr>
          <w:rFonts w:eastAsiaTheme="minorEastAsia"/>
          <w:bCs/>
          <w:color w:val="000000" w:themeColor="text1"/>
        </w:rPr>
      </w:pPr>
      <w:r w:rsidRPr="00262AF5">
        <w:rPr>
          <w:rFonts w:eastAsiaTheme="minorEastAsia"/>
          <w:bCs/>
          <w:color w:val="000000" w:themeColor="text1"/>
        </w:rPr>
        <w:t xml:space="preserve">At present, the Agricultural Land Tribunal for Wales (“ALTW”), Mental Health Review Tribunal for Wales (“MHRTW”), RPTW and </w:t>
      </w:r>
      <w:r w:rsidR="000B7779">
        <w:rPr>
          <w:rFonts w:eastAsiaTheme="minorEastAsia"/>
          <w:bCs/>
          <w:color w:val="000000" w:themeColor="text1"/>
        </w:rPr>
        <w:t xml:space="preserve">Educational Needs Tribunal for Wales </w:t>
      </w:r>
      <w:r w:rsidRPr="00262AF5">
        <w:rPr>
          <w:rFonts w:eastAsiaTheme="minorEastAsia"/>
          <w:bCs/>
          <w:color w:val="000000" w:themeColor="text1"/>
        </w:rPr>
        <w:t>(“</w:t>
      </w:r>
      <w:r w:rsidR="000B7779">
        <w:rPr>
          <w:rFonts w:eastAsiaTheme="minorEastAsia"/>
          <w:bCs/>
          <w:color w:val="000000" w:themeColor="text1"/>
        </w:rPr>
        <w:t>E</w:t>
      </w:r>
      <w:r w:rsidRPr="00262AF5">
        <w:rPr>
          <w:rFonts w:eastAsiaTheme="minorEastAsia"/>
          <w:bCs/>
          <w:color w:val="000000" w:themeColor="text1"/>
        </w:rPr>
        <w:t>TW”) fall under the Welsh Language Standards Regulations (No 4).</w:t>
      </w:r>
      <w:r w:rsidRPr="00262AF5">
        <w:rPr>
          <w:rFonts w:eastAsiaTheme="minorEastAsia"/>
          <w:bCs/>
          <w:color w:val="000000" w:themeColor="text1"/>
          <w:vertAlign w:val="superscript"/>
        </w:rPr>
        <w:footnoteReference w:id="53"/>
      </w:r>
      <w:r w:rsidRPr="00262AF5">
        <w:rPr>
          <w:rFonts w:eastAsiaTheme="minorEastAsia"/>
          <w:bCs/>
          <w:color w:val="000000" w:themeColor="text1"/>
        </w:rPr>
        <w:t xml:space="preserve"> The explanatory note to those regulations explains that:</w:t>
      </w:r>
    </w:p>
    <w:p w14:paraId="112CC56E" w14:textId="77777777" w:rsidR="00262AF5" w:rsidRPr="00262AF5" w:rsidRDefault="00262AF5" w:rsidP="00262AF5">
      <w:pPr>
        <w:tabs>
          <w:tab w:val="num" w:pos="624"/>
        </w:tabs>
        <w:ind w:left="720"/>
        <w:rPr>
          <w:rFonts w:eastAsiaTheme="minorEastAsia"/>
          <w:bCs/>
          <w:color w:val="000000" w:themeColor="text1"/>
        </w:rPr>
      </w:pPr>
    </w:p>
    <w:p w14:paraId="64A3B8D5" w14:textId="7D9EB86A" w:rsidR="00262AF5" w:rsidRDefault="00262AF5" w:rsidP="00262AF5">
      <w:pPr>
        <w:ind w:left="1440"/>
        <w:rPr>
          <w:rFonts w:eastAsiaTheme="minorEastAsia"/>
          <w:bCs/>
          <w:color w:val="000000" w:themeColor="text1"/>
        </w:rPr>
      </w:pPr>
      <w:r w:rsidRPr="00262AF5">
        <w:rPr>
          <w:rFonts w:eastAsiaTheme="minorEastAsia"/>
          <w:bCs/>
          <w:color w:val="000000" w:themeColor="text1"/>
        </w:rPr>
        <w:t>The Regulations do not authorise the Commissioner to require [the ALTW, MHRTW, RPTW and SENTW] to comply with the operational standards in Schedule 3, and hereby record keeping standards relating to operational standards, and supplementary standards which relate to operational standards. This is due to the fact that the organisations are administered by Welsh Government staff and those staff are covered by the operational standards that the Welsh Ministers are required to comply with.</w:t>
      </w:r>
      <w:r w:rsidRPr="00262AF5">
        <w:rPr>
          <w:rFonts w:eastAsiaTheme="minorEastAsia"/>
          <w:bCs/>
          <w:color w:val="000000" w:themeColor="text1"/>
          <w:vertAlign w:val="superscript"/>
        </w:rPr>
        <w:footnoteReference w:id="54"/>
      </w:r>
    </w:p>
    <w:p w14:paraId="4D15C832" w14:textId="77777777" w:rsidR="00262AF5" w:rsidRPr="00262AF5" w:rsidRDefault="00262AF5" w:rsidP="0097144F">
      <w:pPr>
        <w:ind w:left="1440"/>
        <w:rPr>
          <w:rFonts w:eastAsiaTheme="minorEastAsia"/>
          <w:bCs/>
          <w:color w:val="000000" w:themeColor="text1"/>
        </w:rPr>
      </w:pPr>
    </w:p>
    <w:p w14:paraId="77F6C29B" w14:textId="77777777" w:rsidR="00262AF5" w:rsidRPr="00262AF5" w:rsidRDefault="00262AF5" w:rsidP="00262AF5">
      <w:pPr>
        <w:tabs>
          <w:tab w:val="num" w:pos="624"/>
        </w:tabs>
        <w:ind w:left="720"/>
        <w:rPr>
          <w:rFonts w:eastAsiaTheme="minorEastAsia"/>
          <w:bCs/>
          <w:color w:val="000000" w:themeColor="text1"/>
        </w:rPr>
      </w:pPr>
      <w:r w:rsidRPr="00262AF5">
        <w:rPr>
          <w:rFonts w:eastAsiaTheme="minorEastAsia"/>
          <w:bCs/>
          <w:color w:val="000000" w:themeColor="text1"/>
        </w:rPr>
        <w:t xml:space="preserve">If tribunals administration were to be reformed so that it was the responsibility of a non-ministerial department, then that department would not be subject to the operational standards required of the Welsh Ministers. Instead, steps would need to be taken to ensure that the non-ministerial department was subject to appropriate Welsh language standards. </w:t>
      </w:r>
    </w:p>
    <w:p w14:paraId="0D367BDD" w14:textId="77777777" w:rsidR="00262AF5" w:rsidRDefault="00262AF5" w:rsidP="00257CAC">
      <w:pPr>
        <w:ind w:left="720"/>
        <w:rPr>
          <w:rStyle w:val="Strong"/>
          <w:rFonts w:eastAsiaTheme="minorEastAsia"/>
          <w:b w:val="0"/>
          <w:color w:val="000000" w:themeColor="text1"/>
        </w:rPr>
      </w:pPr>
    </w:p>
    <w:p w14:paraId="4D89EEE8" w14:textId="77777777" w:rsidR="003013A6" w:rsidRDefault="003013A6" w:rsidP="00257CAC">
      <w:pPr>
        <w:ind w:left="720"/>
        <w:rPr>
          <w:rStyle w:val="Strong"/>
          <w:rFonts w:eastAsiaTheme="minorEastAsia"/>
          <w:b w:val="0"/>
          <w:color w:val="000000" w:themeColor="text1"/>
        </w:rPr>
      </w:pPr>
    </w:p>
    <w:p w14:paraId="3F9F24C1" w14:textId="77777777" w:rsidR="003013A6" w:rsidRDefault="003013A6" w:rsidP="00257CAC">
      <w:pPr>
        <w:ind w:left="720"/>
        <w:rPr>
          <w:rStyle w:val="Strong"/>
          <w:rFonts w:eastAsiaTheme="minorEastAsia"/>
          <w:b w:val="0"/>
          <w:color w:val="000000" w:themeColor="text1"/>
        </w:rPr>
      </w:pPr>
      <w:r>
        <w:rPr>
          <w:rStyle w:val="Strong"/>
          <w:rFonts w:eastAsiaTheme="minorEastAsia"/>
          <w:b w:val="0"/>
          <w:color w:val="000000" w:themeColor="text1"/>
        </w:rPr>
        <w:t>Our report also recommends the creation of a Tribunal Procedure Committee, which would supervise the procedural rules applying across the chambers of a unified tribunal. That Committee could choose to prioritise ensuring that tribunal proceedings may take place in Welsh.</w:t>
      </w:r>
    </w:p>
    <w:p w14:paraId="5751DE39" w14:textId="77777777" w:rsidR="00257CAC" w:rsidRDefault="00257CAC" w:rsidP="00257CAC">
      <w:pPr>
        <w:ind w:left="720"/>
        <w:rPr>
          <w:rStyle w:val="Strong"/>
          <w:rFonts w:eastAsiaTheme="minorEastAsia"/>
          <w:b w:val="0"/>
          <w:color w:val="000000" w:themeColor="text1"/>
        </w:rPr>
      </w:pPr>
    </w:p>
    <w:p w14:paraId="7AC70FF0" w14:textId="77777777" w:rsidR="00257CAC" w:rsidRDefault="00257CAC" w:rsidP="000B308F">
      <w:pPr>
        <w:ind w:left="720"/>
        <w:rPr>
          <w:rStyle w:val="Strong"/>
          <w:rFonts w:eastAsiaTheme="minorEastAsia"/>
          <w:b w:val="0"/>
          <w:color w:val="000000" w:themeColor="text1"/>
        </w:rPr>
      </w:pPr>
    </w:p>
    <w:p w14:paraId="41BB6538" w14:textId="77777777" w:rsidR="00334C97" w:rsidRPr="000B308F" w:rsidRDefault="00334C97" w:rsidP="000B308F">
      <w:pPr>
        <w:rPr>
          <w:rFonts w:cs="Arial"/>
          <w:iCs/>
          <w:lang w:eastAsia="en-GB"/>
        </w:rPr>
      </w:pPr>
    </w:p>
    <w:sectPr w:rsidR="00334C97" w:rsidRPr="000B308F" w:rsidSect="00807DB6">
      <w:headerReference w:type="even" r:id="rId14"/>
      <w:footerReference w:type="default" r:id="rId15"/>
      <w:footnotePr>
        <w:numRestart w:val="eachSect"/>
      </w:footnotePr>
      <w:pgSz w:w="11907" w:h="16840" w:code="9"/>
      <w:pgMar w:top="680" w:right="851" w:bottom="680" w:left="851" w:header="284"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11E6" w14:textId="77777777" w:rsidR="0020466F" w:rsidRDefault="0020466F">
      <w:r>
        <w:separator/>
      </w:r>
    </w:p>
  </w:endnote>
  <w:endnote w:type="continuationSeparator" w:id="0">
    <w:p w14:paraId="38D9D850" w14:textId="77777777" w:rsidR="0020466F" w:rsidRDefault="0020466F">
      <w:r>
        <w:continuationSeparator/>
      </w:r>
    </w:p>
  </w:endnote>
  <w:endnote w:type="continuationNotice" w:id="1">
    <w:p w14:paraId="3F488A73" w14:textId="77777777" w:rsidR="0020466F" w:rsidRDefault="00204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3FB0" w14:textId="77777777" w:rsidR="00D31F06" w:rsidRPr="00EB43FD" w:rsidRDefault="00D31F06" w:rsidP="005A3880">
    <w:pPr>
      <w:pStyle w:val="Footer"/>
    </w:pPr>
    <w:r w:rsidRPr="00EB43FD">
      <w:rPr>
        <w:rStyle w:val="PageNumber"/>
        <w:rFonts w:eastAsia="SimSun"/>
        <w:b w:val="0"/>
        <w:szCs w:val="18"/>
      </w:rPr>
      <w:fldChar w:fldCharType="begin"/>
    </w:r>
    <w:r w:rsidRPr="00EB43FD">
      <w:rPr>
        <w:rStyle w:val="PageNumber"/>
        <w:rFonts w:eastAsia="SimSun"/>
        <w:b w:val="0"/>
        <w:szCs w:val="18"/>
      </w:rPr>
      <w:instrText xml:space="preserve"> PAGE </w:instrText>
    </w:r>
    <w:r w:rsidRPr="00EB43FD">
      <w:rPr>
        <w:rStyle w:val="PageNumber"/>
        <w:rFonts w:eastAsia="SimSun"/>
        <w:b w:val="0"/>
        <w:szCs w:val="18"/>
      </w:rPr>
      <w:fldChar w:fldCharType="separate"/>
    </w:r>
    <w:r>
      <w:rPr>
        <w:rStyle w:val="PageNumber"/>
        <w:rFonts w:eastAsia="SimSun"/>
        <w:b w:val="0"/>
        <w:noProof/>
        <w:szCs w:val="18"/>
      </w:rPr>
      <w:t>1</w:t>
    </w:r>
    <w:r w:rsidRPr="00EB43FD">
      <w:rPr>
        <w:rStyle w:val="PageNumber"/>
        <w:rFonts w:eastAsia="SimSun"/>
        <w:b w:val="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69A6" w14:textId="77777777" w:rsidR="00D31F06" w:rsidRPr="00EB43FD" w:rsidRDefault="00D31F06"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Pr>
        <w:rStyle w:val="PageNumber"/>
        <w:b w:val="0"/>
        <w:noProof/>
        <w:szCs w:val="18"/>
      </w:rPr>
      <w:t>20</w:t>
    </w:r>
    <w:r w:rsidRPr="00EB43FD">
      <w:rPr>
        <w:rStyle w:val="PageNumber"/>
        <w:b w:val="0"/>
        <w:szCs w:val="18"/>
      </w:rPr>
      <w:fldChar w:fldCharType="end"/>
    </w:r>
  </w:p>
  <w:p w14:paraId="2600D10F" w14:textId="77777777" w:rsidR="00D31F06" w:rsidRDefault="00D31F06"/>
  <w:p w14:paraId="0860F86E" w14:textId="77777777" w:rsidR="00D31F06" w:rsidRDefault="00D31F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D177" w14:textId="77777777" w:rsidR="0020466F" w:rsidRDefault="0020466F">
      <w:r>
        <w:separator/>
      </w:r>
    </w:p>
  </w:footnote>
  <w:footnote w:type="continuationSeparator" w:id="0">
    <w:p w14:paraId="67259823" w14:textId="77777777" w:rsidR="0020466F" w:rsidRDefault="0020466F">
      <w:r>
        <w:continuationSeparator/>
      </w:r>
    </w:p>
  </w:footnote>
  <w:footnote w:type="continuationNotice" w:id="1">
    <w:p w14:paraId="49BE5E31" w14:textId="77777777" w:rsidR="0020466F" w:rsidRDefault="0020466F"/>
  </w:footnote>
  <w:footnote w:id="2">
    <w:p w14:paraId="53D7AA7D" w14:textId="468FB969" w:rsidR="00D31F06" w:rsidRDefault="00D31F06" w:rsidP="0016193F">
      <w:pPr>
        <w:pStyle w:val="FootnoteText"/>
      </w:pPr>
      <w:r>
        <w:rPr>
          <w:rStyle w:val="FootnoteReference"/>
        </w:rPr>
        <w:footnoteRef/>
      </w:r>
      <w:r>
        <w:t xml:space="preserve"> </w:t>
      </w:r>
      <w:r>
        <w:tab/>
      </w:r>
      <w:r w:rsidRPr="000A011D">
        <w:t xml:space="preserve">The budget for </w:t>
      </w:r>
      <w:r>
        <w:t>the WTU</w:t>
      </w:r>
      <w:r w:rsidRPr="000A011D">
        <w:t xml:space="preserve"> for</w:t>
      </w:r>
      <w:r>
        <w:t xml:space="preserve"> the financial year 2020-2021 was</w:t>
      </w:r>
      <w:r w:rsidRPr="000A011D">
        <w:t xml:space="preserve"> £4,</w:t>
      </w:r>
      <w:r>
        <w:t>148,000.</w:t>
      </w:r>
    </w:p>
  </w:footnote>
  <w:footnote w:id="3">
    <w:p w14:paraId="13B46BDC" w14:textId="631E6525" w:rsidR="00D31F06" w:rsidRDefault="00D31F06" w:rsidP="0016193F">
      <w:pPr>
        <w:pStyle w:val="FootnoteText"/>
      </w:pPr>
      <w:r>
        <w:rPr>
          <w:rStyle w:val="FootnoteReference"/>
        </w:rPr>
        <w:footnoteRef/>
      </w:r>
      <w:r>
        <w:t xml:space="preserve"> </w:t>
      </w:r>
      <w:r>
        <w:tab/>
        <w:t xml:space="preserve">President of Welsh Tribunals, First Annual Report (March 2019), p 9. See </w:t>
      </w:r>
      <w:hyperlink r:id="rId1" w:history="1">
        <w:r w:rsidRPr="0049594B">
          <w:rPr>
            <w:rStyle w:val="Hyperlink"/>
          </w:rPr>
          <w:t>https://www.assembly.wales/laid%20documents/gen-ld12494/gen-ld12494-e.pdf</w:t>
        </w:r>
      </w:hyperlink>
      <w:r>
        <w:t xml:space="preserve">; Second Annual Report (April 2020) </w:t>
      </w:r>
      <w:hyperlink r:id="rId2" w:history="1">
        <w:r w:rsidRPr="00773D41">
          <w:rPr>
            <w:rStyle w:val="Hyperlink"/>
          </w:rPr>
          <w:t>https://business.senedd.wales/documents/s103181/CLA5-22-20%20Paper%202.pdf</w:t>
        </w:r>
      </w:hyperlink>
      <w:r>
        <w:t>.</w:t>
      </w:r>
    </w:p>
  </w:footnote>
  <w:footnote w:id="4">
    <w:p w14:paraId="0B9A805C" w14:textId="4AD39E0D" w:rsidR="00D31F06" w:rsidRDefault="00D31F06">
      <w:pPr>
        <w:pStyle w:val="FootnoteText"/>
      </w:pPr>
      <w:r>
        <w:rPr>
          <w:rStyle w:val="FootnoteReference"/>
        </w:rPr>
        <w:footnoteRef/>
      </w:r>
      <w:r>
        <w:t xml:space="preserve"> </w:t>
      </w:r>
      <w:r>
        <w:tab/>
        <w:t xml:space="preserve">Commission on Justice in Wales, </w:t>
      </w:r>
      <w:r>
        <w:rPr>
          <w:i/>
        </w:rPr>
        <w:t xml:space="preserve">Justice in Wales for the people of Wales, </w:t>
      </w:r>
      <w:r>
        <w:t xml:space="preserve">p 284, recommendation 27 </w:t>
      </w:r>
      <w:hyperlink r:id="rId3" w:history="1">
        <w:r w:rsidRPr="00773D41">
          <w:rPr>
            <w:rStyle w:val="Hyperlink"/>
          </w:rPr>
          <w:t>https://gov.wales/sites/default/files/publications/2019-10/Justice%20Commission%20ENG%20DIGITAL_2.pdf</w:t>
        </w:r>
      </w:hyperlink>
      <w:r>
        <w:t xml:space="preserve"> </w:t>
      </w:r>
    </w:p>
  </w:footnote>
  <w:footnote w:id="5">
    <w:p w14:paraId="413B0E0E" w14:textId="77777777" w:rsidR="00D31F06" w:rsidRDefault="00D31F06">
      <w:pPr>
        <w:pStyle w:val="FootnoteText"/>
      </w:pPr>
      <w:r>
        <w:rPr>
          <w:rStyle w:val="FootnoteReference"/>
        </w:rPr>
        <w:footnoteRef/>
      </w:r>
      <w:r>
        <w:t xml:space="preserve"> See </w:t>
      </w:r>
      <w:hyperlink r:id="rId4" w:history="1">
        <w:r w:rsidRPr="00C9357C">
          <w:rPr>
            <w:rStyle w:val="Hyperlink"/>
          </w:rPr>
          <w:t>https://www.crisis.org.uk/media/237045/the_homelessness_monitor_england_2012.pdf</w:t>
        </w:r>
      </w:hyperlink>
      <w:r>
        <w:t xml:space="preserve">. </w:t>
      </w:r>
      <w:r w:rsidRPr="00410945">
        <w:rPr>
          <w:rFonts w:cs="Arial"/>
          <w:szCs w:val="16"/>
        </w:rPr>
        <w:t xml:space="preserve">Crisis (2012) research estimates that 51% </w:t>
      </w:r>
      <w:r>
        <w:rPr>
          <w:rFonts w:cs="Arial"/>
          <w:szCs w:val="16"/>
        </w:rPr>
        <w:t xml:space="preserve">OF WHAT? </w:t>
      </w:r>
      <w:r w:rsidRPr="00410945">
        <w:rPr>
          <w:rFonts w:cs="Arial"/>
          <w:szCs w:val="16"/>
        </w:rPr>
        <w:t xml:space="preserve">have been excluded from school and therefore have low levels of literacy. Brookes et al. (2007) </w:t>
      </w:r>
      <w:r w:rsidRPr="006C0C7D">
        <w:rPr>
          <w:rFonts w:cs="Arial"/>
          <w:szCs w:val="16"/>
        </w:rPr>
        <w:t>“Misspent youth: the costs of truancy and exclusion: a guide for donors and funders”. London: New Philanthropy Capital</w:t>
      </w:r>
      <w:r>
        <w:rPr>
          <w:rFonts w:cs="Arial"/>
          <w:szCs w:val="16"/>
        </w:rPr>
        <w:t>,</w:t>
      </w:r>
      <w:r>
        <w:rPr>
          <w:rFonts w:cs="Arial"/>
          <w:sz w:val="28"/>
          <w:szCs w:val="28"/>
        </w:rPr>
        <w:t xml:space="preserve"> </w:t>
      </w:r>
      <w:r w:rsidRPr="00410945">
        <w:rPr>
          <w:rFonts w:cs="Arial"/>
          <w:szCs w:val="16"/>
        </w:rPr>
        <w:t>estimate that the average cost to society of exclusion is £63,851 (in 2005 prices), which includes costs to the child in lower future earnings resulting from poorer qualifications as well as costs to society with respect to crime, health and social services.</w:t>
      </w:r>
    </w:p>
  </w:footnote>
  <w:footnote w:id="6">
    <w:p w14:paraId="1197179D" w14:textId="62570DC0" w:rsidR="00D31F06" w:rsidRDefault="00D31F06" w:rsidP="005349BB">
      <w:pPr>
        <w:pStyle w:val="FootnoteText"/>
      </w:pPr>
      <w:r>
        <w:rPr>
          <w:rStyle w:val="FootnoteReference"/>
        </w:rPr>
        <w:footnoteRef/>
      </w:r>
      <w:r>
        <w:t xml:space="preserve"> Source, See President of Welsh Tribunals third Annual Report 2020/21</w:t>
      </w:r>
      <w:r w:rsidR="008B0905">
        <w:t>.</w:t>
      </w:r>
    </w:p>
  </w:footnote>
  <w:footnote w:id="7">
    <w:p w14:paraId="2DBB9B5A" w14:textId="23FBAEC9" w:rsidR="00D31F06" w:rsidRDefault="00D31F06" w:rsidP="00BE24FC">
      <w:pPr>
        <w:pStyle w:val="FootnoteText"/>
      </w:pPr>
      <w:r>
        <w:rPr>
          <w:rStyle w:val="FootnoteReference"/>
        </w:rPr>
        <w:footnoteRef/>
      </w:r>
      <w:r>
        <w:t xml:space="preserve"> The President of Welsh Tribunals’ 2019-2020 and 2020-2021 annual reports explains that the slight dip in numbers in 2019-2020 and 2020-2021  is likely to be due to a change in reporting methods for that year, rather than a decrease in the number of applications and referrals. </w:t>
      </w:r>
    </w:p>
  </w:footnote>
  <w:footnote w:id="8">
    <w:p w14:paraId="5EBD9A86" w14:textId="77777777" w:rsidR="00D31F06" w:rsidRDefault="00D31F06" w:rsidP="005349BB">
      <w:pPr>
        <w:pStyle w:val="FootnoteText"/>
      </w:pPr>
      <w:r>
        <w:rPr>
          <w:rStyle w:val="FootnoteReference"/>
        </w:rPr>
        <w:footnoteRef/>
      </w:r>
      <w:r>
        <w:t xml:space="preserve">       Including rent assessment committees, leasehold valuation tribunals and residential property tribunals. </w:t>
      </w:r>
    </w:p>
  </w:footnote>
  <w:footnote w:id="9">
    <w:p w14:paraId="2ADDF80C" w14:textId="35E018CC" w:rsidR="00D31F06" w:rsidRDefault="00D31F06" w:rsidP="005349BB">
      <w:pPr>
        <w:pStyle w:val="FootnoteText"/>
      </w:pPr>
      <w:r>
        <w:rPr>
          <w:rStyle w:val="FootnoteReference"/>
        </w:rPr>
        <w:footnoteRef/>
      </w:r>
      <w:r>
        <w:t xml:space="preserve">  T</w:t>
      </w:r>
      <w:r w:rsidRPr="00D361A8">
        <w:t xml:space="preserve">he Special Educational Needs Tribunal for Wales </w:t>
      </w:r>
      <w:r>
        <w:t>was</w:t>
      </w:r>
      <w:r w:rsidRPr="00D361A8">
        <w:t xml:space="preserve"> renamed the E</w:t>
      </w:r>
      <w:r>
        <w:t>ducation Tribunal for Wales by the Additional Learning Needs and Education Tribunal Act 2018, s 91.</w:t>
      </w:r>
    </w:p>
  </w:footnote>
  <w:footnote w:id="10">
    <w:p w14:paraId="240DFA87" w14:textId="2B76B4D7" w:rsidR="00D31F06" w:rsidRDefault="00D31F06">
      <w:pPr>
        <w:pStyle w:val="FootnoteText"/>
      </w:pPr>
      <w:r>
        <w:rPr>
          <w:rStyle w:val="FootnoteReference"/>
        </w:rPr>
        <w:footnoteRef/>
      </w:r>
      <w:r>
        <w:t xml:space="preserve"> President of Welsh Tribunals annual report, 2020-2021, pp 13 and 14.</w:t>
      </w:r>
    </w:p>
  </w:footnote>
  <w:footnote w:id="11">
    <w:p w14:paraId="2081B762" w14:textId="77777777" w:rsidR="00D31F06" w:rsidRDefault="00D31F06" w:rsidP="005349BB">
      <w:pPr>
        <w:pStyle w:val="FootnoteText"/>
      </w:pPr>
      <w:r>
        <w:rPr>
          <w:rStyle w:val="FootnoteReference"/>
        </w:rPr>
        <w:footnoteRef/>
      </w:r>
      <w:r>
        <w:t xml:space="preserve">  Including rent assessment committees, leasehold valuation tribunals and residential property tribunals. </w:t>
      </w:r>
    </w:p>
  </w:footnote>
  <w:footnote w:id="12">
    <w:p w14:paraId="2B64E7F8" w14:textId="5546954A" w:rsidR="00D31F06" w:rsidRDefault="00D31F06" w:rsidP="005349BB">
      <w:pPr>
        <w:pStyle w:val="FootnoteText"/>
      </w:pPr>
      <w:r>
        <w:rPr>
          <w:rStyle w:val="FootnoteReference"/>
        </w:rPr>
        <w:footnoteRef/>
      </w:r>
      <w:r>
        <w:t xml:space="preserve">  T</w:t>
      </w:r>
      <w:r w:rsidRPr="00D361A8">
        <w:t xml:space="preserve">he Special Educational Needs Tribunal for Wales </w:t>
      </w:r>
      <w:r>
        <w:t>was</w:t>
      </w:r>
      <w:r w:rsidRPr="00D361A8">
        <w:t xml:space="preserve"> renamed the E</w:t>
      </w:r>
      <w:r>
        <w:t>ducation Tribunal for Wales by the Additional Learnings Needs and Education Tribunal Act 2018, s 91.</w:t>
      </w:r>
    </w:p>
  </w:footnote>
  <w:footnote w:id="13">
    <w:p w14:paraId="5923E5DE" w14:textId="77777777" w:rsidR="00D31F06" w:rsidRPr="000B308F" w:rsidRDefault="00D31F06" w:rsidP="007721C9">
      <w:pPr>
        <w:rPr>
          <w:rFonts w:ascii="Tahoma" w:hAnsi="Tahoma" w:cs="Tahoma"/>
          <w:sz w:val="16"/>
          <w:szCs w:val="16"/>
        </w:rPr>
      </w:pPr>
      <w:r>
        <w:rPr>
          <w:rStyle w:val="FootnoteReference"/>
        </w:rPr>
        <w:footnoteRef/>
      </w:r>
      <w:r>
        <w:t xml:space="preserve"> </w:t>
      </w:r>
      <w:r>
        <w:rPr>
          <w:rFonts w:ascii="Tahoma" w:hAnsi="Tahoma" w:cs="Tahoma"/>
          <w:sz w:val="16"/>
          <w:szCs w:val="16"/>
        </w:rPr>
        <w:t>Data provided by Welsh Tribunals Unit.</w:t>
      </w:r>
    </w:p>
    <w:p w14:paraId="51364825" w14:textId="77777777" w:rsidR="00D31F06" w:rsidRDefault="00D31F06">
      <w:pPr>
        <w:pStyle w:val="FootnoteText"/>
      </w:pPr>
    </w:p>
  </w:footnote>
  <w:footnote w:id="14">
    <w:p w14:paraId="2A7A8CC2" w14:textId="77777777" w:rsidR="00D31F06" w:rsidRDefault="00D31F06" w:rsidP="005349BB">
      <w:pPr>
        <w:pStyle w:val="FootnoteText"/>
      </w:pPr>
      <w:r w:rsidRPr="00566D27">
        <w:rPr>
          <w:rStyle w:val="FootnoteReference"/>
          <w:sz w:val="16"/>
          <w:szCs w:val="16"/>
        </w:rPr>
        <w:footnoteRef/>
      </w:r>
      <w:r w:rsidRPr="00566D27">
        <w:rPr>
          <w:szCs w:val="16"/>
        </w:rPr>
        <w:t xml:space="preserve"> </w:t>
      </w:r>
      <w:hyperlink r:id="rId5" w:history="1">
        <w:r w:rsidRPr="00566D27">
          <w:rPr>
            <w:rStyle w:val="Hyperlink"/>
            <w:szCs w:val="16"/>
          </w:rPr>
          <w:t>https://senedd.wales/laid%20documents/cr-ld12477/cr-ld12477-e.pdf</w:t>
        </w:r>
      </w:hyperlink>
      <w:r w:rsidRPr="00566D27">
        <w:rPr>
          <w:szCs w:val="16"/>
        </w:rPr>
        <w:t xml:space="preserve"> last accessed 20th</w:t>
      </w:r>
      <w:r w:rsidRPr="00566D27">
        <w:t xml:space="preserve"> </w:t>
      </w:r>
      <w:r>
        <w:t>October 2020</w:t>
      </w:r>
    </w:p>
  </w:footnote>
  <w:footnote w:id="15">
    <w:p w14:paraId="3A76B5BC" w14:textId="77777777" w:rsidR="00D31F06" w:rsidRDefault="00D31F06" w:rsidP="005349BB">
      <w:pPr>
        <w:pStyle w:val="FootnoteText"/>
      </w:pPr>
      <w:r>
        <w:rPr>
          <w:rStyle w:val="FootnoteReference"/>
        </w:rPr>
        <w:footnoteRef/>
      </w:r>
      <w:r>
        <w:t xml:space="preserve"> </w:t>
      </w:r>
      <w:r>
        <w:tab/>
      </w:r>
      <w:proofErr w:type="spellStart"/>
      <w:r>
        <w:t>GoWA</w:t>
      </w:r>
      <w:proofErr w:type="spellEnd"/>
      <w:r>
        <w:t xml:space="preserve"> 2006, </w:t>
      </w:r>
      <w:proofErr w:type="spellStart"/>
      <w:r>
        <w:t>sch</w:t>
      </w:r>
      <w:proofErr w:type="spellEnd"/>
      <w:r>
        <w:t xml:space="preserve"> 7A, para 9(2) defines a devolved tribunal as a tribunal, “</w:t>
      </w:r>
      <w:r w:rsidRPr="00C04F71">
        <w:t>all of whose functions are functions that (a) are exercisable only in relation to Wales, and (b) do n</w:t>
      </w:r>
      <w:r>
        <w:t>ot relate to reserved matters”</w:t>
      </w:r>
    </w:p>
  </w:footnote>
  <w:footnote w:id="16">
    <w:p w14:paraId="7726BD2B" w14:textId="77777777" w:rsidR="00D31F06" w:rsidRPr="00506671" w:rsidRDefault="00D31F06">
      <w:pPr>
        <w:pStyle w:val="FootnoteText"/>
        <w:rPr>
          <w:rFonts w:cs="Arial"/>
          <w:szCs w:val="16"/>
        </w:rPr>
      </w:pPr>
      <w:r>
        <w:rPr>
          <w:rStyle w:val="FootnoteReference"/>
        </w:rPr>
        <w:footnoteRef/>
      </w:r>
      <w:r>
        <w:t xml:space="preserve"> </w:t>
      </w:r>
      <w:r>
        <w:tab/>
      </w:r>
      <w:r w:rsidRPr="00506671">
        <w:rPr>
          <w:rFonts w:cs="Arial"/>
          <w:szCs w:val="16"/>
        </w:rPr>
        <w:t>See</w:t>
      </w:r>
      <w:r>
        <w:t xml:space="preserve"> </w:t>
      </w:r>
      <w:r w:rsidRPr="00506671">
        <w:rPr>
          <w:rFonts w:cs="Arial"/>
          <w:bCs/>
          <w:szCs w:val="16"/>
        </w:rPr>
        <w:t>Public Administration and a Just Wales: Education (March 2020)</w:t>
      </w:r>
      <w:r>
        <w:rPr>
          <w:rFonts w:cs="Arial"/>
          <w:bCs/>
          <w:szCs w:val="16"/>
        </w:rPr>
        <w:t xml:space="preserve"> </w:t>
      </w:r>
      <w:r w:rsidRPr="00506671">
        <w:rPr>
          <w:rFonts w:cs="Arial"/>
          <w:bCs/>
          <w:szCs w:val="16"/>
        </w:rPr>
        <w:t>https:</w:t>
      </w:r>
      <w:hyperlink r:id="rId6" w:history="1">
        <w:r w:rsidRPr="00617D87">
          <w:rPr>
            <w:rStyle w:val="Hyperlink"/>
            <w:rFonts w:cs="Arial"/>
            <w:szCs w:val="16"/>
          </w:rPr>
          <w:t>//ukaji.org/2020/06/03/new-research-report-public</w:t>
        </w:r>
      </w:hyperlink>
      <w:r w:rsidRPr="00506671">
        <w:rPr>
          <w:rFonts w:cs="Arial"/>
          <w:szCs w:val="16"/>
        </w:rPr>
        <w:t>-administration-and-a-just-wales/</w:t>
      </w:r>
    </w:p>
  </w:footnote>
  <w:footnote w:id="17">
    <w:p w14:paraId="24340C97" w14:textId="77777777" w:rsidR="00D31F06" w:rsidRPr="00566D27" w:rsidRDefault="00D31F06" w:rsidP="005349BB">
      <w:pPr>
        <w:pStyle w:val="FootnoteText"/>
        <w:rPr>
          <w:szCs w:val="16"/>
        </w:rPr>
      </w:pPr>
      <w:r>
        <w:rPr>
          <w:rStyle w:val="FootnoteReference"/>
        </w:rPr>
        <w:footnoteRef/>
      </w:r>
      <w:r>
        <w:t xml:space="preserve"> </w:t>
      </w:r>
      <w:r>
        <w:tab/>
      </w:r>
      <w:r w:rsidRPr="00566D27">
        <w:rPr>
          <w:szCs w:val="16"/>
        </w:rPr>
        <w:t>Freedom of Information Act (FOI) request to all local authorities in Wales. Of the 12 local authorities who responded to our FOI asking how many school exclusion appeal panels they had convened over the past 12 months, 3 declined to disclose the information due to the low numbers involved and the risk of students being identified. The other 9 had, between them, convened a total of 18 panels: one authority had convened no panels, 4 had convened one each, one had convened 3, one had convened 4, and one had convened 7 in the 12-month period</w:t>
      </w:r>
    </w:p>
  </w:footnote>
  <w:footnote w:id="18">
    <w:p w14:paraId="7BD3BAF8" w14:textId="77777777" w:rsidR="00D31F06" w:rsidRDefault="00D31F06" w:rsidP="005349BB">
      <w:pPr>
        <w:pStyle w:val="FootnoteText"/>
      </w:pPr>
      <w:r>
        <w:rPr>
          <w:rStyle w:val="FootnoteReference"/>
        </w:rPr>
        <w:footnoteRef/>
      </w:r>
      <w:r>
        <w:t xml:space="preserve"> The questionnaire was sent to LAs as part of a Welsh Government feasibility study in 2014, examining the possibility of transferring the administration of school admission and exclusion appeals to the WTU.</w:t>
      </w:r>
    </w:p>
  </w:footnote>
  <w:footnote w:id="19">
    <w:p w14:paraId="04B8AC31" w14:textId="77777777" w:rsidR="00D31F06" w:rsidRDefault="00D31F06">
      <w:pPr>
        <w:pStyle w:val="FootnoteText"/>
      </w:pPr>
      <w:r>
        <w:rPr>
          <w:rStyle w:val="FootnoteReference"/>
        </w:rPr>
        <w:footnoteRef/>
      </w:r>
      <w:r>
        <w:t xml:space="preserve"> </w:t>
      </w:r>
      <w:r>
        <w:tab/>
        <w:t>Information provided to the Law Commission in a meeting with representatives from Cardiff Council on 10 March 2021.</w:t>
      </w:r>
    </w:p>
  </w:footnote>
  <w:footnote w:id="20">
    <w:p w14:paraId="3BB27D16" w14:textId="77777777" w:rsidR="00D31F06" w:rsidRDefault="00D31F06" w:rsidP="005349BB">
      <w:pPr>
        <w:pStyle w:val="FootnoteText"/>
      </w:pPr>
      <w:r>
        <w:rPr>
          <w:rStyle w:val="FootnoteReference"/>
        </w:rPr>
        <w:footnoteRef/>
      </w:r>
      <w:r>
        <w:t xml:space="preserve">      </w:t>
      </w:r>
      <w:r w:rsidRPr="000C46C6">
        <w:rPr>
          <w:szCs w:val="16"/>
        </w:rPr>
        <w:t xml:space="preserve">Source: </w:t>
      </w:r>
      <w:r>
        <w:rPr>
          <w:szCs w:val="16"/>
        </w:rPr>
        <w:t>Valuation Tribunal for Wales</w:t>
      </w:r>
      <w:r w:rsidRPr="000C46C6">
        <w:rPr>
          <w:szCs w:val="16"/>
        </w:rPr>
        <w:t xml:space="preserve"> Annual Report 2019 -20, page 20</w:t>
      </w:r>
      <w:r>
        <w:t>.</w:t>
      </w:r>
    </w:p>
  </w:footnote>
  <w:footnote w:id="21">
    <w:p w14:paraId="4975920E" w14:textId="77777777" w:rsidR="00D31F06" w:rsidRDefault="00D31F06" w:rsidP="00FF2603">
      <w:pPr>
        <w:pStyle w:val="FootnoteText"/>
      </w:pPr>
      <w:r>
        <w:rPr>
          <w:rStyle w:val="FootnoteReference"/>
        </w:rPr>
        <w:footnoteRef/>
      </w:r>
      <w:r>
        <w:t xml:space="preserve"> The Valuation Tribunal for Wales Annual Report 2019-20 explains that the volume of non-domestic ratings appeals was lower in 2019-20 because the Valuation Office Agency has been preparing the 2021 rating lists.</w:t>
      </w:r>
    </w:p>
  </w:footnote>
  <w:footnote w:id="22">
    <w:p w14:paraId="3E70ED7D" w14:textId="77777777" w:rsidR="00D31F06" w:rsidRDefault="00D31F06" w:rsidP="00004BFD">
      <w:pPr>
        <w:pStyle w:val="FootnoteText"/>
      </w:pPr>
      <w:r>
        <w:rPr>
          <w:rStyle w:val="FootnoteReference"/>
        </w:rPr>
        <w:footnoteRef/>
      </w:r>
      <w:r>
        <w:t xml:space="preserve"> </w:t>
      </w:r>
      <w:r>
        <w:rPr>
          <w:rStyle w:val="FootnoteReference"/>
        </w:rPr>
        <w:footnoteRef/>
      </w:r>
      <w:r>
        <w:rPr>
          <w:rFonts w:cs="Arial"/>
          <w:sz w:val="17"/>
          <w:szCs w:val="17"/>
        </w:rPr>
        <w:t xml:space="preserve">Costs to society are given a negative value and benefits a positive value. After adjusting for inflation and discounting, costs and benefits can be added together to calculate the Net Present Social Value (NPSV) for each option. </w:t>
      </w:r>
      <w:r>
        <w:t xml:space="preserve">See HMT Green Book at </w:t>
      </w:r>
      <w:hyperlink r:id="rId7" w:anchor="page=1&amp;zoom=auto,-47,842" w:history="1">
        <w:r w:rsidRPr="00575445">
          <w:rPr>
            <w:rStyle w:val="Hyperlink"/>
          </w:rPr>
          <w:t>https://assets.publishing.service.gov.uk/government/uploads/system/uploads/attachment_data/file/685903/The_Green_Book.pdf#page=1&amp;zoom=auto,-47,842</w:t>
        </w:r>
      </w:hyperlink>
      <w:r>
        <w:t xml:space="preserve"> page 21</w:t>
      </w:r>
    </w:p>
  </w:footnote>
  <w:footnote w:id="23">
    <w:p w14:paraId="416E917E" w14:textId="07517C50" w:rsidR="00D31F06" w:rsidRDefault="00D31F06">
      <w:pPr>
        <w:pStyle w:val="FootnoteText"/>
      </w:pPr>
      <w:r>
        <w:rPr>
          <w:rStyle w:val="FootnoteReference"/>
        </w:rPr>
        <w:footnoteRef/>
      </w:r>
      <w:r>
        <w:t xml:space="preserve"> Rounded to nearest £5</w:t>
      </w:r>
    </w:p>
  </w:footnote>
  <w:footnote w:id="24">
    <w:p w14:paraId="1AAC5859" w14:textId="1737A41C" w:rsidR="00D31F06" w:rsidRDefault="00D31F06">
      <w:pPr>
        <w:pStyle w:val="FootnoteText"/>
      </w:pPr>
      <w:r>
        <w:rPr>
          <w:rStyle w:val="FootnoteReference"/>
        </w:rPr>
        <w:footnoteRef/>
      </w:r>
      <w:r>
        <w:t xml:space="preserve"> Based on anecdotal evidence supplied by the Judicial College</w:t>
      </w:r>
    </w:p>
  </w:footnote>
  <w:footnote w:id="25">
    <w:p w14:paraId="0D53BC6A" w14:textId="77777777" w:rsidR="00D31F06" w:rsidRDefault="00D31F06">
      <w:pPr>
        <w:pStyle w:val="FootnoteText"/>
      </w:pPr>
      <w:r>
        <w:rPr>
          <w:rStyle w:val="FootnoteReference"/>
        </w:rPr>
        <w:footnoteRef/>
      </w:r>
      <w:r>
        <w:t xml:space="preserve"> </w:t>
      </w:r>
      <w:r>
        <w:tab/>
        <w:t xml:space="preserve">Cathays Park in Cardiff, </w:t>
      </w:r>
      <w:proofErr w:type="spellStart"/>
      <w:r>
        <w:t>Cleppa</w:t>
      </w:r>
      <w:proofErr w:type="spellEnd"/>
      <w:r>
        <w:t xml:space="preserve"> Park in Newport, Llandrindod Wells and Llandudno Junction.</w:t>
      </w:r>
    </w:p>
  </w:footnote>
  <w:footnote w:id="26">
    <w:p w14:paraId="606FE67A" w14:textId="77777777" w:rsidR="00D31F06" w:rsidRDefault="00D31F06" w:rsidP="00AF45CD">
      <w:pPr>
        <w:pStyle w:val="FootnoteText"/>
      </w:pPr>
      <w:r>
        <w:rPr>
          <w:rStyle w:val="FootnoteReference"/>
        </w:rPr>
        <w:footnoteRef/>
      </w:r>
      <w:r>
        <w:t xml:space="preserve"> </w:t>
      </w:r>
      <w:r>
        <w:tab/>
        <w:t>Research Briefing, Tax Collection and Management (Wales) Act 2016, p 4 https://senedd.wales/media/0orj2toq/16-047-web-english.pdf</w:t>
      </w:r>
    </w:p>
  </w:footnote>
  <w:footnote w:id="27">
    <w:p w14:paraId="4782D0BB" w14:textId="2C247A8E" w:rsidR="00D31F06" w:rsidRDefault="00D31F06">
      <w:pPr>
        <w:pStyle w:val="FootnoteText"/>
      </w:pPr>
      <w:r>
        <w:rPr>
          <w:rStyle w:val="FootnoteReference"/>
        </w:rPr>
        <w:footnoteRef/>
      </w:r>
      <w:r>
        <w:t xml:space="preserve"> Information supplied by WTU as at 15 November 2021. VTW staff numbers are from the 2019-20 annual report.</w:t>
      </w:r>
    </w:p>
  </w:footnote>
  <w:footnote w:id="28">
    <w:p w14:paraId="3FE9CA76" w14:textId="3E8479BF" w:rsidR="00D31F06" w:rsidRDefault="00D31F06">
      <w:pPr>
        <w:pStyle w:val="FootnoteText"/>
      </w:pPr>
      <w:r>
        <w:rPr>
          <w:rStyle w:val="FootnoteReference"/>
        </w:rPr>
        <w:footnoteRef/>
      </w:r>
      <w:r>
        <w:t xml:space="preserve"> In 2020/21, only 5 appeals were granted permission by the Welsh tribunals to appeal to the Upper Tribunal</w:t>
      </w:r>
    </w:p>
  </w:footnote>
  <w:footnote w:id="29">
    <w:p w14:paraId="0708D92D" w14:textId="77777777" w:rsidR="00D31F06" w:rsidRDefault="00D31F06">
      <w:pPr>
        <w:pStyle w:val="FootnoteText"/>
      </w:pPr>
      <w:r>
        <w:rPr>
          <w:rStyle w:val="FootnoteReference"/>
        </w:rPr>
        <w:footnoteRef/>
      </w:r>
      <w:r>
        <w:t xml:space="preserve"> Recommended changes to procedural rules expected to reduce volume of appeals under the Agricultural Land Tribunal</w:t>
      </w:r>
    </w:p>
  </w:footnote>
  <w:footnote w:id="30">
    <w:p w14:paraId="7D4A62D1" w14:textId="34B7B434" w:rsidR="00D31F06" w:rsidRDefault="00D31F06">
      <w:pPr>
        <w:pStyle w:val="FootnoteText"/>
      </w:pPr>
      <w:r>
        <w:rPr>
          <w:rStyle w:val="FootnoteReference"/>
        </w:rPr>
        <w:footnoteRef/>
      </w:r>
      <w:r>
        <w:t xml:space="preserve"> Ministry of Justice Judicial Fees from 1 April 2020 </w:t>
      </w:r>
      <w:hyperlink r:id="rId8" w:history="1">
        <w:r>
          <w:rPr>
            <w:rStyle w:val="Hyperlink"/>
          </w:rPr>
          <w:t>judical-fee-schedule20-21.pdf (publishing.service.gov.uk)</w:t>
        </w:r>
      </w:hyperlink>
      <w:r>
        <w:t xml:space="preserve"> </w:t>
      </w:r>
    </w:p>
  </w:footnote>
  <w:footnote w:id="31">
    <w:p w14:paraId="4ACAAB92" w14:textId="77777777" w:rsidR="00D31F06" w:rsidRDefault="00D31F06" w:rsidP="007D2D03">
      <w:pPr>
        <w:pStyle w:val="FootnoteText"/>
      </w:pPr>
      <w:r>
        <w:rPr>
          <w:rStyle w:val="FootnoteReference"/>
        </w:rPr>
        <w:footnoteRef/>
      </w:r>
      <w:r>
        <w:t xml:space="preserve"> S </w:t>
      </w:r>
      <w:proofErr w:type="spellStart"/>
      <w:r>
        <w:t>Nason</w:t>
      </w:r>
      <w:proofErr w:type="spellEnd"/>
      <w:r>
        <w:t>, H Taylor, A Sherlock and H Pritchard, Public Administration and a Just Wales: Education, p 67.</w:t>
      </w:r>
    </w:p>
  </w:footnote>
  <w:footnote w:id="32">
    <w:p w14:paraId="5C24E9C3" w14:textId="77777777" w:rsidR="00D31F06" w:rsidRDefault="00D31F06" w:rsidP="00293884">
      <w:pPr>
        <w:pStyle w:val="FootnoteText"/>
      </w:pPr>
      <w:r>
        <w:rPr>
          <w:rStyle w:val="FootnoteReference"/>
        </w:rPr>
        <w:footnoteRef/>
      </w:r>
      <w:r>
        <w:t xml:space="preserve"> Rounded to nearest £100</w:t>
      </w:r>
    </w:p>
  </w:footnote>
  <w:footnote w:id="33">
    <w:p w14:paraId="0F28C2FF" w14:textId="77777777" w:rsidR="00D31F06" w:rsidRDefault="00D31F06">
      <w:pPr>
        <w:pStyle w:val="FootnoteText"/>
      </w:pPr>
      <w:r>
        <w:rPr>
          <w:rStyle w:val="FootnoteReference"/>
        </w:rPr>
        <w:footnoteRef/>
      </w:r>
      <w:r>
        <w:t xml:space="preserve"> £112,500 as the central estimate with +/- 5% for high/low estimates [£118,100/£106,900]</w:t>
      </w:r>
    </w:p>
  </w:footnote>
  <w:footnote w:id="34">
    <w:p w14:paraId="29CD6C5B" w14:textId="5533832A" w:rsidR="00D31F06" w:rsidRDefault="00D31F06">
      <w:pPr>
        <w:pStyle w:val="FootnoteText"/>
      </w:pPr>
      <w:r>
        <w:rPr>
          <w:rStyle w:val="FootnoteReference"/>
        </w:rPr>
        <w:footnoteRef/>
      </w:r>
      <w:r>
        <w:t xml:space="preserve"> See Valuation Tribunal for Wales Annual Report 2019/20 </w:t>
      </w:r>
      <w:hyperlink r:id="rId9" w:history="1">
        <w:r w:rsidRPr="009F070A">
          <w:rPr>
            <w:rStyle w:val="Hyperlink"/>
          </w:rPr>
          <w:t>https://www.valuationtribunal.wales/fileadmin/resources/docs/publications/en/Annual_report_2019-2020.pdf</w:t>
        </w:r>
      </w:hyperlink>
      <w:r>
        <w:t>, page 18</w:t>
      </w:r>
    </w:p>
  </w:footnote>
  <w:footnote w:id="35">
    <w:p w14:paraId="48C2AFFB" w14:textId="77777777" w:rsidR="00D31F06" w:rsidRDefault="00D31F06">
      <w:pPr>
        <w:pStyle w:val="FootnoteText"/>
      </w:pPr>
      <w:r>
        <w:rPr>
          <w:rStyle w:val="FootnoteReference"/>
        </w:rPr>
        <w:footnoteRef/>
      </w:r>
      <w:r>
        <w:t xml:space="preserve"> Provided by WTU.</w:t>
      </w:r>
    </w:p>
  </w:footnote>
  <w:footnote w:id="36">
    <w:p w14:paraId="6FE6109D" w14:textId="77777777" w:rsidR="00D31F06" w:rsidRDefault="00D31F06">
      <w:pPr>
        <w:pStyle w:val="FootnoteText"/>
      </w:pPr>
      <w:r>
        <w:rPr>
          <w:rStyle w:val="FootnoteReference"/>
        </w:rPr>
        <w:footnoteRef/>
      </w:r>
      <w:r>
        <w:t xml:space="preserve"> Rounded to nearest £100</w:t>
      </w:r>
    </w:p>
  </w:footnote>
  <w:footnote w:id="37">
    <w:p w14:paraId="68184E78" w14:textId="343BCFE1" w:rsidR="00D31F06" w:rsidRDefault="00D31F06" w:rsidP="00101897">
      <w:pPr>
        <w:pStyle w:val="FootnoteText"/>
      </w:pPr>
      <w:r>
        <w:rPr>
          <w:rStyle w:val="FootnoteReference"/>
        </w:rPr>
        <w:footnoteRef/>
      </w:r>
      <w:r>
        <w:t xml:space="preserve"> See </w:t>
      </w:r>
      <w:hyperlink r:id="rId10" w:history="1">
        <w:r w:rsidRPr="00134D87">
          <w:rPr>
            <w:rStyle w:val="Hyperlink"/>
          </w:rPr>
          <w:t>https://welshlanguagetribunal.gov.wales/sites/welshlanguage/files/2019-06/160309-wlt-annual-report-2014-2015-en_0.pdf</w:t>
        </w:r>
      </w:hyperlink>
      <w:r>
        <w:t xml:space="preserve"> </w:t>
      </w:r>
    </w:p>
  </w:footnote>
  <w:footnote w:id="38">
    <w:p w14:paraId="0787401E" w14:textId="77777777" w:rsidR="00D31F06" w:rsidRDefault="00D31F06" w:rsidP="00101897">
      <w:pPr>
        <w:pStyle w:val="FootnoteText"/>
      </w:pPr>
      <w:r>
        <w:rPr>
          <w:rStyle w:val="FootnoteReference"/>
        </w:rPr>
        <w:footnoteRef/>
      </w:r>
      <w:r>
        <w:t xml:space="preserve"> £41,450 uprates to 2019 prices using HMT GDP deflator</w:t>
      </w:r>
    </w:p>
  </w:footnote>
  <w:footnote w:id="39">
    <w:p w14:paraId="6AB36F4D" w14:textId="77777777" w:rsidR="00D31F06" w:rsidRDefault="00D31F06" w:rsidP="006D139F">
      <w:pPr>
        <w:pStyle w:val="FootnoteText"/>
      </w:pPr>
      <w:r>
        <w:rPr>
          <w:rStyle w:val="FootnoteReference"/>
        </w:rPr>
        <w:footnoteRef/>
      </w:r>
      <w:r>
        <w:t xml:space="preserve"> Rounded to closest £100</w:t>
      </w:r>
    </w:p>
  </w:footnote>
  <w:footnote w:id="40">
    <w:p w14:paraId="6A40065C" w14:textId="77777777" w:rsidR="00D31F06" w:rsidRDefault="00D31F06" w:rsidP="004712A4">
      <w:pPr>
        <w:pStyle w:val="FootnoteText"/>
      </w:pPr>
      <w:r>
        <w:rPr>
          <w:rStyle w:val="FootnoteReference"/>
        </w:rPr>
        <w:footnoteRef/>
      </w:r>
      <w:r>
        <w:t xml:space="preserve"> These cost savings do not mirror the additional costs expected to be incurred by the ETW in taking over school exclusion appeal panels. This is primarily because the panel members who currently hear cases are unpaid, whereas members of the ETW are paid a fee.</w:t>
      </w:r>
    </w:p>
  </w:footnote>
  <w:footnote w:id="41">
    <w:p w14:paraId="00C1C3DA" w14:textId="75A2BA9C" w:rsidR="00D31F06" w:rsidRDefault="00D31F06">
      <w:pPr>
        <w:pStyle w:val="FootnoteText"/>
      </w:pPr>
      <w:r>
        <w:rPr>
          <w:rStyle w:val="FootnoteReference"/>
        </w:rPr>
        <w:footnoteRef/>
      </w:r>
      <w:r>
        <w:t xml:space="preserve"> Annual Hourly Salary and Earnings, Table 14.6a, 2019/20 [Local government administrative salary and solicitor salary] See </w:t>
      </w:r>
      <w:hyperlink r:id="rId11" w:history="1">
        <w:r w:rsidRPr="00254046">
          <w:rPr>
            <w:rStyle w:val="Hyperlink"/>
          </w:rPr>
          <w:t>https://www.ons.gov.uk/employmentandlabourmarket/peopleinwork/earningsandworkinghours/datasets/occupation4digitsoc2010ashetable14</w:t>
        </w:r>
      </w:hyperlink>
      <w:r>
        <w:t>,. Excludes 18% salary uplift to cover cost to employer.</w:t>
      </w:r>
    </w:p>
  </w:footnote>
  <w:footnote w:id="42">
    <w:p w14:paraId="248344BC" w14:textId="77777777" w:rsidR="00D31F06" w:rsidRDefault="00D31F06">
      <w:pPr>
        <w:pStyle w:val="FootnoteText"/>
      </w:pPr>
      <w:r>
        <w:rPr>
          <w:rStyle w:val="FootnoteReference"/>
        </w:rPr>
        <w:footnoteRef/>
      </w:r>
      <w:r>
        <w:t xml:space="preserve"> Rounded to nearest £50</w:t>
      </w:r>
    </w:p>
  </w:footnote>
  <w:footnote w:id="43">
    <w:p w14:paraId="390B7B92" w14:textId="77777777" w:rsidR="00D31F06" w:rsidRDefault="00D31F06" w:rsidP="00ED40E7">
      <w:pPr>
        <w:pStyle w:val="FootnoteText"/>
      </w:pPr>
      <w:r>
        <w:rPr>
          <w:rStyle w:val="FootnoteReference"/>
        </w:rPr>
        <w:footnoteRef/>
      </w:r>
      <w:r>
        <w:t xml:space="preserve"> Rounded to nearest £100</w:t>
      </w:r>
    </w:p>
  </w:footnote>
  <w:footnote w:id="44">
    <w:p w14:paraId="08905FB1" w14:textId="77777777" w:rsidR="00D31F06" w:rsidRDefault="00D31F06" w:rsidP="00213E7A">
      <w:pPr>
        <w:pStyle w:val="FootnoteText"/>
      </w:pPr>
      <w:r>
        <w:rPr>
          <w:rStyle w:val="FootnoteReference"/>
        </w:rPr>
        <w:footnoteRef/>
      </w:r>
      <w:r>
        <w:t xml:space="preserve"> £112,500 as the central estimate with +/- 5% for high/low estimates [£118,100/£106,900]</w:t>
      </w:r>
    </w:p>
  </w:footnote>
  <w:footnote w:id="45">
    <w:p w14:paraId="25B3C000" w14:textId="7EDDE4A2" w:rsidR="00D31F06" w:rsidRDefault="00D31F06" w:rsidP="00F27A83">
      <w:pPr>
        <w:pStyle w:val="FootnoteText"/>
      </w:pPr>
      <w:r>
        <w:rPr>
          <w:rStyle w:val="FootnoteReference"/>
        </w:rPr>
        <w:footnoteRef/>
      </w:r>
      <w:r>
        <w:t xml:space="preserve"> See Valuation Tribunal for Wales Annual Report 2019/20 </w:t>
      </w:r>
      <w:hyperlink r:id="rId12" w:history="1">
        <w:r w:rsidRPr="009F070A">
          <w:rPr>
            <w:rStyle w:val="Hyperlink"/>
          </w:rPr>
          <w:t>https://www.valuationtribunal.wales/fileadmin/resources/docs/publications/en/Annual_report_2019-2020.pdf</w:t>
        </w:r>
      </w:hyperlink>
      <w:r>
        <w:t>, page 18</w:t>
      </w:r>
    </w:p>
  </w:footnote>
  <w:footnote w:id="46">
    <w:p w14:paraId="7BD98A67" w14:textId="77777777" w:rsidR="00D31F06" w:rsidRDefault="00D31F06" w:rsidP="00F27A83">
      <w:pPr>
        <w:pStyle w:val="FootnoteText"/>
      </w:pPr>
      <w:r>
        <w:rPr>
          <w:rStyle w:val="FootnoteReference"/>
        </w:rPr>
        <w:footnoteRef/>
      </w:r>
      <w:r>
        <w:t xml:space="preserve"> Provided by WTU.</w:t>
      </w:r>
    </w:p>
  </w:footnote>
  <w:footnote w:id="47">
    <w:p w14:paraId="639F796B" w14:textId="77777777" w:rsidR="00D31F06" w:rsidRDefault="00D31F06" w:rsidP="00F27A83">
      <w:pPr>
        <w:pStyle w:val="FootnoteText"/>
      </w:pPr>
      <w:r>
        <w:rPr>
          <w:rStyle w:val="FootnoteReference"/>
        </w:rPr>
        <w:footnoteRef/>
      </w:r>
      <w:r>
        <w:t xml:space="preserve"> Rounded to nearest £100</w:t>
      </w:r>
    </w:p>
  </w:footnote>
  <w:footnote w:id="48">
    <w:p w14:paraId="7A182E25" w14:textId="77777777" w:rsidR="00D31F06" w:rsidRDefault="00D31F06" w:rsidP="00846526">
      <w:pPr>
        <w:pStyle w:val="FootnoteText"/>
      </w:pPr>
      <w:r>
        <w:rPr>
          <w:rStyle w:val="FootnoteReference"/>
        </w:rPr>
        <w:footnoteRef/>
      </w:r>
      <w:r>
        <w:t xml:space="preserve"> These cost savings do not mirror the additional costs expected to be incurred by the ETW in taking over school exclusion appeal panels. This is primarily because the panel members who currently hear cases are unpaid, whereas members of the ETW are paid a fee.</w:t>
      </w:r>
    </w:p>
  </w:footnote>
  <w:footnote w:id="49">
    <w:p w14:paraId="37A72E23" w14:textId="0B47E779" w:rsidR="00D31F06" w:rsidRDefault="00D31F06" w:rsidP="003740C2">
      <w:pPr>
        <w:pStyle w:val="FootnoteText"/>
      </w:pPr>
      <w:r>
        <w:rPr>
          <w:rStyle w:val="FootnoteReference"/>
        </w:rPr>
        <w:footnoteRef/>
      </w:r>
      <w:r>
        <w:t xml:space="preserve"> Annual Hourly Salary and Earnings, Table 14.6a, 2019/20 [Local government administrative salary and solicitor salary] See </w:t>
      </w:r>
      <w:hyperlink r:id="rId13" w:history="1">
        <w:r w:rsidRPr="00254046">
          <w:rPr>
            <w:rStyle w:val="Hyperlink"/>
          </w:rPr>
          <w:t>https://www.ons.gov.uk/employmentandlabourmarket/peopleinwork/earningsandworkinghours/datasets/occupation4digitsoc2010ashetable14</w:t>
        </w:r>
      </w:hyperlink>
      <w:r>
        <w:t>, Includes 18% salary uplift to cover cost to employer.</w:t>
      </w:r>
    </w:p>
  </w:footnote>
  <w:footnote w:id="50">
    <w:p w14:paraId="23A1D214" w14:textId="77777777" w:rsidR="00D31F06" w:rsidRDefault="00D31F06">
      <w:pPr>
        <w:pStyle w:val="FootnoteText"/>
      </w:pPr>
      <w:r>
        <w:rPr>
          <w:rStyle w:val="FootnoteReference"/>
        </w:rPr>
        <w:footnoteRef/>
      </w:r>
      <w:r>
        <w:t xml:space="preserve"> Rounded to nearest £50</w:t>
      </w:r>
    </w:p>
  </w:footnote>
  <w:footnote w:id="51">
    <w:p w14:paraId="3FB5142E" w14:textId="4D0453BD" w:rsidR="00D31F06" w:rsidRDefault="00D31F06">
      <w:pPr>
        <w:pStyle w:val="FootnoteText"/>
      </w:pPr>
      <w:r>
        <w:rPr>
          <w:rStyle w:val="FootnoteReference"/>
        </w:rPr>
        <w:footnoteRef/>
      </w:r>
      <w:r>
        <w:t xml:space="preserve"> Excludes transitional costs</w:t>
      </w:r>
    </w:p>
  </w:footnote>
  <w:footnote w:id="52">
    <w:p w14:paraId="1205092F" w14:textId="7B3F6CA6" w:rsidR="00D31F06" w:rsidRDefault="00D31F06">
      <w:pPr>
        <w:pStyle w:val="FootnoteText"/>
      </w:pPr>
      <w:r>
        <w:rPr>
          <w:rStyle w:val="FootnoteReference"/>
        </w:rPr>
        <w:footnoteRef/>
      </w:r>
      <w:r>
        <w:t xml:space="preserve"> Costs attributed to the Valuation Tribunal and ETW evenly spread over 10 years to derive an annual estimate; Excludes transitional costs</w:t>
      </w:r>
    </w:p>
  </w:footnote>
  <w:footnote w:id="53">
    <w:p w14:paraId="50949E7B" w14:textId="77777777" w:rsidR="00D31F06" w:rsidRDefault="00D31F06" w:rsidP="00262AF5">
      <w:pPr>
        <w:pStyle w:val="FootnoteText"/>
      </w:pPr>
      <w:r>
        <w:rPr>
          <w:rStyle w:val="FootnoteReference"/>
        </w:rPr>
        <w:footnoteRef/>
      </w:r>
      <w:r>
        <w:t xml:space="preserve"> </w:t>
      </w:r>
      <w:r>
        <w:tab/>
        <w:t>SI 2016 No 405 (WSI 125).</w:t>
      </w:r>
    </w:p>
  </w:footnote>
  <w:footnote w:id="54">
    <w:p w14:paraId="7090BD5B" w14:textId="77777777" w:rsidR="00D31F06" w:rsidRDefault="00D31F06" w:rsidP="00262AF5">
      <w:pPr>
        <w:pStyle w:val="FootnoteText"/>
      </w:pPr>
      <w:r>
        <w:rPr>
          <w:rStyle w:val="FootnoteReference"/>
        </w:rPr>
        <w:footnoteRef/>
      </w:r>
      <w:r>
        <w:t xml:space="preserve"> </w:t>
      </w:r>
      <w:r>
        <w:tab/>
        <w:t xml:space="preserve">Explanatory note to the Welsh Language Standards (No 4) Regulations SI 2016 No 405 (WSI 125) p 3 </w:t>
      </w:r>
      <w:hyperlink r:id="rId14" w:history="1">
        <w:r>
          <w:rPr>
            <w:rStyle w:val="Hyperlink"/>
          </w:rPr>
          <w:t>https://senedd.wales/media/l3xgbanm/sub-ld10586-em-e.pdf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1EAC" w14:textId="77777777" w:rsidR="00D31F06" w:rsidRDefault="00D31F06"/>
  <w:p w14:paraId="635BA558" w14:textId="77777777" w:rsidR="00D31F06" w:rsidRDefault="00D31F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02EAC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438C8F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42A83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3A4D59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CBC2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7E6D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9C09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E07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87A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4431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31D5"/>
    <w:multiLevelType w:val="multilevel"/>
    <w:tmpl w:val="7E8654E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60D4849"/>
    <w:multiLevelType w:val="hybridMultilevel"/>
    <w:tmpl w:val="CD0E41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0667469F"/>
    <w:multiLevelType w:val="hybridMultilevel"/>
    <w:tmpl w:val="259AF760"/>
    <w:lvl w:ilvl="0" w:tplc="08090001">
      <w:start w:val="1"/>
      <w:numFmt w:val="bullet"/>
      <w:lvlText w:val=""/>
      <w:lvlJc w:val="left"/>
      <w:pPr>
        <w:ind w:left="1212" w:hanging="360"/>
      </w:pPr>
      <w:rPr>
        <w:rFonts w:ascii="Symbol" w:hAnsi="Symbol"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072E0D9B"/>
    <w:multiLevelType w:val="hybridMultilevel"/>
    <w:tmpl w:val="50A65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D804F0"/>
    <w:multiLevelType w:val="hybridMultilevel"/>
    <w:tmpl w:val="0F8E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D767E5"/>
    <w:multiLevelType w:val="hybridMultilevel"/>
    <w:tmpl w:val="1010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F0002B"/>
    <w:multiLevelType w:val="hybridMultilevel"/>
    <w:tmpl w:val="4C8C12FA"/>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17" w15:restartNumberingAfterBreak="0">
    <w:nsid w:val="18F112AF"/>
    <w:multiLevelType w:val="hybridMultilevel"/>
    <w:tmpl w:val="F3B05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A2943E7"/>
    <w:multiLevelType w:val="multilevel"/>
    <w:tmpl w:val="3604C19E"/>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0367204"/>
    <w:multiLevelType w:val="hybridMultilevel"/>
    <w:tmpl w:val="C7A0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D92610"/>
    <w:multiLevelType w:val="hybridMultilevel"/>
    <w:tmpl w:val="C12C3BDC"/>
    <w:lvl w:ilvl="0" w:tplc="AADC63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337715BD"/>
    <w:multiLevelType w:val="multilevel"/>
    <w:tmpl w:val="662E7090"/>
    <w:lvl w:ilvl="0">
      <w:start w:val="1"/>
      <w:numFmt w:val="decimal"/>
      <w:suff w:val="nothing"/>
      <w:lvlText w:val="Chapter %1: "/>
      <w:lvlJc w:val="left"/>
      <w:pPr>
        <w:ind w:left="0" w:firstLine="0"/>
      </w:pPr>
      <w:rPr>
        <w:rFonts w:hint="default"/>
      </w:rPr>
    </w:lvl>
    <w:lvl w:ilvl="1">
      <w:start w:val="1"/>
      <w:numFmt w:val="decimal"/>
      <w:lvlText w:val="%1.%2"/>
      <w:lvlJc w:val="left"/>
      <w:pPr>
        <w:tabs>
          <w:tab w:val="num" w:pos="624"/>
        </w:tabs>
        <w:ind w:left="624" w:hanging="624"/>
      </w:pPr>
      <w:rPr>
        <w:rFonts w:hint="default"/>
        <w:b w:val="0"/>
        <w:i w:val="0"/>
      </w:rPr>
    </w:lvl>
    <w:lvl w:ilvl="2">
      <w:start w:val="1"/>
      <w:numFmt w:val="decimal"/>
      <w:lvlText w:val="(%3)"/>
      <w:lvlJc w:val="left"/>
      <w:pPr>
        <w:tabs>
          <w:tab w:val="num" w:pos="1247"/>
        </w:tabs>
        <w:ind w:left="1247" w:hanging="623"/>
      </w:pPr>
      <w:rPr>
        <w:rFonts w:hint="default"/>
        <w:b w:val="0"/>
        <w:i w:val="0"/>
      </w:rPr>
    </w:lvl>
    <w:lvl w:ilvl="3">
      <w:start w:val="1"/>
      <w:numFmt w:val="lowerLetter"/>
      <w:lvlText w:val="(%4)"/>
      <w:lvlJc w:val="left"/>
      <w:pPr>
        <w:tabs>
          <w:tab w:val="num" w:pos="1871"/>
        </w:tabs>
        <w:ind w:left="1871" w:hanging="624"/>
      </w:pPr>
      <w:rPr>
        <w:rFonts w:hint="default"/>
      </w:rPr>
    </w:lvl>
    <w:lvl w:ilvl="4">
      <w:start w:val="1"/>
      <w:numFmt w:val="lowerRoman"/>
      <w:lvlText w:val="(%5)"/>
      <w:lvlJc w:val="left"/>
      <w:pPr>
        <w:tabs>
          <w:tab w:val="num" w:pos="2495"/>
        </w:tabs>
        <w:ind w:left="2495" w:hanging="624"/>
      </w:pPr>
      <w:rPr>
        <w:rFonts w:hint="default"/>
      </w:rPr>
    </w:lvl>
    <w:lvl w:ilvl="5">
      <w:start w:val="1"/>
      <w:numFmt w:val="upperLetter"/>
      <w:lvlText w:val="(%6)"/>
      <w:lvlJc w:val="left"/>
      <w:pPr>
        <w:tabs>
          <w:tab w:val="num" w:pos="3119"/>
        </w:tabs>
        <w:ind w:left="3119" w:hanging="624"/>
      </w:pPr>
      <w:rPr>
        <w:rFonts w:hint="default"/>
      </w:rPr>
    </w:lvl>
    <w:lvl w:ilvl="6">
      <w:start w:val="1"/>
      <w:numFmt w:val="lowerLetter"/>
      <w:lvlText w:val="%7."/>
      <w:lvlJc w:val="left"/>
      <w:pPr>
        <w:tabs>
          <w:tab w:val="num" w:pos="3742"/>
        </w:tabs>
        <w:ind w:left="3742" w:hanging="623"/>
      </w:pPr>
      <w:rPr>
        <w:rFonts w:hint="default"/>
      </w:rPr>
    </w:lvl>
    <w:lvl w:ilvl="7">
      <w:start w:val="1"/>
      <w:numFmt w:val="none"/>
      <w:lvlText w:val=""/>
      <w:lvlJc w:val="left"/>
      <w:pPr>
        <w:tabs>
          <w:tab w:val="num" w:pos="4366"/>
        </w:tabs>
        <w:ind w:left="4366" w:hanging="624"/>
      </w:pPr>
      <w:rPr>
        <w:rFonts w:hint="default"/>
      </w:rPr>
    </w:lvl>
    <w:lvl w:ilvl="8">
      <w:start w:val="1"/>
      <w:numFmt w:val="none"/>
      <w:lvlText w:val=""/>
      <w:lvlJc w:val="left"/>
      <w:pPr>
        <w:tabs>
          <w:tab w:val="num" w:pos="4366"/>
        </w:tabs>
        <w:ind w:left="4990" w:hanging="624"/>
      </w:pPr>
      <w:rPr>
        <w:rFonts w:hint="default"/>
      </w:rPr>
    </w:lvl>
  </w:abstractNum>
  <w:abstractNum w:abstractNumId="23" w15:restartNumberingAfterBreak="0">
    <w:nsid w:val="348A54CB"/>
    <w:multiLevelType w:val="hybridMultilevel"/>
    <w:tmpl w:val="FFFFFFFF"/>
    <w:lvl w:ilvl="0" w:tplc="7A22C778">
      <w:start w:val="1"/>
      <w:numFmt w:val="bullet"/>
      <w:lvlText w:val=""/>
      <w:lvlJc w:val="left"/>
      <w:pPr>
        <w:ind w:left="720" w:hanging="360"/>
      </w:pPr>
      <w:rPr>
        <w:rFonts w:ascii="Symbol" w:hAnsi="Symbol" w:hint="default"/>
      </w:rPr>
    </w:lvl>
    <w:lvl w:ilvl="1" w:tplc="DE9C9FB2">
      <w:start w:val="1"/>
      <w:numFmt w:val="bullet"/>
      <w:lvlText w:val="o"/>
      <w:lvlJc w:val="left"/>
      <w:pPr>
        <w:ind w:left="1440" w:hanging="360"/>
      </w:pPr>
      <w:rPr>
        <w:rFonts w:ascii="Courier New" w:hAnsi="Courier New" w:hint="default"/>
      </w:rPr>
    </w:lvl>
    <w:lvl w:ilvl="2" w:tplc="2186702A">
      <w:start w:val="1"/>
      <w:numFmt w:val="bullet"/>
      <w:lvlText w:val=""/>
      <w:lvlJc w:val="left"/>
      <w:pPr>
        <w:ind w:left="2160" w:hanging="360"/>
      </w:pPr>
      <w:rPr>
        <w:rFonts w:ascii="Wingdings" w:hAnsi="Wingdings" w:hint="default"/>
      </w:rPr>
    </w:lvl>
    <w:lvl w:ilvl="3" w:tplc="7B34E260">
      <w:start w:val="1"/>
      <w:numFmt w:val="bullet"/>
      <w:lvlText w:val=""/>
      <w:lvlJc w:val="left"/>
      <w:pPr>
        <w:ind w:left="2880" w:hanging="360"/>
      </w:pPr>
      <w:rPr>
        <w:rFonts w:ascii="Symbol" w:hAnsi="Symbol" w:hint="default"/>
      </w:rPr>
    </w:lvl>
    <w:lvl w:ilvl="4" w:tplc="4290EFAC">
      <w:start w:val="1"/>
      <w:numFmt w:val="bullet"/>
      <w:lvlText w:val="o"/>
      <w:lvlJc w:val="left"/>
      <w:pPr>
        <w:ind w:left="3600" w:hanging="360"/>
      </w:pPr>
      <w:rPr>
        <w:rFonts w:ascii="Courier New" w:hAnsi="Courier New" w:hint="default"/>
      </w:rPr>
    </w:lvl>
    <w:lvl w:ilvl="5" w:tplc="5B5E7894">
      <w:start w:val="1"/>
      <w:numFmt w:val="bullet"/>
      <w:lvlText w:val=""/>
      <w:lvlJc w:val="left"/>
      <w:pPr>
        <w:ind w:left="4320" w:hanging="360"/>
      </w:pPr>
      <w:rPr>
        <w:rFonts w:ascii="Wingdings" w:hAnsi="Wingdings" w:hint="default"/>
      </w:rPr>
    </w:lvl>
    <w:lvl w:ilvl="6" w:tplc="3AC4BF32">
      <w:start w:val="1"/>
      <w:numFmt w:val="bullet"/>
      <w:lvlText w:val=""/>
      <w:lvlJc w:val="left"/>
      <w:pPr>
        <w:ind w:left="5040" w:hanging="360"/>
      </w:pPr>
      <w:rPr>
        <w:rFonts w:ascii="Symbol" w:hAnsi="Symbol" w:hint="default"/>
      </w:rPr>
    </w:lvl>
    <w:lvl w:ilvl="7" w:tplc="74402552">
      <w:start w:val="1"/>
      <w:numFmt w:val="bullet"/>
      <w:lvlText w:val="o"/>
      <w:lvlJc w:val="left"/>
      <w:pPr>
        <w:ind w:left="5760" w:hanging="360"/>
      </w:pPr>
      <w:rPr>
        <w:rFonts w:ascii="Courier New" w:hAnsi="Courier New" w:hint="default"/>
      </w:rPr>
    </w:lvl>
    <w:lvl w:ilvl="8" w:tplc="18FA82DA">
      <w:start w:val="1"/>
      <w:numFmt w:val="bullet"/>
      <w:lvlText w:val=""/>
      <w:lvlJc w:val="left"/>
      <w:pPr>
        <w:ind w:left="6480" w:hanging="360"/>
      </w:pPr>
      <w:rPr>
        <w:rFonts w:ascii="Wingdings" w:hAnsi="Wingdings" w:hint="default"/>
      </w:rPr>
    </w:lvl>
  </w:abstractNum>
  <w:abstractNum w:abstractNumId="24" w15:restartNumberingAfterBreak="0">
    <w:nsid w:val="3777104D"/>
    <w:multiLevelType w:val="multilevel"/>
    <w:tmpl w:val="02B2DD8E"/>
    <w:lvl w:ilvl="0">
      <w:start w:val="1"/>
      <w:numFmt w:val="decimal"/>
      <w:suff w:val="nothing"/>
      <w:lvlText w:val="%1"/>
      <w:lvlJc w:val="left"/>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5" w15:restartNumberingAfterBreak="0">
    <w:nsid w:val="3A1B4C9B"/>
    <w:multiLevelType w:val="multilevel"/>
    <w:tmpl w:val="334415AA"/>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468364CE"/>
    <w:multiLevelType w:val="hybridMultilevel"/>
    <w:tmpl w:val="FFFFFFFF"/>
    <w:lvl w:ilvl="0" w:tplc="ECDE9436">
      <w:start w:val="1"/>
      <w:numFmt w:val="bullet"/>
      <w:lvlText w:val=""/>
      <w:lvlJc w:val="left"/>
      <w:pPr>
        <w:ind w:left="720" w:hanging="360"/>
      </w:pPr>
      <w:rPr>
        <w:rFonts w:ascii="Symbol" w:hAnsi="Symbol" w:hint="default"/>
      </w:rPr>
    </w:lvl>
    <w:lvl w:ilvl="1" w:tplc="4F66505A">
      <w:start w:val="1"/>
      <w:numFmt w:val="bullet"/>
      <w:lvlText w:val="o"/>
      <w:lvlJc w:val="left"/>
      <w:pPr>
        <w:ind w:left="1440" w:hanging="360"/>
      </w:pPr>
      <w:rPr>
        <w:rFonts w:ascii="Courier New" w:hAnsi="Courier New" w:hint="default"/>
      </w:rPr>
    </w:lvl>
    <w:lvl w:ilvl="2" w:tplc="0BB8E4C0">
      <w:start w:val="1"/>
      <w:numFmt w:val="bullet"/>
      <w:lvlText w:val=""/>
      <w:lvlJc w:val="left"/>
      <w:pPr>
        <w:ind w:left="2160" w:hanging="360"/>
      </w:pPr>
      <w:rPr>
        <w:rFonts w:ascii="Wingdings" w:hAnsi="Wingdings" w:hint="default"/>
      </w:rPr>
    </w:lvl>
    <w:lvl w:ilvl="3" w:tplc="1E748F7E">
      <w:start w:val="1"/>
      <w:numFmt w:val="bullet"/>
      <w:lvlText w:val=""/>
      <w:lvlJc w:val="left"/>
      <w:pPr>
        <w:ind w:left="2880" w:hanging="360"/>
      </w:pPr>
      <w:rPr>
        <w:rFonts w:ascii="Symbol" w:hAnsi="Symbol" w:hint="default"/>
      </w:rPr>
    </w:lvl>
    <w:lvl w:ilvl="4" w:tplc="69B4B300">
      <w:start w:val="1"/>
      <w:numFmt w:val="bullet"/>
      <w:lvlText w:val="o"/>
      <w:lvlJc w:val="left"/>
      <w:pPr>
        <w:ind w:left="3600" w:hanging="360"/>
      </w:pPr>
      <w:rPr>
        <w:rFonts w:ascii="Courier New" w:hAnsi="Courier New" w:hint="default"/>
      </w:rPr>
    </w:lvl>
    <w:lvl w:ilvl="5" w:tplc="7528DAF4">
      <w:start w:val="1"/>
      <w:numFmt w:val="bullet"/>
      <w:lvlText w:val=""/>
      <w:lvlJc w:val="left"/>
      <w:pPr>
        <w:ind w:left="4320" w:hanging="360"/>
      </w:pPr>
      <w:rPr>
        <w:rFonts w:ascii="Wingdings" w:hAnsi="Wingdings" w:hint="default"/>
      </w:rPr>
    </w:lvl>
    <w:lvl w:ilvl="6" w:tplc="3C665F32">
      <w:start w:val="1"/>
      <w:numFmt w:val="bullet"/>
      <w:lvlText w:val=""/>
      <w:lvlJc w:val="left"/>
      <w:pPr>
        <w:ind w:left="5040" w:hanging="360"/>
      </w:pPr>
      <w:rPr>
        <w:rFonts w:ascii="Symbol" w:hAnsi="Symbol" w:hint="default"/>
      </w:rPr>
    </w:lvl>
    <w:lvl w:ilvl="7" w:tplc="7DA80D72">
      <w:start w:val="1"/>
      <w:numFmt w:val="bullet"/>
      <w:lvlText w:val="o"/>
      <w:lvlJc w:val="left"/>
      <w:pPr>
        <w:ind w:left="5760" w:hanging="360"/>
      </w:pPr>
      <w:rPr>
        <w:rFonts w:ascii="Courier New" w:hAnsi="Courier New" w:hint="default"/>
      </w:rPr>
    </w:lvl>
    <w:lvl w:ilvl="8" w:tplc="2EC49F0A">
      <w:start w:val="1"/>
      <w:numFmt w:val="bullet"/>
      <w:lvlText w:val=""/>
      <w:lvlJc w:val="left"/>
      <w:pPr>
        <w:ind w:left="6480" w:hanging="360"/>
      </w:pPr>
      <w:rPr>
        <w:rFonts w:ascii="Wingdings" w:hAnsi="Wingdings" w:hint="default"/>
      </w:rPr>
    </w:lvl>
  </w:abstractNum>
  <w:abstractNum w:abstractNumId="27" w15:restartNumberingAfterBreak="0">
    <w:nsid w:val="4C977219"/>
    <w:multiLevelType w:val="hybridMultilevel"/>
    <w:tmpl w:val="E4BA57FC"/>
    <w:lvl w:ilvl="0" w:tplc="043CDE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DEE71D7"/>
    <w:multiLevelType w:val="hybridMultilevel"/>
    <w:tmpl w:val="CDB8B4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2064D0"/>
    <w:multiLevelType w:val="hybridMultilevel"/>
    <w:tmpl w:val="D7FC581A"/>
    <w:lvl w:ilvl="0" w:tplc="65AE1EB8">
      <w:start w:val="5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F32C3"/>
    <w:multiLevelType w:val="multilevel"/>
    <w:tmpl w:val="27A65722"/>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548B124C"/>
    <w:multiLevelType w:val="hybridMultilevel"/>
    <w:tmpl w:val="44B676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4A865F5"/>
    <w:multiLevelType w:val="hybridMultilevel"/>
    <w:tmpl w:val="5EA0ACCE"/>
    <w:lvl w:ilvl="0" w:tplc="390C1032">
      <w:start w:val="68"/>
      <w:numFmt w:val="decimal"/>
      <w:lvlText w:val="%1."/>
      <w:lvlJc w:val="left"/>
      <w:pPr>
        <w:ind w:left="108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CB2DDF"/>
    <w:multiLevelType w:val="hybridMultilevel"/>
    <w:tmpl w:val="22C6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B61638"/>
    <w:multiLevelType w:val="hybridMultilevel"/>
    <w:tmpl w:val="FFFFFFFF"/>
    <w:lvl w:ilvl="0" w:tplc="2EFCD6D2">
      <w:start w:val="1"/>
      <w:numFmt w:val="bullet"/>
      <w:lvlText w:val=""/>
      <w:lvlJc w:val="left"/>
      <w:pPr>
        <w:ind w:left="720" w:hanging="360"/>
      </w:pPr>
      <w:rPr>
        <w:rFonts w:ascii="Symbol" w:hAnsi="Symbol" w:hint="default"/>
      </w:rPr>
    </w:lvl>
    <w:lvl w:ilvl="1" w:tplc="CAE42A3A">
      <w:start w:val="1"/>
      <w:numFmt w:val="bullet"/>
      <w:lvlText w:val="o"/>
      <w:lvlJc w:val="left"/>
      <w:pPr>
        <w:ind w:left="1440" w:hanging="360"/>
      </w:pPr>
      <w:rPr>
        <w:rFonts w:ascii="Courier New" w:hAnsi="Courier New" w:hint="default"/>
      </w:rPr>
    </w:lvl>
    <w:lvl w:ilvl="2" w:tplc="3E4C482E">
      <w:start w:val="1"/>
      <w:numFmt w:val="bullet"/>
      <w:lvlText w:val=""/>
      <w:lvlJc w:val="left"/>
      <w:pPr>
        <w:ind w:left="2160" w:hanging="360"/>
      </w:pPr>
      <w:rPr>
        <w:rFonts w:ascii="Wingdings" w:hAnsi="Wingdings" w:hint="default"/>
      </w:rPr>
    </w:lvl>
    <w:lvl w:ilvl="3" w:tplc="7B48F71E">
      <w:start w:val="1"/>
      <w:numFmt w:val="bullet"/>
      <w:lvlText w:val=""/>
      <w:lvlJc w:val="left"/>
      <w:pPr>
        <w:ind w:left="2880" w:hanging="360"/>
      </w:pPr>
      <w:rPr>
        <w:rFonts w:ascii="Symbol" w:hAnsi="Symbol" w:hint="default"/>
      </w:rPr>
    </w:lvl>
    <w:lvl w:ilvl="4" w:tplc="D9A4142A">
      <w:start w:val="1"/>
      <w:numFmt w:val="bullet"/>
      <w:lvlText w:val="o"/>
      <w:lvlJc w:val="left"/>
      <w:pPr>
        <w:ind w:left="3600" w:hanging="360"/>
      </w:pPr>
      <w:rPr>
        <w:rFonts w:ascii="Courier New" w:hAnsi="Courier New" w:hint="default"/>
      </w:rPr>
    </w:lvl>
    <w:lvl w:ilvl="5" w:tplc="FA0C40A6">
      <w:start w:val="1"/>
      <w:numFmt w:val="bullet"/>
      <w:lvlText w:val=""/>
      <w:lvlJc w:val="left"/>
      <w:pPr>
        <w:ind w:left="4320" w:hanging="360"/>
      </w:pPr>
      <w:rPr>
        <w:rFonts w:ascii="Wingdings" w:hAnsi="Wingdings" w:hint="default"/>
      </w:rPr>
    </w:lvl>
    <w:lvl w:ilvl="6" w:tplc="A83C7A62">
      <w:start w:val="1"/>
      <w:numFmt w:val="bullet"/>
      <w:lvlText w:val=""/>
      <w:lvlJc w:val="left"/>
      <w:pPr>
        <w:ind w:left="5040" w:hanging="360"/>
      </w:pPr>
      <w:rPr>
        <w:rFonts w:ascii="Symbol" w:hAnsi="Symbol" w:hint="default"/>
      </w:rPr>
    </w:lvl>
    <w:lvl w:ilvl="7" w:tplc="68342028">
      <w:start w:val="1"/>
      <w:numFmt w:val="bullet"/>
      <w:lvlText w:val="o"/>
      <w:lvlJc w:val="left"/>
      <w:pPr>
        <w:ind w:left="5760" w:hanging="360"/>
      </w:pPr>
      <w:rPr>
        <w:rFonts w:ascii="Courier New" w:hAnsi="Courier New" w:hint="default"/>
      </w:rPr>
    </w:lvl>
    <w:lvl w:ilvl="8" w:tplc="1B72648E">
      <w:start w:val="1"/>
      <w:numFmt w:val="bullet"/>
      <w:lvlText w:val=""/>
      <w:lvlJc w:val="left"/>
      <w:pPr>
        <w:ind w:left="6480" w:hanging="360"/>
      </w:pPr>
      <w:rPr>
        <w:rFonts w:ascii="Wingdings" w:hAnsi="Wingdings" w:hint="default"/>
      </w:rPr>
    </w:lvl>
  </w:abstractNum>
  <w:abstractNum w:abstractNumId="35" w15:restartNumberingAfterBreak="0">
    <w:nsid w:val="62F8027A"/>
    <w:multiLevelType w:val="hybridMultilevel"/>
    <w:tmpl w:val="788C1C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FFD0307"/>
    <w:multiLevelType w:val="hybridMultilevel"/>
    <w:tmpl w:val="9FD66E32"/>
    <w:lvl w:ilvl="0" w:tplc="13DA1568">
      <w:start w:val="1"/>
      <w:numFmt w:val="decimal"/>
      <w:lvlText w:val="%1."/>
      <w:lvlJc w:val="left"/>
      <w:pPr>
        <w:ind w:left="360" w:hanging="360"/>
      </w:pPr>
      <w:rPr>
        <w:rFonts w:ascii="Arial" w:hAnsi="Arial" w:cs="Aria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01812A6"/>
    <w:multiLevelType w:val="hybridMultilevel"/>
    <w:tmpl w:val="516CF6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0356DC7"/>
    <w:multiLevelType w:val="hybridMultilevel"/>
    <w:tmpl w:val="74B4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40" w15:restartNumberingAfterBreak="0">
    <w:nsid w:val="78680108"/>
    <w:multiLevelType w:val="hybridMultilevel"/>
    <w:tmpl w:val="50CAD3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AC5A6C"/>
    <w:multiLevelType w:val="hybridMultilevel"/>
    <w:tmpl w:val="9FECCA46"/>
    <w:lvl w:ilvl="0" w:tplc="0DB057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E12570D"/>
    <w:multiLevelType w:val="hybridMultilevel"/>
    <w:tmpl w:val="A7FE32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312296143">
    <w:abstractNumId w:val="9"/>
  </w:num>
  <w:num w:numId="2" w16cid:durableId="1224485106">
    <w:abstractNumId w:val="7"/>
  </w:num>
  <w:num w:numId="3" w16cid:durableId="1974869138">
    <w:abstractNumId w:val="6"/>
  </w:num>
  <w:num w:numId="4" w16cid:durableId="819271568">
    <w:abstractNumId w:val="5"/>
  </w:num>
  <w:num w:numId="5" w16cid:durableId="717432005">
    <w:abstractNumId w:val="4"/>
  </w:num>
  <w:num w:numId="6" w16cid:durableId="1390030686">
    <w:abstractNumId w:val="8"/>
  </w:num>
  <w:num w:numId="7" w16cid:durableId="1793402746">
    <w:abstractNumId w:val="3"/>
  </w:num>
  <w:num w:numId="8" w16cid:durableId="934942205">
    <w:abstractNumId w:val="2"/>
  </w:num>
  <w:num w:numId="9" w16cid:durableId="987055749">
    <w:abstractNumId w:val="1"/>
  </w:num>
  <w:num w:numId="10" w16cid:durableId="367536726">
    <w:abstractNumId w:val="0"/>
  </w:num>
  <w:num w:numId="11" w16cid:durableId="1652441068">
    <w:abstractNumId w:val="43"/>
  </w:num>
  <w:num w:numId="12" w16cid:durableId="309361275">
    <w:abstractNumId w:val="39"/>
  </w:num>
  <w:num w:numId="13" w16cid:durableId="124588472">
    <w:abstractNumId w:val="10"/>
  </w:num>
  <w:num w:numId="14" w16cid:durableId="1919095285">
    <w:abstractNumId w:val="24"/>
  </w:num>
  <w:num w:numId="15" w16cid:durableId="228806153">
    <w:abstractNumId w:val="21"/>
  </w:num>
  <w:num w:numId="16" w16cid:durableId="1824618814">
    <w:abstractNumId w:val="18"/>
  </w:num>
  <w:num w:numId="17" w16cid:durableId="196545096">
    <w:abstractNumId w:val="21"/>
  </w:num>
  <w:num w:numId="18" w16cid:durableId="715086239">
    <w:abstractNumId w:val="43"/>
  </w:num>
  <w:num w:numId="19" w16cid:durableId="2121141518">
    <w:abstractNumId w:val="43"/>
  </w:num>
  <w:num w:numId="20" w16cid:durableId="31461300">
    <w:abstractNumId w:val="43"/>
  </w:num>
  <w:num w:numId="21" w16cid:durableId="782071502">
    <w:abstractNumId w:val="21"/>
  </w:num>
  <w:num w:numId="22" w16cid:durableId="478688220">
    <w:abstractNumId w:val="25"/>
  </w:num>
  <w:num w:numId="23" w16cid:durableId="956831612">
    <w:abstractNumId w:val="30"/>
  </w:num>
  <w:num w:numId="24" w16cid:durableId="460003883">
    <w:abstractNumId w:val="34"/>
  </w:num>
  <w:num w:numId="25" w16cid:durableId="308289769">
    <w:abstractNumId w:val="26"/>
  </w:num>
  <w:num w:numId="26" w16cid:durableId="1400397251">
    <w:abstractNumId w:val="23"/>
  </w:num>
  <w:num w:numId="27" w16cid:durableId="1340422528">
    <w:abstractNumId w:val="15"/>
  </w:num>
  <w:num w:numId="28" w16cid:durableId="770854552">
    <w:abstractNumId w:val="36"/>
  </w:num>
  <w:num w:numId="29" w16cid:durableId="1567300836">
    <w:abstractNumId w:val="22"/>
  </w:num>
  <w:num w:numId="30" w16cid:durableId="319235964">
    <w:abstractNumId w:val="28"/>
  </w:num>
  <w:num w:numId="31" w16cid:durableId="70584521">
    <w:abstractNumId w:val="12"/>
  </w:num>
  <w:num w:numId="32" w16cid:durableId="1203249286">
    <w:abstractNumId w:val="29"/>
  </w:num>
  <w:num w:numId="33" w16cid:durableId="1699312398">
    <w:abstractNumId w:val="11"/>
  </w:num>
  <w:num w:numId="34" w16cid:durableId="1040937964">
    <w:abstractNumId w:val="32"/>
  </w:num>
  <w:num w:numId="35" w16cid:durableId="1791582279">
    <w:abstractNumId w:val="37"/>
  </w:num>
  <w:num w:numId="36" w16cid:durableId="1388142369">
    <w:abstractNumId w:val="14"/>
  </w:num>
  <w:num w:numId="37" w16cid:durableId="1228956473">
    <w:abstractNumId w:val="38"/>
  </w:num>
  <w:num w:numId="38" w16cid:durableId="1099832335">
    <w:abstractNumId w:val="40"/>
  </w:num>
  <w:num w:numId="39" w16cid:durableId="403920472">
    <w:abstractNumId w:val="17"/>
  </w:num>
  <w:num w:numId="40" w16cid:durableId="925269500">
    <w:abstractNumId w:val="31"/>
  </w:num>
  <w:num w:numId="41" w16cid:durableId="2101365143">
    <w:abstractNumId w:val="35"/>
  </w:num>
  <w:num w:numId="42" w16cid:durableId="1883590572">
    <w:abstractNumId w:val="42"/>
  </w:num>
  <w:num w:numId="43" w16cid:durableId="1065299060">
    <w:abstractNumId w:val="33"/>
  </w:num>
  <w:num w:numId="44" w16cid:durableId="139811591">
    <w:abstractNumId w:val="19"/>
  </w:num>
  <w:num w:numId="45" w16cid:durableId="1678969248">
    <w:abstractNumId w:val="16"/>
  </w:num>
  <w:num w:numId="46" w16cid:durableId="1766882146">
    <w:abstractNumId w:val="13"/>
  </w:num>
  <w:num w:numId="47" w16cid:durableId="1070736867">
    <w:abstractNumId w:val="27"/>
  </w:num>
  <w:num w:numId="48" w16cid:durableId="547451267">
    <w:abstractNumId w:val="20"/>
  </w:num>
  <w:num w:numId="49" w16cid:durableId="18909183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652"/>
    <w:rsid w:val="00000766"/>
    <w:rsid w:val="000019B2"/>
    <w:rsid w:val="00001E72"/>
    <w:rsid w:val="00003A70"/>
    <w:rsid w:val="00003B95"/>
    <w:rsid w:val="00004BFD"/>
    <w:rsid w:val="0000505F"/>
    <w:rsid w:val="0000658D"/>
    <w:rsid w:val="00006627"/>
    <w:rsid w:val="000071A5"/>
    <w:rsid w:val="000079C0"/>
    <w:rsid w:val="00010950"/>
    <w:rsid w:val="00010EE1"/>
    <w:rsid w:val="00010FC0"/>
    <w:rsid w:val="00012458"/>
    <w:rsid w:val="00012DA6"/>
    <w:rsid w:val="000142F1"/>
    <w:rsid w:val="0001460F"/>
    <w:rsid w:val="000166B7"/>
    <w:rsid w:val="00021306"/>
    <w:rsid w:val="000216D0"/>
    <w:rsid w:val="00021C18"/>
    <w:rsid w:val="0002212B"/>
    <w:rsid w:val="000222F1"/>
    <w:rsid w:val="00022BE0"/>
    <w:rsid w:val="00022F52"/>
    <w:rsid w:val="00023080"/>
    <w:rsid w:val="0002370C"/>
    <w:rsid w:val="000239A7"/>
    <w:rsid w:val="00023E62"/>
    <w:rsid w:val="000251D0"/>
    <w:rsid w:val="00025C49"/>
    <w:rsid w:val="00025CC4"/>
    <w:rsid w:val="00026555"/>
    <w:rsid w:val="00026AC0"/>
    <w:rsid w:val="00027A9C"/>
    <w:rsid w:val="00031417"/>
    <w:rsid w:val="000315EF"/>
    <w:rsid w:val="000318E3"/>
    <w:rsid w:val="000337E7"/>
    <w:rsid w:val="00035740"/>
    <w:rsid w:val="00035B57"/>
    <w:rsid w:val="00037560"/>
    <w:rsid w:val="0003786D"/>
    <w:rsid w:val="0004016B"/>
    <w:rsid w:val="00040211"/>
    <w:rsid w:val="000407D8"/>
    <w:rsid w:val="0004167A"/>
    <w:rsid w:val="00042BC0"/>
    <w:rsid w:val="0004328D"/>
    <w:rsid w:val="0004404F"/>
    <w:rsid w:val="000440E2"/>
    <w:rsid w:val="00044129"/>
    <w:rsid w:val="00044FE7"/>
    <w:rsid w:val="00045828"/>
    <w:rsid w:val="00045BAD"/>
    <w:rsid w:val="00046D0F"/>
    <w:rsid w:val="00051403"/>
    <w:rsid w:val="00051A1C"/>
    <w:rsid w:val="00052F44"/>
    <w:rsid w:val="0005305F"/>
    <w:rsid w:val="00054EEB"/>
    <w:rsid w:val="0005543F"/>
    <w:rsid w:val="00056EE6"/>
    <w:rsid w:val="00057701"/>
    <w:rsid w:val="0006047F"/>
    <w:rsid w:val="0006053F"/>
    <w:rsid w:val="000619E4"/>
    <w:rsid w:val="00061D9C"/>
    <w:rsid w:val="000642CA"/>
    <w:rsid w:val="000655D6"/>
    <w:rsid w:val="00065DC8"/>
    <w:rsid w:val="000671A2"/>
    <w:rsid w:val="00070933"/>
    <w:rsid w:val="00070EEB"/>
    <w:rsid w:val="00071299"/>
    <w:rsid w:val="00071530"/>
    <w:rsid w:val="00072272"/>
    <w:rsid w:val="00072EFD"/>
    <w:rsid w:val="00074533"/>
    <w:rsid w:val="0007524C"/>
    <w:rsid w:val="0007532E"/>
    <w:rsid w:val="000767AC"/>
    <w:rsid w:val="0007695E"/>
    <w:rsid w:val="00076A78"/>
    <w:rsid w:val="00076A88"/>
    <w:rsid w:val="00076C08"/>
    <w:rsid w:val="00082659"/>
    <w:rsid w:val="00082B07"/>
    <w:rsid w:val="00082B2E"/>
    <w:rsid w:val="00082BAC"/>
    <w:rsid w:val="0008360B"/>
    <w:rsid w:val="000860CC"/>
    <w:rsid w:val="00086128"/>
    <w:rsid w:val="0008731F"/>
    <w:rsid w:val="000918F2"/>
    <w:rsid w:val="00091DE0"/>
    <w:rsid w:val="00093598"/>
    <w:rsid w:val="0009381F"/>
    <w:rsid w:val="00094680"/>
    <w:rsid w:val="000956FD"/>
    <w:rsid w:val="00097880"/>
    <w:rsid w:val="000978BB"/>
    <w:rsid w:val="000A36EE"/>
    <w:rsid w:val="000A5C5D"/>
    <w:rsid w:val="000A60BE"/>
    <w:rsid w:val="000A6E4B"/>
    <w:rsid w:val="000A6E91"/>
    <w:rsid w:val="000A79FC"/>
    <w:rsid w:val="000B07A1"/>
    <w:rsid w:val="000B1176"/>
    <w:rsid w:val="000B1A2E"/>
    <w:rsid w:val="000B308F"/>
    <w:rsid w:val="000B3340"/>
    <w:rsid w:val="000B3C37"/>
    <w:rsid w:val="000B3E49"/>
    <w:rsid w:val="000B6407"/>
    <w:rsid w:val="000B74D9"/>
    <w:rsid w:val="000B7779"/>
    <w:rsid w:val="000B79A3"/>
    <w:rsid w:val="000C0019"/>
    <w:rsid w:val="000C031E"/>
    <w:rsid w:val="000C165A"/>
    <w:rsid w:val="000C1D45"/>
    <w:rsid w:val="000C2E3E"/>
    <w:rsid w:val="000C30D8"/>
    <w:rsid w:val="000C4589"/>
    <w:rsid w:val="000C499B"/>
    <w:rsid w:val="000C57D5"/>
    <w:rsid w:val="000C6A87"/>
    <w:rsid w:val="000C7BFA"/>
    <w:rsid w:val="000D0568"/>
    <w:rsid w:val="000D1CB0"/>
    <w:rsid w:val="000D3DE0"/>
    <w:rsid w:val="000D4313"/>
    <w:rsid w:val="000D5298"/>
    <w:rsid w:val="000D5412"/>
    <w:rsid w:val="000D55B5"/>
    <w:rsid w:val="000D58BD"/>
    <w:rsid w:val="000D5ED5"/>
    <w:rsid w:val="000D7F7C"/>
    <w:rsid w:val="000E02BE"/>
    <w:rsid w:val="000E3308"/>
    <w:rsid w:val="000E3FD7"/>
    <w:rsid w:val="000E452D"/>
    <w:rsid w:val="000E5E3E"/>
    <w:rsid w:val="000E5E41"/>
    <w:rsid w:val="000E5EE4"/>
    <w:rsid w:val="000F004E"/>
    <w:rsid w:val="000F0840"/>
    <w:rsid w:val="000F37BB"/>
    <w:rsid w:val="000F397E"/>
    <w:rsid w:val="000F4481"/>
    <w:rsid w:val="000F57BB"/>
    <w:rsid w:val="000F754D"/>
    <w:rsid w:val="000F77C0"/>
    <w:rsid w:val="001002C2"/>
    <w:rsid w:val="00101897"/>
    <w:rsid w:val="00101961"/>
    <w:rsid w:val="00102870"/>
    <w:rsid w:val="00110396"/>
    <w:rsid w:val="001110DB"/>
    <w:rsid w:val="001115BB"/>
    <w:rsid w:val="00111A41"/>
    <w:rsid w:val="00113012"/>
    <w:rsid w:val="001155FD"/>
    <w:rsid w:val="001158FA"/>
    <w:rsid w:val="00115D70"/>
    <w:rsid w:val="00117FCB"/>
    <w:rsid w:val="00120113"/>
    <w:rsid w:val="001235DD"/>
    <w:rsid w:val="0012369A"/>
    <w:rsid w:val="001243CD"/>
    <w:rsid w:val="0012460B"/>
    <w:rsid w:val="00125FE3"/>
    <w:rsid w:val="00127373"/>
    <w:rsid w:val="00131CE4"/>
    <w:rsid w:val="00133A17"/>
    <w:rsid w:val="00133C58"/>
    <w:rsid w:val="00134EA8"/>
    <w:rsid w:val="001365F4"/>
    <w:rsid w:val="0014140D"/>
    <w:rsid w:val="00141B6F"/>
    <w:rsid w:val="0014336D"/>
    <w:rsid w:val="00143BB7"/>
    <w:rsid w:val="00143F26"/>
    <w:rsid w:val="00145399"/>
    <w:rsid w:val="00145E87"/>
    <w:rsid w:val="001477D1"/>
    <w:rsid w:val="00150DAE"/>
    <w:rsid w:val="00150E2D"/>
    <w:rsid w:val="0015254E"/>
    <w:rsid w:val="00152C60"/>
    <w:rsid w:val="00153355"/>
    <w:rsid w:val="001535F3"/>
    <w:rsid w:val="0015448D"/>
    <w:rsid w:val="001554A6"/>
    <w:rsid w:val="00156E0C"/>
    <w:rsid w:val="0015723D"/>
    <w:rsid w:val="00160691"/>
    <w:rsid w:val="00161099"/>
    <w:rsid w:val="0016193F"/>
    <w:rsid w:val="00165113"/>
    <w:rsid w:val="001701B1"/>
    <w:rsid w:val="001709E2"/>
    <w:rsid w:val="001721B3"/>
    <w:rsid w:val="00174C10"/>
    <w:rsid w:val="00175447"/>
    <w:rsid w:val="00175747"/>
    <w:rsid w:val="00176151"/>
    <w:rsid w:val="00176662"/>
    <w:rsid w:val="00182B85"/>
    <w:rsid w:val="00183038"/>
    <w:rsid w:val="00183435"/>
    <w:rsid w:val="00183882"/>
    <w:rsid w:val="001844B6"/>
    <w:rsid w:val="001851A3"/>
    <w:rsid w:val="001851B9"/>
    <w:rsid w:val="001855B1"/>
    <w:rsid w:val="00186D01"/>
    <w:rsid w:val="0019021E"/>
    <w:rsid w:val="00190F9A"/>
    <w:rsid w:val="00194050"/>
    <w:rsid w:val="00194745"/>
    <w:rsid w:val="00194E96"/>
    <w:rsid w:val="001951BC"/>
    <w:rsid w:val="0019580E"/>
    <w:rsid w:val="001968E5"/>
    <w:rsid w:val="00196DBB"/>
    <w:rsid w:val="001A041A"/>
    <w:rsid w:val="001A07F1"/>
    <w:rsid w:val="001A083A"/>
    <w:rsid w:val="001A2151"/>
    <w:rsid w:val="001A26EC"/>
    <w:rsid w:val="001A3B0B"/>
    <w:rsid w:val="001A3E4F"/>
    <w:rsid w:val="001A4332"/>
    <w:rsid w:val="001A4432"/>
    <w:rsid w:val="001A478E"/>
    <w:rsid w:val="001A509E"/>
    <w:rsid w:val="001A62F2"/>
    <w:rsid w:val="001A6653"/>
    <w:rsid w:val="001A6A92"/>
    <w:rsid w:val="001A6E6A"/>
    <w:rsid w:val="001A6FE6"/>
    <w:rsid w:val="001A7B61"/>
    <w:rsid w:val="001A7D6D"/>
    <w:rsid w:val="001A7FE3"/>
    <w:rsid w:val="001B1210"/>
    <w:rsid w:val="001B15F6"/>
    <w:rsid w:val="001B305C"/>
    <w:rsid w:val="001B34EB"/>
    <w:rsid w:val="001C0644"/>
    <w:rsid w:val="001C0AB0"/>
    <w:rsid w:val="001C0B58"/>
    <w:rsid w:val="001C0D36"/>
    <w:rsid w:val="001C2B06"/>
    <w:rsid w:val="001C2BD8"/>
    <w:rsid w:val="001C3363"/>
    <w:rsid w:val="001C3501"/>
    <w:rsid w:val="001C378A"/>
    <w:rsid w:val="001C4DE7"/>
    <w:rsid w:val="001C7C39"/>
    <w:rsid w:val="001D09CC"/>
    <w:rsid w:val="001D0AF4"/>
    <w:rsid w:val="001D12D6"/>
    <w:rsid w:val="001D1FC0"/>
    <w:rsid w:val="001D2096"/>
    <w:rsid w:val="001D29F6"/>
    <w:rsid w:val="001D3A43"/>
    <w:rsid w:val="001D3C11"/>
    <w:rsid w:val="001D4AA8"/>
    <w:rsid w:val="001D4D42"/>
    <w:rsid w:val="001D5EC9"/>
    <w:rsid w:val="001D6B90"/>
    <w:rsid w:val="001D72FA"/>
    <w:rsid w:val="001D7305"/>
    <w:rsid w:val="001E152A"/>
    <w:rsid w:val="001E1DA0"/>
    <w:rsid w:val="001E3829"/>
    <w:rsid w:val="001E579D"/>
    <w:rsid w:val="001E69A2"/>
    <w:rsid w:val="001F2410"/>
    <w:rsid w:val="001F4352"/>
    <w:rsid w:val="001F5423"/>
    <w:rsid w:val="001F5DD9"/>
    <w:rsid w:val="001F69E9"/>
    <w:rsid w:val="001F6D51"/>
    <w:rsid w:val="001F71C9"/>
    <w:rsid w:val="001F729D"/>
    <w:rsid w:val="001F7CF8"/>
    <w:rsid w:val="0020104C"/>
    <w:rsid w:val="0020151D"/>
    <w:rsid w:val="00201B79"/>
    <w:rsid w:val="00202E56"/>
    <w:rsid w:val="002033D6"/>
    <w:rsid w:val="00203758"/>
    <w:rsid w:val="0020444B"/>
    <w:rsid w:val="0020466F"/>
    <w:rsid w:val="00204AB1"/>
    <w:rsid w:val="002052AB"/>
    <w:rsid w:val="00205E05"/>
    <w:rsid w:val="00207042"/>
    <w:rsid w:val="0020708B"/>
    <w:rsid w:val="00207B21"/>
    <w:rsid w:val="00207D2A"/>
    <w:rsid w:val="0021033D"/>
    <w:rsid w:val="00211257"/>
    <w:rsid w:val="002114AC"/>
    <w:rsid w:val="0021393A"/>
    <w:rsid w:val="00213E7A"/>
    <w:rsid w:val="002144F0"/>
    <w:rsid w:val="00215B95"/>
    <w:rsid w:val="00216F02"/>
    <w:rsid w:val="0021731F"/>
    <w:rsid w:val="00217CA1"/>
    <w:rsid w:val="00220F29"/>
    <w:rsid w:val="00221FAD"/>
    <w:rsid w:val="0022490F"/>
    <w:rsid w:val="00225F9C"/>
    <w:rsid w:val="002274E5"/>
    <w:rsid w:val="0022767B"/>
    <w:rsid w:val="00227EBE"/>
    <w:rsid w:val="002306B7"/>
    <w:rsid w:val="0023355B"/>
    <w:rsid w:val="00233D94"/>
    <w:rsid w:val="002347A2"/>
    <w:rsid w:val="0023667B"/>
    <w:rsid w:val="00241738"/>
    <w:rsid w:val="002423F7"/>
    <w:rsid w:val="002425C2"/>
    <w:rsid w:val="00242C41"/>
    <w:rsid w:val="002437A8"/>
    <w:rsid w:val="002452CE"/>
    <w:rsid w:val="00246360"/>
    <w:rsid w:val="00246AF8"/>
    <w:rsid w:val="00247D57"/>
    <w:rsid w:val="00250259"/>
    <w:rsid w:val="00251C8D"/>
    <w:rsid w:val="00251ED1"/>
    <w:rsid w:val="002530A8"/>
    <w:rsid w:val="00253F4D"/>
    <w:rsid w:val="00255E4C"/>
    <w:rsid w:val="002578D1"/>
    <w:rsid w:val="00257CAC"/>
    <w:rsid w:val="0026122B"/>
    <w:rsid w:val="0026191F"/>
    <w:rsid w:val="00262437"/>
    <w:rsid w:val="00262AF5"/>
    <w:rsid w:val="002630DD"/>
    <w:rsid w:val="00264153"/>
    <w:rsid w:val="00265153"/>
    <w:rsid w:val="0026604F"/>
    <w:rsid w:val="002718D6"/>
    <w:rsid w:val="00272539"/>
    <w:rsid w:val="00272F62"/>
    <w:rsid w:val="00272FA0"/>
    <w:rsid w:val="00273A3C"/>
    <w:rsid w:val="0027567B"/>
    <w:rsid w:val="002769DD"/>
    <w:rsid w:val="00280B6C"/>
    <w:rsid w:val="00281E7E"/>
    <w:rsid w:val="00282EFA"/>
    <w:rsid w:val="002837FC"/>
    <w:rsid w:val="00284C30"/>
    <w:rsid w:val="002858BC"/>
    <w:rsid w:val="002860EE"/>
    <w:rsid w:val="00286282"/>
    <w:rsid w:val="0028755A"/>
    <w:rsid w:val="00287BA8"/>
    <w:rsid w:val="00287DF9"/>
    <w:rsid w:val="00290335"/>
    <w:rsid w:val="0029158C"/>
    <w:rsid w:val="00293884"/>
    <w:rsid w:val="00294347"/>
    <w:rsid w:val="00296ECD"/>
    <w:rsid w:val="002A06DA"/>
    <w:rsid w:val="002A33D2"/>
    <w:rsid w:val="002A456F"/>
    <w:rsid w:val="002A4A29"/>
    <w:rsid w:val="002A4FD6"/>
    <w:rsid w:val="002A5A1F"/>
    <w:rsid w:val="002A6CB2"/>
    <w:rsid w:val="002A6E2B"/>
    <w:rsid w:val="002B0A3E"/>
    <w:rsid w:val="002B2572"/>
    <w:rsid w:val="002B4D79"/>
    <w:rsid w:val="002B560A"/>
    <w:rsid w:val="002B6512"/>
    <w:rsid w:val="002B7335"/>
    <w:rsid w:val="002B77F5"/>
    <w:rsid w:val="002C1D0C"/>
    <w:rsid w:val="002C1EC2"/>
    <w:rsid w:val="002C331D"/>
    <w:rsid w:val="002C377D"/>
    <w:rsid w:val="002C48DD"/>
    <w:rsid w:val="002C5DF5"/>
    <w:rsid w:val="002C7DDA"/>
    <w:rsid w:val="002C7FE5"/>
    <w:rsid w:val="002D1AE9"/>
    <w:rsid w:val="002D2D7E"/>
    <w:rsid w:val="002D3103"/>
    <w:rsid w:val="002D4104"/>
    <w:rsid w:val="002D4177"/>
    <w:rsid w:val="002D548B"/>
    <w:rsid w:val="002D5B2E"/>
    <w:rsid w:val="002D66B1"/>
    <w:rsid w:val="002D7616"/>
    <w:rsid w:val="002D7AF0"/>
    <w:rsid w:val="002D7ECF"/>
    <w:rsid w:val="002E00E8"/>
    <w:rsid w:val="002E1C94"/>
    <w:rsid w:val="002E4396"/>
    <w:rsid w:val="002E46DE"/>
    <w:rsid w:val="002E4B1C"/>
    <w:rsid w:val="002E5406"/>
    <w:rsid w:val="002E57EA"/>
    <w:rsid w:val="002E58F7"/>
    <w:rsid w:val="002E78D7"/>
    <w:rsid w:val="002E797D"/>
    <w:rsid w:val="002F1CB1"/>
    <w:rsid w:val="002F3633"/>
    <w:rsid w:val="002F581D"/>
    <w:rsid w:val="002F5B67"/>
    <w:rsid w:val="002F6168"/>
    <w:rsid w:val="002F653C"/>
    <w:rsid w:val="002F7D4C"/>
    <w:rsid w:val="00300CED"/>
    <w:rsid w:val="00300D77"/>
    <w:rsid w:val="003013A6"/>
    <w:rsid w:val="003016E7"/>
    <w:rsid w:val="003030E1"/>
    <w:rsid w:val="00304677"/>
    <w:rsid w:val="00304C1D"/>
    <w:rsid w:val="003069E8"/>
    <w:rsid w:val="00307512"/>
    <w:rsid w:val="00307737"/>
    <w:rsid w:val="00307E85"/>
    <w:rsid w:val="00310269"/>
    <w:rsid w:val="00310BBC"/>
    <w:rsid w:val="00310D00"/>
    <w:rsid w:val="00310D38"/>
    <w:rsid w:val="00310E67"/>
    <w:rsid w:val="003111DB"/>
    <w:rsid w:val="00311373"/>
    <w:rsid w:val="00311CCB"/>
    <w:rsid w:val="0031313E"/>
    <w:rsid w:val="00313937"/>
    <w:rsid w:val="00314466"/>
    <w:rsid w:val="003149E9"/>
    <w:rsid w:val="0031682F"/>
    <w:rsid w:val="00316B83"/>
    <w:rsid w:val="00317DAD"/>
    <w:rsid w:val="003203C7"/>
    <w:rsid w:val="00320415"/>
    <w:rsid w:val="003228BF"/>
    <w:rsid w:val="00322E0B"/>
    <w:rsid w:val="00323107"/>
    <w:rsid w:val="0032359A"/>
    <w:rsid w:val="00323A42"/>
    <w:rsid w:val="00323C5A"/>
    <w:rsid w:val="00324485"/>
    <w:rsid w:val="00324FA6"/>
    <w:rsid w:val="00325118"/>
    <w:rsid w:val="003251E0"/>
    <w:rsid w:val="00325503"/>
    <w:rsid w:val="00331DCE"/>
    <w:rsid w:val="00332055"/>
    <w:rsid w:val="00332280"/>
    <w:rsid w:val="0033238B"/>
    <w:rsid w:val="003323DB"/>
    <w:rsid w:val="00332B05"/>
    <w:rsid w:val="003330C7"/>
    <w:rsid w:val="00333BC3"/>
    <w:rsid w:val="00334C97"/>
    <w:rsid w:val="00335C9A"/>
    <w:rsid w:val="003409BF"/>
    <w:rsid w:val="00340D0F"/>
    <w:rsid w:val="0034345A"/>
    <w:rsid w:val="00344AD3"/>
    <w:rsid w:val="00345525"/>
    <w:rsid w:val="00347039"/>
    <w:rsid w:val="00351302"/>
    <w:rsid w:val="00352F69"/>
    <w:rsid w:val="00355E73"/>
    <w:rsid w:val="00356841"/>
    <w:rsid w:val="0035786F"/>
    <w:rsid w:val="00357DAD"/>
    <w:rsid w:val="003640B6"/>
    <w:rsid w:val="00364715"/>
    <w:rsid w:val="00365687"/>
    <w:rsid w:val="003657AB"/>
    <w:rsid w:val="00370A03"/>
    <w:rsid w:val="00371391"/>
    <w:rsid w:val="00372A69"/>
    <w:rsid w:val="00373A9D"/>
    <w:rsid w:val="003740C2"/>
    <w:rsid w:val="003745E9"/>
    <w:rsid w:val="00376491"/>
    <w:rsid w:val="00380189"/>
    <w:rsid w:val="00380A15"/>
    <w:rsid w:val="00381107"/>
    <w:rsid w:val="00381308"/>
    <w:rsid w:val="003818E8"/>
    <w:rsid w:val="00383295"/>
    <w:rsid w:val="00383B82"/>
    <w:rsid w:val="003848EF"/>
    <w:rsid w:val="00384905"/>
    <w:rsid w:val="00385BF8"/>
    <w:rsid w:val="00386560"/>
    <w:rsid w:val="00392C2B"/>
    <w:rsid w:val="00393E0C"/>
    <w:rsid w:val="00393FC7"/>
    <w:rsid w:val="003946A1"/>
    <w:rsid w:val="00395DFD"/>
    <w:rsid w:val="00395F95"/>
    <w:rsid w:val="00396479"/>
    <w:rsid w:val="00396C1A"/>
    <w:rsid w:val="003972F5"/>
    <w:rsid w:val="003A0243"/>
    <w:rsid w:val="003A12B1"/>
    <w:rsid w:val="003A151C"/>
    <w:rsid w:val="003A34EB"/>
    <w:rsid w:val="003A53C5"/>
    <w:rsid w:val="003A572D"/>
    <w:rsid w:val="003A5C47"/>
    <w:rsid w:val="003A5EEC"/>
    <w:rsid w:val="003A6079"/>
    <w:rsid w:val="003A68AB"/>
    <w:rsid w:val="003A7572"/>
    <w:rsid w:val="003B00FB"/>
    <w:rsid w:val="003B04F0"/>
    <w:rsid w:val="003B1336"/>
    <w:rsid w:val="003B20FC"/>
    <w:rsid w:val="003B30DD"/>
    <w:rsid w:val="003B3910"/>
    <w:rsid w:val="003B3E18"/>
    <w:rsid w:val="003B72CF"/>
    <w:rsid w:val="003B78AB"/>
    <w:rsid w:val="003C1E8C"/>
    <w:rsid w:val="003C2889"/>
    <w:rsid w:val="003C2D3D"/>
    <w:rsid w:val="003C2DEE"/>
    <w:rsid w:val="003C4286"/>
    <w:rsid w:val="003C6C81"/>
    <w:rsid w:val="003D11C0"/>
    <w:rsid w:val="003D125D"/>
    <w:rsid w:val="003D2197"/>
    <w:rsid w:val="003D2341"/>
    <w:rsid w:val="003D26DE"/>
    <w:rsid w:val="003D2D82"/>
    <w:rsid w:val="003D33A3"/>
    <w:rsid w:val="003D42B8"/>
    <w:rsid w:val="003D54F5"/>
    <w:rsid w:val="003D572E"/>
    <w:rsid w:val="003D57B2"/>
    <w:rsid w:val="003D6960"/>
    <w:rsid w:val="003D6E30"/>
    <w:rsid w:val="003D6EC0"/>
    <w:rsid w:val="003D77EE"/>
    <w:rsid w:val="003E0408"/>
    <w:rsid w:val="003E0510"/>
    <w:rsid w:val="003E0F67"/>
    <w:rsid w:val="003E1BBB"/>
    <w:rsid w:val="003E2295"/>
    <w:rsid w:val="003E322F"/>
    <w:rsid w:val="003E52F1"/>
    <w:rsid w:val="003E54B6"/>
    <w:rsid w:val="003E58BD"/>
    <w:rsid w:val="003E66BB"/>
    <w:rsid w:val="003E7A4D"/>
    <w:rsid w:val="003F0F52"/>
    <w:rsid w:val="003F1D29"/>
    <w:rsid w:val="003F1F49"/>
    <w:rsid w:val="003F2FA0"/>
    <w:rsid w:val="003F42A7"/>
    <w:rsid w:val="003F6045"/>
    <w:rsid w:val="003F71C5"/>
    <w:rsid w:val="003F76C1"/>
    <w:rsid w:val="00400A99"/>
    <w:rsid w:val="004016DE"/>
    <w:rsid w:val="004025DC"/>
    <w:rsid w:val="00402C3D"/>
    <w:rsid w:val="00402E80"/>
    <w:rsid w:val="004041B8"/>
    <w:rsid w:val="00405ACA"/>
    <w:rsid w:val="00407B37"/>
    <w:rsid w:val="00410945"/>
    <w:rsid w:val="0041221D"/>
    <w:rsid w:val="00415552"/>
    <w:rsid w:val="00416050"/>
    <w:rsid w:val="00417259"/>
    <w:rsid w:val="004175D4"/>
    <w:rsid w:val="00422963"/>
    <w:rsid w:val="004230A6"/>
    <w:rsid w:val="00423B46"/>
    <w:rsid w:val="004240A9"/>
    <w:rsid w:val="0042494E"/>
    <w:rsid w:val="004255F8"/>
    <w:rsid w:val="00426AB3"/>
    <w:rsid w:val="00430D68"/>
    <w:rsid w:val="00431B38"/>
    <w:rsid w:val="00431F1A"/>
    <w:rsid w:val="00432445"/>
    <w:rsid w:val="00433533"/>
    <w:rsid w:val="0043446F"/>
    <w:rsid w:val="0043683F"/>
    <w:rsid w:val="004406D1"/>
    <w:rsid w:val="00440A77"/>
    <w:rsid w:val="004422A6"/>
    <w:rsid w:val="00442FD5"/>
    <w:rsid w:val="0044399E"/>
    <w:rsid w:val="004442E2"/>
    <w:rsid w:val="00445634"/>
    <w:rsid w:val="00447E6B"/>
    <w:rsid w:val="00450CA2"/>
    <w:rsid w:val="0045151F"/>
    <w:rsid w:val="0045253C"/>
    <w:rsid w:val="00452B35"/>
    <w:rsid w:val="004547EA"/>
    <w:rsid w:val="00454B0A"/>
    <w:rsid w:val="0045548E"/>
    <w:rsid w:val="00455895"/>
    <w:rsid w:val="00455EAA"/>
    <w:rsid w:val="00456494"/>
    <w:rsid w:val="00457408"/>
    <w:rsid w:val="004577E1"/>
    <w:rsid w:val="0045799A"/>
    <w:rsid w:val="00461F13"/>
    <w:rsid w:val="00462598"/>
    <w:rsid w:val="004633F7"/>
    <w:rsid w:val="00463490"/>
    <w:rsid w:val="004646C4"/>
    <w:rsid w:val="004658D7"/>
    <w:rsid w:val="00466326"/>
    <w:rsid w:val="00470048"/>
    <w:rsid w:val="00470BEA"/>
    <w:rsid w:val="00471060"/>
    <w:rsid w:val="004712A4"/>
    <w:rsid w:val="004716AC"/>
    <w:rsid w:val="00471E07"/>
    <w:rsid w:val="00473876"/>
    <w:rsid w:val="00475082"/>
    <w:rsid w:val="004763AF"/>
    <w:rsid w:val="00477111"/>
    <w:rsid w:val="00477F9A"/>
    <w:rsid w:val="00481238"/>
    <w:rsid w:val="00481432"/>
    <w:rsid w:val="0048196D"/>
    <w:rsid w:val="00481DBF"/>
    <w:rsid w:val="00483E1A"/>
    <w:rsid w:val="00483FB7"/>
    <w:rsid w:val="00485114"/>
    <w:rsid w:val="004860C0"/>
    <w:rsid w:val="00486722"/>
    <w:rsid w:val="00486A47"/>
    <w:rsid w:val="00487074"/>
    <w:rsid w:val="0049072A"/>
    <w:rsid w:val="00490FCE"/>
    <w:rsid w:val="00490FF7"/>
    <w:rsid w:val="004930F6"/>
    <w:rsid w:val="00493B5E"/>
    <w:rsid w:val="0049416F"/>
    <w:rsid w:val="004948C9"/>
    <w:rsid w:val="00495404"/>
    <w:rsid w:val="004963C9"/>
    <w:rsid w:val="00497931"/>
    <w:rsid w:val="004A0CCF"/>
    <w:rsid w:val="004A14BC"/>
    <w:rsid w:val="004A3D93"/>
    <w:rsid w:val="004A3EFD"/>
    <w:rsid w:val="004A3F27"/>
    <w:rsid w:val="004A66A8"/>
    <w:rsid w:val="004A7E39"/>
    <w:rsid w:val="004B1880"/>
    <w:rsid w:val="004B3B7B"/>
    <w:rsid w:val="004B5251"/>
    <w:rsid w:val="004B717E"/>
    <w:rsid w:val="004B7209"/>
    <w:rsid w:val="004C0DDA"/>
    <w:rsid w:val="004C1BBB"/>
    <w:rsid w:val="004C3CF1"/>
    <w:rsid w:val="004C4C8F"/>
    <w:rsid w:val="004C5754"/>
    <w:rsid w:val="004D0574"/>
    <w:rsid w:val="004D0C7C"/>
    <w:rsid w:val="004D118B"/>
    <w:rsid w:val="004D19CE"/>
    <w:rsid w:val="004D513E"/>
    <w:rsid w:val="004D6A72"/>
    <w:rsid w:val="004E04DB"/>
    <w:rsid w:val="004E1174"/>
    <w:rsid w:val="004E242F"/>
    <w:rsid w:val="004E29C6"/>
    <w:rsid w:val="004E3D1C"/>
    <w:rsid w:val="004E3E8F"/>
    <w:rsid w:val="004E4095"/>
    <w:rsid w:val="004E498D"/>
    <w:rsid w:val="004E5320"/>
    <w:rsid w:val="004E5E6C"/>
    <w:rsid w:val="004E6683"/>
    <w:rsid w:val="004E7A28"/>
    <w:rsid w:val="004F1926"/>
    <w:rsid w:val="004F2D38"/>
    <w:rsid w:val="004F5C39"/>
    <w:rsid w:val="004F5E43"/>
    <w:rsid w:val="004F7BA3"/>
    <w:rsid w:val="00500698"/>
    <w:rsid w:val="00500C9D"/>
    <w:rsid w:val="00503A3E"/>
    <w:rsid w:val="00503C39"/>
    <w:rsid w:val="00504795"/>
    <w:rsid w:val="005057E8"/>
    <w:rsid w:val="00506528"/>
    <w:rsid w:val="00507495"/>
    <w:rsid w:val="00507986"/>
    <w:rsid w:val="00510AC6"/>
    <w:rsid w:val="005116B1"/>
    <w:rsid w:val="005138A1"/>
    <w:rsid w:val="00517351"/>
    <w:rsid w:val="00517D22"/>
    <w:rsid w:val="00520444"/>
    <w:rsid w:val="005216AE"/>
    <w:rsid w:val="005238F6"/>
    <w:rsid w:val="0052463E"/>
    <w:rsid w:val="005248F1"/>
    <w:rsid w:val="005250E6"/>
    <w:rsid w:val="00525511"/>
    <w:rsid w:val="00526B28"/>
    <w:rsid w:val="00527387"/>
    <w:rsid w:val="00527A7D"/>
    <w:rsid w:val="00530EF8"/>
    <w:rsid w:val="005314A7"/>
    <w:rsid w:val="00532CEE"/>
    <w:rsid w:val="00533D7B"/>
    <w:rsid w:val="005349BB"/>
    <w:rsid w:val="00535433"/>
    <w:rsid w:val="00535C18"/>
    <w:rsid w:val="005409C5"/>
    <w:rsid w:val="00540A7C"/>
    <w:rsid w:val="0054257A"/>
    <w:rsid w:val="00544292"/>
    <w:rsid w:val="005448AD"/>
    <w:rsid w:val="005456EC"/>
    <w:rsid w:val="00547154"/>
    <w:rsid w:val="005503A1"/>
    <w:rsid w:val="00550EA2"/>
    <w:rsid w:val="005535DA"/>
    <w:rsid w:val="00554795"/>
    <w:rsid w:val="00556DEA"/>
    <w:rsid w:val="00560465"/>
    <w:rsid w:val="0056070C"/>
    <w:rsid w:val="00560972"/>
    <w:rsid w:val="005618D3"/>
    <w:rsid w:val="00562485"/>
    <w:rsid w:val="00562E19"/>
    <w:rsid w:val="00563F7B"/>
    <w:rsid w:val="005640A6"/>
    <w:rsid w:val="00564A9A"/>
    <w:rsid w:val="00565387"/>
    <w:rsid w:val="0056664A"/>
    <w:rsid w:val="005666CF"/>
    <w:rsid w:val="00566729"/>
    <w:rsid w:val="0056675F"/>
    <w:rsid w:val="00570F8E"/>
    <w:rsid w:val="005719FD"/>
    <w:rsid w:val="00571B06"/>
    <w:rsid w:val="00572118"/>
    <w:rsid w:val="00573359"/>
    <w:rsid w:val="00574A89"/>
    <w:rsid w:val="005750A9"/>
    <w:rsid w:val="00575FFA"/>
    <w:rsid w:val="00576C08"/>
    <w:rsid w:val="00576F30"/>
    <w:rsid w:val="00582997"/>
    <w:rsid w:val="00583180"/>
    <w:rsid w:val="0058572C"/>
    <w:rsid w:val="00586CE4"/>
    <w:rsid w:val="00586D82"/>
    <w:rsid w:val="005875FD"/>
    <w:rsid w:val="005879B8"/>
    <w:rsid w:val="00591130"/>
    <w:rsid w:val="00591F04"/>
    <w:rsid w:val="0059360B"/>
    <w:rsid w:val="00593648"/>
    <w:rsid w:val="00594141"/>
    <w:rsid w:val="00594AC6"/>
    <w:rsid w:val="00594F99"/>
    <w:rsid w:val="0059501C"/>
    <w:rsid w:val="0059679F"/>
    <w:rsid w:val="00596F19"/>
    <w:rsid w:val="005970B5"/>
    <w:rsid w:val="005978D0"/>
    <w:rsid w:val="005A0026"/>
    <w:rsid w:val="005A0A96"/>
    <w:rsid w:val="005A0B86"/>
    <w:rsid w:val="005A1E58"/>
    <w:rsid w:val="005A2FC0"/>
    <w:rsid w:val="005A3880"/>
    <w:rsid w:val="005A5163"/>
    <w:rsid w:val="005A66F6"/>
    <w:rsid w:val="005A6904"/>
    <w:rsid w:val="005A7A14"/>
    <w:rsid w:val="005A7C77"/>
    <w:rsid w:val="005B1C29"/>
    <w:rsid w:val="005B341F"/>
    <w:rsid w:val="005B44D6"/>
    <w:rsid w:val="005B508B"/>
    <w:rsid w:val="005B5651"/>
    <w:rsid w:val="005B60D9"/>
    <w:rsid w:val="005B613F"/>
    <w:rsid w:val="005B63C0"/>
    <w:rsid w:val="005B7D24"/>
    <w:rsid w:val="005C04A4"/>
    <w:rsid w:val="005C0E7F"/>
    <w:rsid w:val="005C0FD4"/>
    <w:rsid w:val="005C40F8"/>
    <w:rsid w:val="005C5AAA"/>
    <w:rsid w:val="005C668E"/>
    <w:rsid w:val="005C71E1"/>
    <w:rsid w:val="005D0BD1"/>
    <w:rsid w:val="005D0FBB"/>
    <w:rsid w:val="005D0FE8"/>
    <w:rsid w:val="005D27B8"/>
    <w:rsid w:val="005D2E03"/>
    <w:rsid w:val="005D3E03"/>
    <w:rsid w:val="005D4544"/>
    <w:rsid w:val="005D4F09"/>
    <w:rsid w:val="005D50B6"/>
    <w:rsid w:val="005D5178"/>
    <w:rsid w:val="005D604A"/>
    <w:rsid w:val="005D6EA8"/>
    <w:rsid w:val="005D6F05"/>
    <w:rsid w:val="005D73DD"/>
    <w:rsid w:val="005E10E3"/>
    <w:rsid w:val="005E2D4B"/>
    <w:rsid w:val="005E3FC7"/>
    <w:rsid w:val="005F32E7"/>
    <w:rsid w:val="005F54D7"/>
    <w:rsid w:val="005F698B"/>
    <w:rsid w:val="00600956"/>
    <w:rsid w:val="006011E1"/>
    <w:rsid w:val="00602401"/>
    <w:rsid w:val="00604158"/>
    <w:rsid w:val="0060666C"/>
    <w:rsid w:val="00606C5F"/>
    <w:rsid w:val="0061103F"/>
    <w:rsid w:val="00612A3A"/>
    <w:rsid w:val="00614CE6"/>
    <w:rsid w:val="00614E86"/>
    <w:rsid w:val="00615CA5"/>
    <w:rsid w:val="00615D43"/>
    <w:rsid w:val="00615E57"/>
    <w:rsid w:val="00616BCC"/>
    <w:rsid w:val="00616E00"/>
    <w:rsid w:val="0061761A"/>
    <w:rsid w:val="00621FBB"/>
    <w:rsid w:val="00622448"/>
    <w:rsid w:val="00622E79"/>
    <w:rsid w:val="0062378B"/>
    <w:rsid w:val="00623DFF"/>
    <w:rsid w:val="00624299"/>
    <w:rsid w:val="006243EB"/>
    <w:rsid w:val="00625536"/>
    <w:rsid w:val="00625AC1"/>
    <w:rsid w:val="00625DB5"/>
    <w:rsid w:val="00626698"/>
    <w:rsid w:val="006267F8"/>
    <w:rsid w:val="00630966"/>
    <w:rsid w:val="00630EC4"/>
    <w:rsid w:val="00630EC9"/>
    <w:rsid w:val="00631B4C"/>
    <w:rsid w:val="00632522"/>
    <w:rsid w:val="006328B1"/>
    <w:rsid w:val="00632CB9"/>
    <w:rsid w:val="00634C62"/>
    <w:rsid w:val="00635BAE"/>
    <w:rsid w:val="0063667C"/>
    <w:rsid w:val="00636A8F"/>
    <w:rsid w:val="006373BF"/>
    <w:rsid w:val="00641D5A"/>
    <w:rsid w:val="00642777"/>
    <w:rsid w:val="00643B89"/>
    <w:rsid w:val="00644926"/>
    <w:rsid w:val="00644C2B"/>
    <w:rsid w:val="006450F6"/>
    <w:rsid w:val="00645936"/>
    <w:rsid w:val="00645DD2"/>
    <w:rsid w:val="00646433"/>
    <w:rsid w:val="00646B92"/>
    <w:rsid w:val="00647402"/>
    <w:rsid w:val="006475DA"/>
    <w:rsid w:val="00650282"/>
    <w:rsid w:val="00650361"/>
    <w:rsid w:val="00650A11"/>
    <w:rsid w:val="00650A1C"/>
    <w:rsid w:val="006511BB"/>
    <w:rsid w:val="006531EF"/>
    <w:rsid w:val="00653870"/>
    <w:rsid w:val="00655DA6"/>
    <w:rsid w:val="00656305"/>
    <w:rsid w:val="006572D6"/>
    <w:rsid w:val="006576B4"/>
    <w:rsid w:val="0066034A"/>
    <w:rsid w:val="006621CB"/>
    <w:rsid w:val="006631B8"/>
    <w:rsid w:val="006656EC"/>
    <w:rsid w:val="006662EE"/>
    <w:rsid w:val="0066752A"/>
    <w:rsid w:val="00667977"/>
    <w:rsid w:val="00670CFE"/>
    <w:rsid w:val="00670EC7"/>
    <w:rsid w:val="00671794"/>
    <w:rsid w:val="006725A4"/>
    <w:rsid w:val="00673B54"/>
    <w:rsid w:val="00674043"/>
    <w:rsid w:val="0067720E"/>
    <w:rsid w:val="00677C65"/>
    <w:rsid w:val="0068051F"/>
    <w:rsid w:val="006812CF"/>
    <w:rsid w:val="006820E6"/>
    <w:rsid w:val="006824C7"/>
    <w:rsid w:val="006824EE"/>
    <w:rsid w:val="00682BBC"/>
    <w:rsid w:val="00684490"/>
    <w:rsid w:val="006854DC"/>
    <w:rsid w:val="00685CB3"/>
    <w:rsid w:val="006867B7"/>
    <w:rsid w:val="00686F5E"/>
    <w:rsid w:val="006914EF"/>
    <w:rsid w:val="00691916"/>
    <w:rsid w:val="00692DE8"/>
    <w:rsid w:val="00693378"/>
    <w:rsid w:val="0069403E"/>
    <w:rsid w:val="006945C8"/>
    <w:rsid w:val="006955C3"/>
    <w:rsid w:val="00695ADD"/>
    <w:rsid w:val="006977F9"/>
    <w:rsid w:val="006A0557"/>
    <w:rsid w:val="006A0782"/>
    <w:rsid w:val="006A0B90"/>
    <w:rsid w:val="006A1B09"/>
    <w:rsid w:val="006A2A2C"/>
    <w:rsid w:val="006A2D92"/>
    <w:rsid w:val="006A56C1"/>
    <w:rsid w:val="006A5A2E"/>
    <w:rsid w:val="006B04D1"/>
    <w:rsid w:val="006B1212"/>
    <w:rsid w:val="006B1E8A"/>
    <w:rsid w:val="006B3C41"/>
    <w:rsid w:val="006B4257"/>
    <w:rsid w:val="006B4287"/>
    <w:rsid w:val="006B4E05"/>
    <w:rsid w:val="006B5780"/>
    <w:rsid w:val="006B70AF"/>
    <w:rsid w:val="006B72A2"/>
    <w:rsid w:val="006C0521"/>
    <w:rsid w:val="006C0C7D"/>
    <w:rsid w:val="006C17EA"/>
    <w:rsid w:val="006C284B"/>
    <w:rsid w:val="006C2C8C"/>
    <w:rsid w:val="006C5CE3"/>
    <w:rsid w:val="006C6483"/>
    <w:rsid w:val="006C7426"/>
    <w:rsid w:val="006D068E"/>
    <w:rsid w:val="006D139F"/>
    <w:rsid w:val="006D1474"/>
    <w:rsid w:val="006D1542"/>
    <w:rsid w:val="006D177F"/>
    <w:rsid w:val="006D1F7D"/>
    <w:rsid w:val="006D29CD"/>
    <w:rsid w:val="006D2BE3"/>
    <w:rsid w:val="006D2BEB"/>
    <w:rsid w:val="006D2BF3"/>
    <w:rsid w:val="006D37CF"/>
    <w:rsid w:val="006D3BBA"/>
    <w:rsid w:val="006D3DCE"/>
    <w:rsid w:val="006D5DF3"/>
    <w:rsid w:val="006E04FD"/>
    <w:rsid w:val="006E11EC"/>
    <w:rsid w:val="006E17B6"/>
    <w:rsid w:val="006E4011"/>
    <w:rsid w:val="006E441C"/>
    <w:rsid w:val="006E7242"/>
    <w:rsid w:val="006F0945"/>
    <w:rsid w:val="006F0B3D"/>
    <w:rsid w:val="006F0BD7"/>
    <w:rsid w:val="006F1179"/>
    <w:rsid w:val="006F259E"/>
    <w:rsid w:val="006F3BB8"/>
    <w:rsid w:val="006F772A"/>
    <w:rsid w:val="0070149F"/>
    <w:rsid w:val="00703D2D"/>
    <w:rsid w:val="00704046"/>
    <w:rsid w:val="0070562F"/>
    <w:rsid w:val="007060E4"/>
    <w:rsid w:val="00706B60"/>
    <w:rsid w:val="00706FE9"/>
    <w:rsid w:val="00710BF9"/>
    <w:rsid w:val="0071191B"/>
    <w:rsid w:val="00712914"/>
    <w:rsid w:val="00713408"/>
    <w:rsid w:val="0071360C"/>
    <w:rsid w:val="0071367B"/>
    <w:rsid w:val="007139B6"/>
    <w:rsid w:val="0071468E"/>
    <w:rsid w:val="007148AA"/>
    <w:rsid w:val="0071613F"/>
    <w:rsid w:val="0071686F"/>
    <w:rsid w:val="00716A12"/>
    <w:rsid w:val="00716D5C"/>
    <w:rsid w:val="00716E66"/>
    <w:rsid w:val="00717760"/>
    <w:rsid w:val="00717800"/>
    <w:rsid w:val="007208D9"/>
    <w:rsid w:val="00720AF5"/>
    <w:rsid w:val="00720C9D"/>
    <w:rsid w:val="00720FFE"/>
    <w:rsid w:val="00723A86"/>
    <w:rsid w:val="00724C0F"/>
    <w:rsid w:val="0073058B"/>
    <w:rsid w:val="00730915"/>
    <w:rsid w:val="00731EBD"/>
    <w:rsid w:val="00732185"/>
    <w:rsid w:val="0073258B"/>
    <w:rsid w:val="00732BA8"/>
    <w:rsid w:val="0073350E"/>
    <w:rsid w:val="00733F8C"/>
    <w:rsid w:val="00734E99"/>
    <w:rsid w:val="007359A7"/>
    <w:rsid w:val="00735B64"/>
    <w:rsid w:val="00736976"/>
    <w:rsid w:val="00736A54"/>
    <w:rsid w:val="0074128D"/>
    <w:rsid w:val="00742D37"/>
    <w:rsid w:val="00744E43"/>
    <w:rsid w:val="00744ECC"/>
    <w:rsid w:val="0074677C"/>
    <w:rsid w:val="00746E21"/>
    <w:rsid w:val="0074740B"/>
    <w:rsid w:val="00747E73"/>
    <w:rsid w:val="00751039"/>
    <w:rsid w:val="00751F1C"/>
    <w:rsid w:val="007523FD"/>
    <w:rsid w:val="0075393B"/>
    <w:rsid w:val="0075450E"/>
    <w:rsid w:val="00754712"/>
    <w:rsid w:val="0075471A"/>
    <w:rsid w:val="007562A8"/>
    <w:rsid w:val="0075771C"/>
    <w:rsid w:val="007608D7"/>
    <w:rsid w:val="00761231"/>
    <w:rsid w:val="0076141B"/>
    <w:rsid w:val="00761B0D"/>
    <w:rsid w:val="00763BC8"/>
    <w:rsid w:val="00763D76"/>
    <w:rsid w:val="00764FAA"/>
    <w:rsid w:val="00766192"/>
    <w:rsid w:val="00767A04"/>
    <w:rsid w:val="00771A60"/>
    <w:rsid w:val="007721C9"/>
    <w:rsid w:val="007733A9"/>
    <w:rsid w:val="00773719"/>
    <w:rsid w:val="00773B58"/>
    <w:rsid w:val="00774032"/>
    <w:rsid w:val="00774343"/>
    <w:rsid w:val="007754E1"/>
    <w:rsid w:val="00777487"/>
    <w:rsid w:val="007777A1"/>
    <w:rsid w:val="0078003D"/>
    <w:rsid w:val="00780C8A"/>
    <w:rsid w:val="0078273E"/>
    <w:rsid w:val="00782C80"/>
    <w:rsid w:val="00782DCD"/>
    <w:rsid w:val="00782EB8"/>
    <w:rsid w:val="00782F88"/>
    <w:rsid w:val="00783974"/>
    <w:rsid w:val="0078471D"/>
    <w:rsid w:val="00784EC0"/>
    <w:rsid w:val="0078730F"/>
    <w:rsid w:val="0078760F"/>
    <w:rsid w:val="007913FD"/>
    <w:rsid w:val="0079221B"/>
    <w:rsid w:val="007925C2"/>
    <w:rsid w:val="00792F19"/>
    <w:rsid w:val="00796A50"/>
    <w:rsid w:val="007A01E1"/>
    <w:rsid w:val="007A0527"/>
    <w:rsid w:val="007A255D"/>
    <w:rsid w:val="007A41F4"/>
    <w:rsid w:val="007A49C2"/>
    <w:rsid w:val="007A4BDD"/>
    <w:rsid w:val="007B05B3"/>
    <w:rsid w:val="007B14CE"/>
    <w:rsid w:val="007B1B0E"/>
    <w:rsid w:val="007B2B34"/>
    <w:rsid w:val="007B33D7"/>
    <w:rsid w:val="007B6838"/>
    <w:rsid w:val="007B7EE4"/>
    <w:rsid w:val="007C08F8"/>
    <w:rsid w:val="007C0D7C"/>
    <w:rsid w:val="007C1837"/>
    <w:rsid w:val="007C2377"/>
    <w:rsid w:val="007C26FC"/>
    <w:rsid w:val="007C293A"/>
    <w:rsid w:val="007C4005"/>
    <w:rsid w:val="007C5030"/>
    <w:rsid w:val="007D0CC0"/>
    <w:rsid w:val="007D2C0D"/>
    <w:rsid w:val="007D2D03"/>
    <w:rsid w:val="007D4FAC"/>
    <w:rsid w:val="007D537B"/>
    <w:rsid w:val="007D6F3F"/>
    <w:rsid w:val="007E0574"/>
    <w:rsid w:val="007E1522"/>
    <w:rsid w:val="007E190E"/>
    <w:rsid w:val="007E1D58"/>
    <w:rsid w:val="007E350C"/>
    <w:rsid w:val="007E6CF8"/>
    <w:rsid w:val="007E6ECC"/>
    <w:rsid w:val="007E75F8"/>
    <w:rsid w:val="007F0ABE"/>
    <w:rsid w:val="007F0ED9"/>
    <w:rsid w:val="007F25A7"/>
    <w:rsid w:val="007F2645"/>
    <w:rsid w:val="007F2CB7"/>
    <w:rsid w:val="007F3A2D"/>
    <w:rsid w:val="007F4668"/>
    <w:rsid w:val="007F571B"/>
    <w:rsid w:val="007F64C7"/>
    <w:rsid w:val="007F7F2E"/>
    <w:rsid w:val="0080193C"/>
    <w:rsid w:val="00802D1D"/>
    <w:rsid w:val="008031EC"/>
    <w:rsid w:val="008034D8"/>
    <w:rsid w:val="008054F0"/>
    <w:rsid w:val="00805BD3"/>
    <w:rsid w:val="008069F7"/>
    <w:rsid w:val="00807DB6"/>
    <w:rsid w:val="00815425"/>
    <w:rsid w:val="008155E3"/>
    <w:rsid w:val="00817272"/>
    <w:rsid w:val="00817638"/>
    <w:rsid w:val="008228A5"/>
    <w:rsid w:val="00822B3C"/>
    <w:rsid w:val="00824B1D"/>
    <w:rsid w:val="00826F71"/>
    <w:rsid w:val="00830ED9"/>
    <w:rsid w:val="008337F1"/>
    <w:rsid w:val="00834367"/>
    <w:rsid w:val="0083486F"/>
    <w:rsid w:val="00834AB9"/>
    <w:rsid w:val="00835811"/>
    <w:rsid w:val="008369A3"/>
    <w:rsid w:val="00837300"/>
    <w:rsid w:val="00837F65"/>
    <w:rsid w:val="00840393"/>
    <w:rsid w:val="008410B6"/>
    <w:rsid w:val="00841663"/>
    <w:rsid w:val="0084430D"/>
    <w:rsid w:val="008449EE"/>
    <w:rsid w:val="0084574D"/>
    <w:rsid w:val="00845B33"/>
    <w:rsid w:val="00846526"/>
    <w:rsid w:val="00846CB7"/>
    <w:rsid w:val="008478CE"/>
    <w:rsid w:val="00847C2B"/>
    <w:rsid w:val="00847C45"/>
    <w:rsid w:val="00847E7D"/>
    <w:rsid w:val="00847F14"/>
    <w:rsid w:val="00850B48"/>
    <w:rsid w:val="00850CF7"/>
    <w:rsid w:val="0085182E"/>
    <w:rsid w:val="00854B58"/>
    <w:rsid w:val="0085583B"/>
    <w:rsid w:val="00855EBD"/>
    <w:rsid w:val="0085629D"/>
    <w:rsid w:val="00856B7F"/>
    <w:rsid w:val="00857E85"/>
    <w:rsid w:val="00860E75"/>
    <w:rsid w:val="0086103A"/>
    <w:rsid w:val="008617EA"/>
    <w:rsid w:val="0086208D"/>
    <w:rsid w:val="008629E3"/>
    <w:rsid w:val="00864321"/>
    <w:rsid w:val="00865DC8"/>
    <w:rsid w:val="008671ED"/>
    <w:rsid w:val="00867942"/>
    <w:rsid w:val="00870D58"/>
    <w:rsid w:val="008712A0"/>
    <w:rsid w:val="008717D4"/>
    <w:rsid w:val="0087185D"/>
    <w:rsid w:val="008722B8"/>
    <w:rsid w:val="00872621"/>
    <w:rsid w:val="008727AA"/>
    <w:rsid w:val="008729DD"/>
    <w:rsid w:val="00873250"/>
    <w:rsid w:val="00873825"/>
    <w:rsid w:val="008739EF"/>
    <w:rsid w:val="00873ADE"/>
    <w:rsid w:val="008766C1"/>
    <w:rsid w:val="00876F9A"/>
    <w:rsid w:val="00877C17"/>
    <w:rsid w:val="00880258"/>
    <w:rsid w:val="00880746"/>
    <w:rsid w:val="008839E5"/>
    <w:rsid w:val="00883C78"/>
    <w:rsid w:val="0088761A"/>
    <w:rsid w:val="008909EA"/>
    <w:rsid w:val="00890A9E"/>
    <w:rsid w:val="0089144B"/>
    <w:rsid w:val="00892576"/>
    <w:rsid w:val="008934EB"/>
    <w:rsid w:val="00894601"/>
    <w:rsid w:val="008946DD"/>
    <w:rsid w:val="00894819"/>
    <w:rsid w:val="00894CD3"/>
    <w:rsid w:val="00895D49"/>
    <w:rsid w:val="008967F0"/>
    <w:rsid w:val="0089699B"/>
    <w:rsid w:val="008A136A"/>
    <w:rsid w:val="008A2C72"/>
    <w:rsid w:val="008A35EE"/>
    <w:rsid w:val="008A4654"/>
    <w:rsid w:val="008A48D2"/>
    <w:rsid w:val="008A6491"/>
    <w:rsid w:val="008A6708"/>
    <w:rsid w:val="008A70C3"/>
    <w:rsid w:val="008A71AA"/>
    <w:rsid w:val="008A7CF1"/>
    <w:rsid w:val="008B0674"/>
    <w:rsid w:val="008B0905"/>
    <w:rsid w:val="008B0B60"/>
    <w:rsid w:val="008B0CFF"/>
    <w:rsid w:val="008B20C2"/>
    <w:rsid w:val="008B333C"/>
    <w:rsid w:val="008B3CD2"/>
    <w:rsid w:val="008B5022"/>
    <w:rsid w:val="008B5C6E"/>
    <w:rsid w:val="008B5DCC"/>
    <w:rsid w:val="008B61A3"/>
    <w:rsid w:val="008B75E1"/>
    <w:rsid w:val="008C011F"/>
    <w:rsid w:val="008C0805"/>
    <w:rsid w:val="008C096C"/>
    <w:rsid w:val="008C0B6E"/>
    <w:rsid w:val="008C0FD5"/>
    <w:rsid w:val="008C1CAA"/>
    <w:rsid w:val="008C1F52"/>
    <w:rsid w:val="008C26F4"/>
    <w:rsid w:val="008C344A"/>
    <w:rsid w:val="008C3539"/>
    <w:rsid w:val="008C4888"/>
    <w:rsid w:val="008C624A"/>
    <w:rsid w:val="008C6C40"/>
    <w:rsid w:val="008D09C4"/>
    <w:rsid w:val="008D0E56"/>
    <w:rsid w:val="008D1DB1"/>
    <w:rsid w:val="008D1DF0"/>
    <w:rsid w:val="008D35DA"/>
    <w:rsid w:val="008D3892"/>
    <w:rsid w:val="008D39AA"/>
    <w:rsid w:val="008D4F72"/>
    <w:rsid w:val="008D5118"/>
    <w:rsid w:val="008D5297"/>
    <w:rsid w:val="008D55F9"/>
    <w:rsid w:val="008D6784"/>
    <w:rsid w:val="008D6A9C"/>
    <w:rsid w:val="008E0905"/>
    <w:rsid w:val="008E0D56"/>
    <w:rsid w:val="008E130B"/>
    <w:rsid w:val="008E2B2F"/>
    <w:rsid w:val="008E348C"/>
    <w:rsid w:val="008E34BC"/>
    <w:rsid w:val="008E4DFF"/>
    <w:rsid w:val="008E549E"/>
    <w:rsid w:val="008E54D0"/>
    <w:rsid w:val="008E5E23"/>
    <w:rsid w:val="008E67C0"/>
    <w:rsid w:val="008E7AAA"/>
    <w:rsid w:val="008E7F9F"/>
    <w:rsid w:val="008F09FE"/>
    <w:rsid w:val="008F1046"/>
    <w:rsid w:val="008F18B3"/>
    <w:rsid w:val="008F1E40"/>
    <w:rsid w:val="008F281A"/>
    <w:rsid w:val="008F2DC7"/>
    <w:rsid w:val="008F5890"/>
    <w:rsid w:val="008F5B59"/>
    <w:rsid w:val="008F6416"/>
    <w:rsid w:val="008F6E9D"/>
    <w:rsid w:val="008F705D"/>
    <w:rsid w:val="00900C12"/>
    <w:rsid w:val="00901EDF"/>
    <w:rsid w:val="00902645"/>
    <w:rsid w:val="00903CAE"/>
    <w:rsid w:val="00904B02"/>
    <w:rsid w:val="00904BBF"/>
    <w:rsid w:val="00904F26"/>
    <w:rsid w:val="009050B9"/>
    <w:rsid w:val="00905752"/>
    <w:rsid w:val="00906288"/>
    <w:rsid w:val="00906E14"/>
    <w:rsid w:val="009076FD"/>
    <w:rsid w:val="0091113E"/>
    <w:rsid w:val="009128E8"/>
    <w:rsid w:val="00912BD8"/>
    <w:rsid w:val="00913545"/>
    <w:rsid w:val="00913E7B"/>
    <w:rsid w:val="009147DE"/>
    <w:rsid w:val="00916A25"/>
    <w:rsid w:val="009174F7"/>
    <w:rsid w:val="009207A9"/>
    <w:rsid w:val="00920962"/>
    <w:rsid w:val="00920A27"/>
    <w:rsid w:val="009246BB"/>
    <w:rsid w:val="0092726F"/>
    <w:rsid w:val="009308F0"/>
    <w:rsid w:val="009322A0"/>
    <w:rsid w:val="0093251D"/>
    <w:rsid w:val="0093335F"/>
    <w:rsid w:val="00935F44"/>
    <w:rsid w:val="00936C94"/>
    <w:rsid w:val="0093750A"/>
    <w:rsid w:val="00937CD8"/>
    <w:rsid w:val="00937DFB"/>
    <w:rsid w:val="00941504"/>
    <w:rsid w:val="00941D69"/>
    <w:rsid w:val="00944074"/>
    <w:rsid w:val="00944597"/>
    <w:rsid w:val="00944936"/>
    <w:rsid w:val="00944AA7"/>
    <w:rsid w:val="0094512F"/>
    <w:rsid w:val="0094572B"/>
    <w:rsid w:val="0094662F"/>
    <w:rsid w:val="00946AD7"/>
    <w:rsid w:val="00947739"/>
    <w:rsid w:val="00947C30"/>
    <w:rsid w:val="00947F91"/>
    <w:rsid w:val="00950428"/>
    <w:rsid w:val="0095045E"/>
    <w:rsid w:val="00950571"/>
    <w:rsid w:val="009513B5"/>
    <w:rsid w:val="00952D7C"/>
    <w:rsid w:val="009540D9"/>
    <w:rsid w:val="009546F6"/>
    <w:rsid w:val="0095626F"/>
    <w:rsid w:val="009569C9"/>
    <w:rsid w:val="00956BA1"/>
    <w:rsid w:val="00956D76"/>
    <w:rsid w:val="00961356"/>
    <w:rsid w:val="00962C9F"/>
    <w:rsid w:val="009633D7"/>
    <w:rsid w:val="00963D44"/>
    <w:rsid w:val="00963DA9"/>
    <w:rsid w:val="0096455D"/>
    <w:rsid w:val="00964F55"/>
    <w:rsid w:val="00965CBF"/>
    <w:rsid w:val="00966271"/>
    <w:rsid w:val="00966C17"/>
    <w:rsid w:val="009709DA"/>
    <w:rsid w:val="0097119B"/>
    <w:rsid w:val="0097144F"/>
    <w:rsid w:val="00972C29"/>
    <w:rsid w:val="0097372C"/>
    <w:rsid w:val="009769C6"/>
    <w:rsid w:val="00977F47"/>
    <w:rsid w:val="00980707"/>
    <w:rsid w:val="00980FD2"/>
    <w:rsid w:val="009815EE"/>
    <w:rsid w:val="009837EF"/>
    <w:rsid w:val="00984BDC"/>
    <w:rsid w:val="009857E0"/>
    <w:rsid w:val="009869D7"/>
    <w:rsid w:val="00987331"/>
    <w:rsid w:val="00987A1D"/>
    <w:rsid w:val="009918FB"/>
    <w:rsid w:val="00991CE2"/>
    <w:rsid w:val="00995E2A"/>
    <w:rsid w:val="009A0497"/>
    <w:rsid w:val="009A1142"/>
    <w:rsid w:val="009A1A9A"/>
    <w:rsid w:val="009A2511"/>
    <w:rsid w:val="009A2D21"/>
    <w:rsid w:val="009A3270"/>
    <w:rsid w:val="009A3D03"/>
    <w:rsid w:val="009A73E9"/>
    <w:rsid w:val="009B157C"/>
    <w:rsid w:val="009B2293"/>
    <w:rsid w:val="009B25BD"/>
    <w:rsid w:val="009B2FAC"/>
    <w:rsid w:val="009B36BF"/>
    <w:rsid w:val="009B3DCC"/>
    <w:rsid w:val="009B5872"/>
    <w:rsid w:val="009B5A80"/>
    <w:rsid w:val="009B671B"/>
    <w:rsid w:val="009B6ACF"/>
    <w:rsid w:val="009B6B48"/>
    <w:rsid w:val="009B7123"/>
    <w:rsid w:val="009B7429"/>
    <w:rsid w:val="009B7B65"/>
    <w:rsid w:val="009C0CEB"/>
    <w:rsid w:val="009C3E19"/>
    <w:rsid w:val="009C403B"/>
    <w:rsid w:val="009C4AF0"/>
    <w:rsid w:val="009C74B5"/>
    <w:rsid w:val="009C7BD2"/>
    <w:rsid w:val="009D0E47"/>
    <w:rsid w:val="009D1F1C"/>
    <w:rsid w:val="009D2902"/>
    <w:rsid w:val="009D3AEC"/>
    <w:rsid w:val="009D6ECA"/>
    <w:rsid w:val="009D7957"/>
    <w:rsid w:val="009D7CE6"/>
    <w:rsid w:val="009E008F"/>
    <w:rsid w:val="009E0870"/>
    <w:rsid w:val="009E0D56"/>
    <w:rsid w:val="009E262C"/>
    <w:rsid w:val="009E3B03"/>
    <w:rsid w:val="009E4007"/>
    <w:rsid w:val="009E5746"/>
    <w:rsid w:val="009E6430"/>
    <w:rsid w:val="009E720C"/>
    <w:rsid w:val="009E733D"/>
    <w:rsid w:val="009E771F"/>
    <w:rsid w:val="009F1AD3"/>
    <w:rsid w:val="009F3C42"/>
    <w:rsid w:val="009F48BD"/>
    <w:rsid w:val="009F56A0"/>
    <w:rsid w:val="009F586F"/>
    <w:rsid w:val="009F6173"/>
    <w:rsid w:val="009F6692"/>
    <w:rsid w:val="009F6C47"/>
    <w:rsid w:val="00A00F82"/>
    <w:rsid w:val="00A02AB8"/>
    <w:rsid w:val="00A0444F"/>
    <w:rsid w:val="00A05393"/>
    <w:rsid w:val="00A05924"/>
    <w:rsid w:val="00A07934"/>
    <w:rsid w:val="00A12337"/>
    <w:rsid w:val="00A127AE"/>
    <w:rsid w:val="00A13C00"/>
    <w:rsid w:val="00A143E0"/>
    <w:rsid w:val="00A1543A"/>
    <w:rsid w:val="00A2018F"/>
    <w:rsid w:val="00A20E86"/>
    <w:rsid w:val="00A212FC"/>
    <w:rsid w:val="00A21C2A"/>
    <w:rsid w:val="00A21C3A"/>
    <w:rsid w:val="00A22274"/>
    <w:rsid w:val="00A223AF"/>
    <w:rsid w:val="00A2267C"/>
    <w:rsid w:val="00A23419"/>
    <w:rsid w:val="00A23DF1"/>
    <w:rsid w:val="00A2580A"/>
    <w:rsid w:val="00A26865"/>
    <w:rsid w:val="00A2758A"/>
    <w:rsid w:val="00A30635"/>
    <w:rsid w:val="00A32793"/>
    <w:rsid w:val="00A345C1"/>
    <w:rsid w:val="00A376D1"/>
    <w:rsid w:val="00A412A4"/>
    <w:rsid w:val="00A421D4"/>
    <w:rsid w:val="00A43602"/>
    <w:rsid w:val="00A44E29"/>
    <w:rsid w:val="00A45752"/>
    <w:rsid w:val="00A46BA8"/>
    <w:rsid w:val="00A500C6"/>
    <w:rsid w:val="00A51C4E"/>
    <w:rsid w:val="00A5318C"/>
    <w:rsid w:val="00A542C8"/>
    <w:rsid w:val="00A54607"/>
    <w:rsid w:val="00A549AF"/>
    <w:rsid w:val="00A55A46"/>
    <w:rsid w:val="00A5615B"/>
    <w:rsid w:val="00A566F7"/>
    <w:rsid w:val="00A60788"/>
    <w:rsid w:val="00A624D4"/>
    <w:rsid w:val="00A63795"/>
    <w:rsid w:val="00A63817"/>
    <w:rsid w:val="00A63AEB"/>
    <w:rsid w:val="00A63E61"/>
    <w:rsid w:val="00A64DFC"/>
    <w:rsid w:val="00A64E67"/>
    <w:rsid w:val="00A65708"/>
    <w:rsid w:val="00A70845"/>
    <w:rsid w:val="00A74FE2"/>
    <w:rsid w:val="00A75015"/>
    <w:rsid w:val="00A75DAF"/>
    <w:rsid w:val="00A76ACC"/>
    <w:rsid w:val="00A80316"/>
    <w:rsid w:val="00A80DCD"/>
    <w:rsid w:val="00A830AA"/>
    <w:rsid w:val="00A8360B"/>
    <w:rsid w:val="00A83F68"/>
    <w:rsid w:val="00A85145"/>
    <w:rsid w:val="00A857D9"/>
    <w:rsid w:val="00A85860"/>
    <w:rsid w:val="00A876ED"/>
    <w:rsid w:val="00A90857"/>
    <w:rsid w:val="00A90A64"/>
    <w:rsid w:val="00A91448"/>
    <w:rsid w:val="00A92245"/>
    <w:rsid w:val="00A93A78"/>
    <w:rsid w:val="00A9411B"/>
    <w:rsid w:val="00A94548"/>
    <w:rsid w:val="00AA25A1"/>
    <w:rsid w:val="00AA2B6A"/>
    <w:rsid w:val="00AA3306"/>
    <w:rsid w:val="00AA4B70"/>
    <w:rsid w:val="00AA6A31"/>
    <w:rsid w:val="00AA7756"/>
    <w:rsid w:val="00AB2960"/>
    <w:rsid w:val="00AB317F"/>
    <w:rsid w:val="00AB4A42"/>
    <w:rsid w:val="00AB574B"/>
    <w:rsid w:val="00AB6DF3"/>
    <w:rsid w:val="00AB79EC"/>
    <w:rsid w:val="00AC06AD"/>
    <w:rsid w:val="00AC1231"/>
    <w:rsid w:val="00AC1849"/>
    <w:rsid w:val="00AC1DB2"/>
    <w:rsid w:val="00AC2262"/>
    <w:rsid w:val="00AC23DD"/>
    <w:rsid w:val="00AC4436"/>
    <w:rsid w:val="00AC6D7C"/>
    <w:rsid w:val="00AC758F"/>
    <w:rsid w:val="00AC7D60"/>
    <w:rsid w:val="00AD01BB"/>
    <w:rsid w:val="00AD02B4"/>
    <w:rsid w:val="00AD09D9"/>
    <w:rsid w:val="00AD116A"/>
    <w:rsid w:val="00AD4CDC"/>
    <w:rsid w:val="00AD5620"/>
    <w:rsid w:val="00AD5C7A"/>
    <w:rsid w:val="00AD640D"/>
    <w:rsid w:val="00AD6B21"/>
    <w:rsid w:val="00AD6D7F"/>
    <w:rsid w:val="00AD77FB"/>
    <w:rsid w:val="00AE01EB"/>
    <w:rsid w:val="00AE0DAF"/>
    <w:rsid w:val="00AE1E77"/>
    <w:rsid w:val="00AE311C"/>
    <w:rsid w:val="00AE32FC"/>
    <w:rsid w:val="00AE3926"/>
    <w:rsid w:val="00AE46AA"/>
    <w:rsid w:val="00AE6061"/>
    <w:rsid w:val="00AF0034"/>
    <w:rsid w:val="00AF0388"/>
    <w:rsid w:val="00AF05EF"/>
    <w:rsid w:val="00AF0863"/>
    <w:rsid w:val="00AF29BB"/>
    <w:rsid w:val="00AF2B88"/>
    <w:rsid w:val="00AF45CD"/>
    <w:rsid w:val="00AF5F2E"/>
    <w:rsid w:val="00AF629C"/>
    <w:rsid w:val="00AF63A9"/>
    <w:rsid w:val="00AF739D"/>
    <w:rsid w:val="00B00177"/>
    <w:rsid w:val="00B00194"/>
    <w:rsid w:val="00B006A9"/>
    <w:rsid w:val="00B016A8"/>
    <w:rsid w:val="00B01ECE"/>
    <w:rsid w:val="00B057FD"/>
    <w:rsid w:val="00B05869"/>
    <w:rsid w:val="00B06148"/>
    <w:rsid w:val="00B068F2"/>
    <w:rsid w:val="00B10278"/>
    <w:rsid w:val="00B1166B"/>
    <w:rsid w:val="00B12922"/>
    <w:rsid w:val="00B13310"/>
    <w:rsid w:val="00B154EA"/>
    <w:rsid w:val="00B16720"/>
    <w:rsid w:val="00B20737"/>
    <w:rsid w:val="00B20969"/>
    <w:rsid w:val="00B2109F"/>
    <w:rsid w:val="00B21702"/>
    <w:rsid w:val="00B21989"/>
    <w:rsid w:val="00B221DF"/>
    <w:rsid w:val="00B22390"/>
    <w:rsid w:val="00B224C6"/>
    <w:rsid w:val="00B2258D"/>
    <w:rsid w:val="00B225B0"/>
    <w:rsid w:val="00B2589E"/>
    <w:rsid w:val="00B301D4"/>
    <w:rsid w:val="00B3026F"/>
    <w:rsid w:val="00B30A5D"/>
    <w:rsid w:val="00B318B0"/>
    <w:rsid w:val="00B31E83"/>
    <w:rsid w:val="00B31FF1"/>
    <w:rsid w:val="00B3230A"/>
    <w:rsid w:val="00B325B0"/>
    <w:rsid w:val="00B328FC"/>
    <w:rsid w:val="00B3411C"/>
    <w:rsid w:val="00B3499D"/>
    <w:rsid w:val="00B34CBE"/>
    <w:rsid w:val="00B4136C"/>
    <w:rsid w:val="00B42656"/>
    <w:rsid w:val="00B4271C"/>
    <w:rsid w:val="00B42A04"/>
    <w:rsid w:val="00B43453"/>
    <w:rsid w:val="00B450F8"/>
    <w:rsid w:val="00B472DC"/>
    <w:rsid w:val="00B47A0F"/>
    <w:rsid w:val="00B47CFD"/>
    <w:rsid w:val="00B50649"/>
    <w:rsid w:val="00B51DCA"/>
    <w:rsid w:val="00B51EDA"/>
    <w:rsid w:val="00B5400D"/>
    <w:rsid w:val="00B549E8"/>
    <w:rsid w:val="00B55516"/>
    <w:rsid w:val="00B557B6"/>
    <w:rsid w:val="00B55E3F"/>
    <w:rsid w:val="00B56A51"/>
    <w:rsid w:val="00B6063F"/>
    <w:rsid w:val="00B60A1E"/>
    <w:rsid w:val="00B61595"/>
    <w:rsid w:val="00B621E4"/>
    <w:rsid w:val="00B627AC"/>
    <w:rsid w:val="00B6327A"/>
    <w:rsid w:val="00B657A0"/>
    <w:rsid w:val="00B65926"/>
    <w:rsid w:val="00B65FA8"/>
    <w:rsid w:val="00B66384"/>
    <w:rsid w:val="00B664D8"/>
    <w:rsid w:val="00B66502"/>
    <w:rsid w:val="00B673E4"/>
    <w:rsid w:val="00B67EB0"/>
    <w:rsid w:val="00B7014D"/>
    <w:rsid w:val="00B7017B"/>
    <w:rsid w:val="00B705AC"/>
    <w:rsid w:val="00B722B5"/>
    <w:rsid w:val="00B73F2E"/>
    <w:rsid w:val="00B74113"/>
    <w:rsid w:val="00B74DEF"/>
    <w:rsid w:val="00B75533"/>
    <w:rsid w:val="00B776A9"/>
    <w:rsid w:val="00B827C5"/>
    <w:rsid w:val="00B8326D"/>
    <w:rsid w:val="00B837F0"/>
    <w:rsid w:val="00B83B44"/>
    <w:rsid w:val="00B83D1F"/>
    <w:rsid w:val="00B84190"/>
    <w:rsid w:val="00B84552"/>
    <w:rsid w:val="00B8737C"/>
    <w:rsid w:val="00B87DDD"/>
    <w:rsid w:val="00B9057D"/>
    <w:rsid w:val="00B91546"/>
    <w:rsid w:val="00B919DC"/>
    <w:rsid w:val="00B91D3B"/>
    <w:rsid w:val="00B93466"/>
    <w:rsid w:val="00B94293"/>
    <w:rsid w:val="00B94B1E"/>
    <w:rsid w:val="00B9718C"/>
    <w:rsid w:val="00BA1691"/>
    <w:rsid w:val="00BA2000"/>
    <w:rsid w:val="00BA2F3D"/>
    <w:rsid w:val="00BA326C"/>
    <w:rsid w:val="00BA4224"/>
    <w:rsid w:val="00BA5F1B"/>
    <w:rsid w:val="00BA68E9"/>
    <w:rsid w:val="00BA71D0"/>
    <w:rsid w:val="00BB0744"/>
    <w:rsid w:val="00BB1709"/>
    <w:rsid w:val="00BB249D"/>
    <w:rsid w:val="00BB713B"/>
    <w:rsid w:val="00BB76DF"/>
    <w:rsid w:val="00BC00FA"/>
    <w:rsid w:val="00BC1511"/>
    <w:rsid w:val="00BC17BE"/>
    <w:rsid w:val="00BC1F00"/>
    <w:rsid w:val="00BC27DC"/>
    <w:rsid w:val="00BC2FCC"/>
    <w:rsid w:val="00BC468A"/>
    <w:rsid w:val="00BC4F3C"/>
    <w:rsid w:val="00BC7D24"/>
    <w:rsid w:val="00BD0413"/>
    <w:rsid w:val="00BD0C96"/>
    <w:rsid w:val="00BD1B1A"/>
    <w:rsid w:val="00BD2E17"/>
    <w:rsid w:val="00BD43E5"/>
    <w:rsid w:val="00BD483E"/>
    <w:rsid w:val="00BD6E3E"/>
    <w:rsid w:val="00BD7B1A"/>
    <w:rsid w:val="00BE24FC"/>
    <w:rsid w:val="00BE2ED0"/>
    <w:rsid w:val="00BE3370"/>
    <w:rsid w:val="00BE3B2E"/>
    <w:rsid w:val="00BE4286"/>
    <w:rsid w:val="00BE4622"/>
    <w:rsid w:val="00BE5FB9"/>
    <w:rsid w:val="00BE647C"/>
    <w:rsid w:val="00BE650A"/>
    <w:rsid w:val="00BE655B"/>
    <w:rsid w:val="00BE7CC4"/>
    <w:rsid w:val="00BF0C63"/>
    <w:rsid w:val="00BF268F"/>
    <w:rsid w:val="00BF385C"/>
    <w:rsid w:val="00BF5F48"/>
    <w:rsid w:val="00BF6B96"/>
    <w:rsid w:val="00C00E7C"/>
    <w:rsid w:val="00C03042"/>
    <w:rsid w:val="00C0349A"/>
    <w:rsid w:val="00C04346"/>
    <w:rsid w:val="00C04A7D"/>
    <w:rsid w:val="00C06232"/>
    <w:rsid w:val="00C06A01"/>
    <w:rsid w:val="00C079DC"/>
    <w:rsid w:val="00C10F2B"/>
    <w:rsid w:val="00C120C0"/>
    <w:rsid w:val="00C13270"/>
    <w:rsid w:val="00C13EF0"/>
    <w:rsid w:val="00C14AF4"/>
    <w:rsid w:val="00C14B4E"/>
    <w:rsid w:val="00C15A21"/>
    <w:rsid w:val="00C17AAA"/>
    <w:rsid w:val="00C200BD"/>
    <w:rsid w:val="00C202C8"/>
    <w:rsid w:val="00C20A27"/>
    <w:rsid w:val="00C22EBB"/>
    <w:rsid w:val="00C24ED8"/>
    <w:rsid w:val="00C2545A"/>
    <w:rsid w:val="00C25BE0"/>
    <w:rsid w:val="00C26BA5"/>
    <w:rsid w:val="00C30AB4"/>
    <w:rsid w:val="00C3120B"/>
    <w:rsid w:val="00C31CC0"/>
    <w:rsid w:val="00C3203A"/>
    <w:rsid w:val="00C3299F"/>
    <w:rsid w:val="00C33045"/>
    <w:rsid w:val="00C35266"/>
    <w:rsid w:val="00C364F8"/>
    <w:rsid w:val="00C37210"/>
    <w:rsid w:val="00C41A41"/>
    <w:rsid w:val="00C42811"/>
    <w:rsid w:val="00C4306B"/>
    <w:rsid w:val="00C45162"/>
    <w:rsid w:val="00C46EA7"/>
    <w:rsid w:val="00C47320"/>
    <w:rsid w:val="00C50564"/>
    <w:rsid w:val="00C509D3"/>
    <w:rsid w:val="00C50FD2"/>
    <w:rsid w:val="00C522A9"/>
    <w:rsid w:val="00C553F0"/>
    <w:rsid w:val="00C574AA"/>
    <w:rsid w:val="00C60191"/>
    <w:rsid w:val="00C60BBD"/>
    <w:rsid w:val="00C614E1"/>
    <w:rsid w:val="00C618AC"/>
    <w:rsid w:val="00C62915"/>
    <w:rsid w:val="00C63CA5"/>
    <w:rsid w:val="00C66EC6"/>
    <w:rsid w:val="00C67CDD"/>
    <w:rsid w:val="00C734E1"/>
    <w:rsid w:val="00C73591"/>
    <w:rsid w:val="00C73E7E"/>
    <w:rsid w:val="00C74661"/>
    <w:rsid w:val="00C746AE"/>
    <w:rsid w:val="00C75C12"/>
    <w:rsid w:val="00C75EC6"/>
    <w:rsid w:val="00C850F4"/>
    <w:rsid w:val="00C85510"/>
    <w:rsid w:val="00C86283"/>
    <w:rsid w:val="00C8797D"/>
    <w:rsid w:val="00C902D7"/>
    <w:rsid w:val="00C94463"/>
    <w:rsid w:val="00C94CD6"/>
    <w:rsid w:val="00C952AD"/>
    <w:rsid w:val="00C95593"/>
    <w:rsid w:val="00C955D9"/>
    <w:rsid w:val="00C96388"/>
    <w:rsid w:val="00C9647E"/>
    <w:rsid w:val="00C9661C"/>
    <w:rsid w:val="00C971CD"/>
    <w:rsid w:val="00CA10EB"/>
    <w:rsid w:val="00CA27D5"/>
    <w:rsid w:val="00CA28AC"/>
    <w:rsid w:val="00CA31D5"/>
    <w:rsid w:val="00CA5B78"/>
    <w:rsid w:val="00CA6695"/>
    <w:rsid w:val="00CA70B9"/>
    <w:rsid w:val="00CB2D58"/>
    <w:rsid w:val="00CB2E5F"/>
    <w:rsid w:val="00CB4835"/>
    <w:rsid w:val="00CB511B"/>
    <w:rsid w:val="00CB58B7"/>
    <w:rsid w:val="00CC1544"/>
    <w:rsid w:val="00CC19FB"/>
    <w:rsid w:val="00CC1C5B"/>
    <w:rsid w:val="00CC3809"/>
    <w:rsid w:val="00CC5943"/>
    <w:rsid w:val="00CC5A54"/>
    <w:rsid w:val="00CC72D0"/>
    <w:rsid w:val="00CC7744"/>
    <w:rsid w:val="00CC78F8"/>
    <w:rsid w:val="00CD058E"/>
    <w:rsid w:val="00CD1306"/>
    <w:rsid w:val="00CD2B0B"/>
    <w:rsid w:val="00CD2C94"/>
    <w:rsid w:val="00CD3F58"/>
    <w:rsid w:val="00CD4130"/>
    <w:rsid w:val="00CD44C8"/>
    <w:rsid w:val="00CD5A0E"/>
    <w:rsid w:val="00CD666C"/>
    <w:rsid w:val="00CD725E"/>
    <w:rsid w:val="00CD74B8"/>
    <w:rsid w:val="00CD7C25"/>
    <w:rsid w:val="00CE05E3"/>
    <w:rsid w:val="00CE30A6"/>
    <w:rsid w:val="00CE3106"/>
    <w:rsid w:val="00CE42A1"/>
    <w:rsid w:val="00CE6738"/>
    <w:rsid w:val="00CE7C01"/>
    <w:rsid w:val="00CF2024"/>
    <w:rsid w:val="00CF3FBF"/>
    <w:rsid w:val="00CF4AD8"/>
    <w:rsid w:val="00CF61B6"/>
    <w:rsid w:val="00CF671F"/>
    <w:rsid w:val="00CF6C6D"/>
    <w:rsid w:val="00CF6E18"/>
    <w:rsid w:val="00CF7EDE"/>
    <w:rsid w:val="00D00503"/>
    <w:rsid w:val="00D00846"/>
    <w:rsid w:val="00D01638"/>
    <w:rsid w:val="00D01950"/>
    <w:rsid w:val="00D02C89"/>
    <w:rsid w:val="00D04919"/>
    <w:rsid w:val="00D052B4"/>
    <w:rsid w:val="00D07D9B"/>
    <w:rsid w:val="00D07E33"/>
    <w:rsid w:val="00D10076"/>
    <w:rsid w:val="00D12778"/>
    <w:rsid w:val="00D131D2"/>
    <w:rsid w:val="00D13B5A"/>
    <w:rsid w:val="00D1488F"/>
    <w:rsid w:val="00D153CF"/>
    <w:rsid w:val="00D161EC"/>
    <w:rsid w:val="00D16690"/>
    <w:rsid w:val="00D17EF2"/>
    <w:rsid w:val="00D20645"/>
    <w:rsid w:val="00D20D4C"/>
    <w:rsid w:val="00D2131D"/>
    <w:rsid w:val="00D21392"/>
    <w:rsid w:val="00D22AD5"/>
    <w:rsid w:val="00D23A87"/>
    <w:rsid w:val="00D2449C"/>
    <w:rsid w:val="00D24AAD"/>
    <w:rsid w:val="00D252D1"/>
    <w:rsid w:val="00D25579"/>
    <w:rsid w:val="00D2758D"/>
    <w:rsid w:val="00D3177D"/>
    <w:rsid w:val="00D31F06"/>
    <w:rsid w:val="00D32ECE"/>
    <w:rsid w:val="00D337D1"/>
    <w:rsid w:val="00D33EFF"/>
    <w:rsid w:val="00D34452"/>
    <w:rsid w:val="00D34F4F"/>
    <w:rsid w:val="00D357D2"/>
    <w:rsid w:val="00D35822"/>
    <w:rsid w:val="00D35E5E"/>
    <w:rsid w:val="00D3632A"/>
    <w:rsid w:val="00D406B9"/>
    <w:rsid w:val="00D419E4"/>
    <w:rsid w:val="00D41FA2"/>
    <w:rsid w:val="00D420DA"/>
    <w:rsid w:val="00D4305E"/>
    <w:rsid w:val="00D43E31"/>
    <w:rsid w:val="00D463A3"/>
    <w:rsid w:val="00D478C9"/>
    <w:rsid w:val="00D50283"/>
    <w:rsid w:val="00D5127D"/>
    <w:rsid w:val="00D53CEB"/>
    <w:rsid w:val="00D551C8"/>
    <w:rsid w:val="00D5600F"/>
    <w:rsid w:val="00D60604"/>
    <w:rsid w:val="00D61601"/>
    <w:rsid w:val="00D64154"/>
    <w:rsid w:val="00D64409"/>
    <w:rsid w:val="00D66608"/>
    <w:rsid w:val="00D675F9"/>
    <w:rsid w:val="00D6772B"/>
    <w:rsid w:val="00D70300"/>
    <w:rsid w:val="00D71F7D"/>
    <w:rsid w:val="00D71F97"/>
    <w:rsid w:val="00D7239D"/>
    <w:rsid w:val="00D72E1E"/>
    <w:rsid w:val="00D73421"/>
    <w:rsid w:val="00D73EE9"/>
    <w:rsid w:val="00D7450E"/>
    <w:rsid w:val="00D74A41"/>
    <w:rsid w:val="00D75F47"/>
    <w:rsid w:val="00D76907"/>
    <w:rsid w:val="00D81262"/>
    <w:rsid w:val="00D8157F"/>
    <w:rsid w:val="00D81644"/>
    <w:rsid w:val="00D82239"/>
    <w:rsid w:val="00D828F2"/>
    <w:rsid w:val="00D84DDF"/>
    <w:rsid w:val="00D85D6C"/>
    <w:rsid w:val="00D8754E"/>
    <w:rsid w:val="00D918DE"/>
    <w:rsid w:val="00D9441D"/>
    <w:rsid w:val="00D95611"/>
    <w:rsid w:val="00D95AC1"/>
    <w:rsid w:val="00D95AEB"/>
    <w:rsid w:val="00D9731F"/>
    <w:rsid w:val="00DA04ED"/>
    <w:rsid w:val="00DA166D"/>
    <w:rsid w:val="00DA23C1"/>
    <w:rsid w:val="00DA35CD"/>
    <w:rsid w:val="00DA664C"/>
    <w:rsid w:val="00DA6FD7"/>
    <w:rsid w:val="00DA791C"/>
    <w:rsid w:val="00DB09E9"/>
    <w:rsid w:val="00DB17A2"/>
    <w:rsid w:val="00DB1D74"/>
    <w:rsid w:val="00DB1F05"/>
    <w:rsid w:val="00DB25E4"/>
    <w:rsid w:val="00DB3596"/>
    <w:rsid w:val="00DB36C2"/>
    <w:rsid w:val="00DB45EC"/>
    <w:rsid w:val="00DB48F6"/>
    <w:rsid w:val="00DB4917"/>
    <w:rsid w:val="00DB5F07"/>
    <w:rsid w:val="00DB6524"/>
    <w:rsid w:val="00DB69E9"/>
    <w:rsid w:val="00DB6D0F"/>
    <w:rsid w:val="00DC14F0"/>
    <w:rsid w:val="00DC186F"/>
    <w:rsid w:val="00DC1945"/>
    <w:rsid w:val="00DC3DE0"/>
    <w:rsid w:val="00DC471F"/>
    <w:rsid w:val="00DC4D19"/>
    <w:rsid w:val="00DC5D87"/>
    <w:rsid w:val="00DC5F57"/>
    <w:rsid w:val="00DC68C9"/>
    <w:rsid w:val="00DD1B1B"/>
    <w:rsid w:val="00DD32DC"/>
    <w:rsid w:val="00DD467E"/>
    <w:rsid w:val="00DD617D"/>
    <w:rsid w:val="00DD6B87"/>
    <w:rsid w:val="00DD6FAB"/>
    <w:rsid w:val="00DE04E0"/>
    <w:rsid w:val="00DE06E0"/>
    <w:rsid w:val="00DE39C4"/>
    <w:rsid w:val="00DE55FF"/>
    <w:rsid w:val="00DE5F6F"/>
    <w:rsid w:val="00DE79D3"/>
    <w:rsid w:val="00DE7F03"/>
    <w:rsid w:val="00DF0C53"/>
    <w:rsid w:val="00DF2F4B"/>
    <w:rsid w:val="00DF3D02"/>
    <w:rsid w:val="00DF484B"/>
    <w:rsid w:val="00DF521D"/>
    <w:rsid w:val="00DF567C"/>
    <w:rsid w:val="00DF5D94"/>
    <w:rsid w:val="00DF71A3"/>
    <w:rsid w:val="00E00448"/>
    <w:rsid w:val="00E00B23"/>
    <w:rsid w:val="00E00D4B"/>
    <w:rsid w:val="00E0117D"/>
    <w:rsid w:val="00E01CA9"/>
    <w:rsid w:val="00E0310F"/>
    <w:rsid w:val="00E03125"/>
    <w:rsid w:val="00E043CE"/>
    <w:rsid w:val="00E04D95"/>
    <w:rsid w:val="00E0769B"/>
    <w:rsid w:val="00E10B5C"/>
    <w:rsid w:val="00E11760"/>
    <w:rsid w:val="00E119E8"/>
    <w:rsid w:val="00E12973"/>
    <w:rsid w:val="00E141EC"/>
    <w:rsid w:val="00E14792"/>
    <w:rsid w:val="00E14DAE"/>
    <w:rsid w:val="00E155FA"/>
    <w:rsid w:val="00E16600"/>
    <w:rsid w:val="00E169CD"/>
    <w:rsid w:val="00E205A2"/>
    <w:rsid w:val="00E2136A"/>
    <w:rsid w:val="00E217A2"/>
    <w:rsid w:val="00E2280E"/>
    <w:rsid w:val="00E228DE"/>
    <w:rsid w:val="00E23208"/>
    <w:rsid w:val="00E234A9"/>
    <w:rsid w:val="00E24758"/>
    <w:rsid w:val="00E256BF"/>
    <w:rsid w:val="00E25EEE"/>
    <w:rsid w:val="00E2763D"/>
    <w:rsid w:val="00E27CFF"/>
    <w:rsid w:val="00E308DF"/>
    <w:rsid w:val="00E335F5"/>
    <w:rsid w:val="00E3374A"/>
    <w:rsid w:val="00E345DB"/>
    <w:rsid w:val="00E3545D"/>
    <w:rsid w:val="00E3574A"/>
    <w:rsid w:val="00E35A46"/>
    <w:rsid w:val="00E36123"/>
    <w:rsid w:val="00E40533"/>
    <w:rsid w:val="00E405B8"/>
    <w:rsid w:val="00E413C9"/>
    <w:rsid w:val="00E435D8"/>
    <w:rsid w:val="00E4448D"/>
    <w:rsid w:val="00E44B2A"/>
    <w:rsid w:val="00E46F96"/>
    <w:rsid w:val="00E475AC"/>
    <w:rsid w:val="00E50D28"/>
    <w:rsid w:val="00E51807"/>
    <w:rsid w:val="00E51BD1"/>
    <w:rsid w:val="00E53642"/>
    <w:rsid w:val="00E53896"/>
    <w:rsid w:val="00E541B4"/>
    <w:rsid w:val="00E5463E"/>
    <w:rsid w:val="00E54F83"/>
    <w:rsid w:val="00E5597A"/>
    <w:rsid w:val="00E55ABB"/>
    <w:rsid w:val="00E5686D"/>
    <w:rsid w:val="00E57199"/>
    <w:rsid w:val="00E57808"/>
    <w:rsid w:val="00E57B6B"/>
    <w:rsid w:val="00E6038C"/>
    <w:rsid w:val="00E60876"/>
    <w:rsid w:val="00E60BCA"/>
    <w:rsid w:val="00E62FEA"/>
    <w:rsid w:val="00E64602"/>
    <w:rsid w:val="00E64AB3"/>
    <w:rsid w:val="00E659E5"/>
    <w:rsid w:val="00E67B60"/>
    <w:rsid w:val="00E67D90"/>
    <w:rsid w:val="00E72931"/>
    <w:rsid w:val="00E72B09"/>
    <w:rsid w:val="00E74DC5"/>
    <w:rsid w:val="00E75380"/>
    <w:rsid w:val="00E7665D"/>
    <w:rsid w:val="00E766DF"/>
    <w:rsid w:val="00E76751"/>
    <w:rsid w:val="00E7698F"/>
    <w:rsid w:val="00E76FA4"/>
    <w:rsid w:val="00E81115"/>
    <w:rsid w:val="00E8172C"/>
    <w:rsid w:val="00E81F35"/>
    <w:rsid w:val="00E82A56"/>
    <w:rsid w:val="00E82B1A"/>
    <w:rsid w:val="00E82DAA"/>
    <w:rsid w:val="00E831D7"/>
    <w:rsid w:val="00E83D8A"/>
    <w:rsid w:val="00E85E68"/>
    <w:rsid w:val="00E90731"/>
    <w:rsid w:val="00E91452"/>
    <w:rsid w:val="00E95A84"/>
    <w:rsid w:val="00E96CB5"/>
    <w:rsid w:val="00E9789E"/>
    <w:rsid w:val="00E97BF4"/>
    <w:rsid w:val="00E97FA3"/>
    <w:rsid w:val="00EA0B74"/>
    <w:rsid w:val="00EA184B"/>
    <w:rsid w:val="00EA2A88"/>
    <w:rsid w:val="00EA3E93"/>
    <w:rsid w:val="00EA78FF"/>
    <w:rsid w:val="00EA7E7C"/>
    <w:rsid w:val="00EB002B"/>
    <w:rsid w:val="00EB03D6"/>
    <w:rsid w:val="00EB094A"/>
    <w:rsid w:val="00EB0A53"/>
    <w:rsid w:val="00EB1CEB"/>
    <w:rsid w:val="00EB21E9"/>
    <w:rsid w:val="00EB2706"/>
    <w:rsid w:val="00EB279B"/>
    <w:rsid w:val="00EB293E"/>
    <w:rsid w:val="00EB2CA5"/>
    <w:rsid w:val="00EB3E0F"/>
    <w:rsid w:val="00EB43FD"/>
    <w:rsid w:val="00EB44BE"/>
    <w:rsid w:val="00EB4682"/>
    <w:rsid w:val="00EB477D"/>
    <w:rsid w:val="00EB4DCB"/>
    <w:rsid w:val="00EB77D7"/>
    <w:rsid w:val="00EB7FCF"/>
    <w:rsid w:val="00EC0C48"/>
    <w:rsid w:val="00EC11C0"/>
    <w:rsid w:val="00EC12FB"/>
    <w:rsid w:val="00EC28E5"/>
    <w:rsid w:val="00EC5183"/>
    <w:rsid w:val="00EC5B19"/>
    <w:rsid w:val="00EC6350"/>
    <w:rsid w:val="00EC6B93"/>
    <w:rsid w:val="00EC741D"/>
    <w:rsid w:val="00ED40E7"/>
    <w:rsid w:val="00ED44BA"/>
    <w:rsid w:val="00ED48FB"/>
    <w:rsid w:val="00ED5140"/>
    <w:rsid w:val="00ED7A05"/>
    <w:rsid w:val="00ED7D4B"/>
    <w:rsid w:val="00EE0868"/>
    <w:rsid w:val="00EE1372"/>
    <w:rsid w:val="00EE1BFF"/>
    <w:rsid w:val="00EE1F4E"/>
    <w:rsid w:val="00EE585D"/>
    <w:rsid w:val="00EF0B62"/>
    <w:rsid w:val="00EF1989"/>
    <w:rsid w:val="00EF3A40"/>
    <w:rsid w:val="00EF468B"/>
    <w:rsid w:val="00EF5429"/>
    <w:rsid w:val="00EF7D7A"/>
    <w:rsid w:val="00F0078E"/>
    <w:rsid w:val="00F02857"/>
    <w:rsid w:val="00F03424"/>
    <w:rsid w:val="00F04CDD"/>
    <w:rsid w:val="00F053A7"/>
    <w:rsid w:val="00F0606D"/>
    <w:rsid w:val="00F06858"/>
    <w:rsid w:val="00F071A7"/>
    <w:rsid w:val="00F0778D"/>
    <w:rsid w:val="00F077D3"/>
    <w:rsid w:val="00F07E0C"/>
    <w:rsid w:val="00F1025E"/>
    <w:rsid w:val="00F10B1C"/>
    <w:rsid w:val="00F1224A"/>
    <w:rsid w:val="00F1328C"/>
    <w:rsid w:val="00F13817"/>
    <w:rsid w:val="00F13939"/>
    <w:rsid w:val="00F13B21"/>
    <w:rsid w:val="00F13F0C"/>
    <w:rsid w:val="00F14463"/>
    <w:rsid w:val="00F1653E"/>
    <w:rsid w:val="00F16C75"/>
    <w:rsid w:val="00F17FE9"/>
    <w:rsid w:val="00F2128C"/>
    <w:rsid w:val="00F23291"/>
    <w:rsid w:val="00F23B66"/>
    <w:rsid w:val="00F23DFE"/>
    <w:rsid w:val="00F25284"/>
    <w:rsid w:val="00F25BF6"/>
    <w:rsid w:val="00F26CA1"/>
    <w:rsid w:val="00F27A83"/>
    <w:rsid w:val="00F31416"/>
    <w:rsid w:val="00F319B9"/>
    <w:rsid w:val="00F32788"/>
    <w:rsid w:val="00F33190"/>
    <w:rsid w:val="00F332A2"/>
    <w:rsid w:val="00F337B2"/>
    <w:rsid w:val="00F33D36"/>
    <w:rsid w:val="00F35BC0"/>
    <w:rsid w:val="00F3745D"/>
    <w:rsid w:val="00F40218"/>
    <w:rsid w:val="00F4080E"/>
    <w:rsid w:val="00F41841"/>
    <w:rsid w:val="00F436B4"/>
    <w:rsid w:val="00F44E39"/>
    <w:rsid w:val="00F45799"/>
    <w:rsid w:val="00F46C39"/>
    <w:rsid w:val="00F4755A"/>
    <w:rsid w:val="00F50554"/>
    <w:rsid w:val="00F532F9"/>
    <w:rsid w:val="00F535C1"/>
    <w:rsid w:val="00F53821"/>
    <w:rsid w:val="00F547A2"/>
    <w:rsid w:val="00F555C6"/>
    <w:rsid w:val="00F55A39"/>
    <w:rsid w:val="00F60727"/>
    <w:rsid w:val="00F60CC6"/>
    <w:rsid w:val="00F619AD"/>
    <w:rsid w:val="00F622E8"/>
    <w:rsid w:val="00F63895"/>
    <w:rsid w:val="00F63F4E"/>
    <w:rsid w:val="00F64822"/>
    <w:rsid w:val="00F65CB3"/>
    <w:rsid w:val="00F663C7"/>
    <w:rsid w:val="00F66B4C"/>
    <w:rsid w:val="00F6759D"/>
    <w:rsid w:val="00F707E3"/>
    <w:rsid w:val="00F70A77"/>
    <w:rsid w:val="00F7192D"/>
    <w:rsid w:val="00F71CD0"/>
    <w:rsid w:val="00F71FC5"/>
    <w:rsid w:val="00F73049"/>
    <w:rsid w:val="00F7378F"/>
    <w:rsid w:val="00F77609"/>
    <w:rsid w:val="00F80AE5"/>
    <w:rsid w:val="00F846D6"/>
    <w:rsid w:val="00F84E50"/>
    <w:rsid w:val="00F9065F"/>
    <w:rsid w:val="00F91073"/>
    <w:rsid w:val="00F9142F"/>
    <w:rsid w:val="00F91F5A"/>
    <w:rsid w:val="00F92F01"/>
    <w:rsid w:val="00F941C2"/>
    <w:rsid w:val="00F95B2C"/>
    <w:rsid w:val="00F9634D"/>
    <w:rsid w:val="00F971E5"/>
    <w:rsid w:val="00F9788B"/>
    <w:rsid w:val="00FA0AA2"/>
    <w:rsid w:val="00FA509B"/>
    <w:rsid w:val="00FB0CEE"/>
    <w:rsid w:val="00FB0F81"/>
    <w:rsid w:val="00FB1770"/>
    <w:rsid w:val="00FB17F6"/>
    <w:rsid w:val="00FB20C3"/>
    <w:rsid w:val="00FB2F17"/>
    <w:rsid w:val="00FB2F90"/>
    <w:rsid w:val="00FB30BE"/>
    <w:rsid w:val="00FB3263"/>
    <w:rsid w:val="00FB5122"/>
    <w:rsid w:val="00FB5CFE"/>
    <w:rsid w:val="00FB6ED3"/>
    <w:rsid w:val="00FB79D5"/>
    <w:rsid w:val="00FC059D"/>
    <w:rsid w:val="00FC07D5"/>
    <w:rsid w:val="00FC0D50"/>
    <w:rsid w:val="00FC3832"/>
    <w:rsid w:val="00FC4514"/>
    <w:rsid w:val="00FC4754"/>
    <w:rsid w:val="00FC6BFA"/>
    <w:rsid w:val="00FC6D39"/>
    <w:rsid w:val="00FD1B35"/>
    <w:rsid w:val="00FD1F2A"/>
    <w:rsid w:val="00FD22DB"/>
    <w:rsid w:val="00FD23E5"/>
    <w:rsid w:val="00FD4195"/>
    <w:rsid w:val="00FD57AD"/>
    <w:rsid w:val="00FD5FBF"/>
    <w:rsid w:val="00FD6984"/>
    <w:rsid w:val="00FE04C1"/>
    <w:rsid w:val="00FE0ACD"/>
    <w:rsid w:val="00FE1C6D"/>
    <w:rsid w:val="00FE2060"/>
    <w:rsid w:val="00FE41CB"/>
    <w:rsid w:val="00FE574F"/>
    <w:rsid w:val="00FE610F"/>
    <w:rsid w:val="00FE6328"/>
    <w:rsid w:val="00FE7FF2"/>
    <w:rsid w:val="00FF029E"/>
    <w:rsid w:val="00FF0918"/>
    <w:rsid w:val="00FF0A78"/>
    <w:rsid w:val="00FF160F"/>
    <w:rsid w:val="00FF2332"/>
    <w:rsid w:val="00FF2603"/>
    <w:rsid w:val="00FF48F9"/>
    <w:rsid w:val="00FF4D66"/>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D1B49E2"/>
  <w14:defaultImageDpi w14:val="96"/>
  <w15:docId w15:val="{F1C6510C-D0FB-4DAA-9AAD-88DA457B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Default Paragraph Font" w:uiPriority="1"/>
    <w:lsdException w:name="Body Text" w:uiPriority="99"/>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rPr>
      <w:rFonts w:ascii="Arial" w:hAnsi="Arial"/>
      <w:sz w:val="24"/>
      <w:szCs w:val="24"/>
      <w:lang w:eastAsia="en-US"/>
    </w:rPr>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A549AF"/>
    <w:pPr>
      <w:keepNext/>
      <w:keepLines/>
      <w:spacing w:before="240" w:after="120"/>
      <w:outlineLvl w:val="1"/>
    </w:pPr>
    <w:rPr>
      <w:rFonts w:ascii="Arial Bold" w:hAnsi="Arial Bold" w:cs="Arial"/>
      <w:b/>
      <w:bCs/>
      <w:color w:val="000000"/>
      <w:sz w:val="26"/>
      <w:szCs w:val="22"/>
      <w:lang w:eastAsia="en-GB"/>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lang w:eastAsia="en-GB"/>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locked/>
    <w:rsid w:val="00A549AF"/>
    <w:rPr>
      <w:rFonts w:ascii="Arial Bold" w:hAnsi="Arial Bold" w:cs="Arial"/>
      <w:b/>
      <w:bCs/>
      <w:color w:val="000000"/>
      <w:sz w:val="26"/>
      <w:szCs w:val="22"/>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szCs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lang w:eastAsia="en-GB"/>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szCs w:val="20"/>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aliases w:val="Char, Char"/>
    <w:basedOn w:val="Normal"/>
    <w:link w:val="FootnoteTextChar"/>
    <w:uiPriority w:val="99"/>
    <w:rsid w:val="00490FF7"/>
    <w:rPr>
      <w:rFonts w:eastAsia="SimSun"/>
      <w:sz w:val="16"/>
      <w:szCs w:val="20"/>
      <w:lang w:eastAsia="zh-CN"/>
    </w:rPr>
  </w:style>
  <w:style w:type="character" w:customStyle="1" w:styleId="FootnoteTextChar">
    <w:name w:val="Footnote Text Char"/>
    <w:aliases w:val="Char Char, Char Char"/>
    <w:basedOn w:val="DefaultParagraphFont"/>
    <w:link w:val="FootnoteText"/>
    <w:uiPriority w:val="99"/>
    <w:locked/>
    <w:rPr>
      <w:rFonts w:ascii="Arial" w:hAnsi="Arial" w:cs="Times New Roman"/>
      <w:lang w:val="x-none" w:eastAsia="en-US"/>
    </w:rPr>
  </w:style>
  <w:style w:type="character" w:styleId="FootnoteReference">
    <w:name w:val="footnote reference"/>
    <w:aliases w:val="FR"/>
    <w:basedOn w:val="DefaultParagraphFont"/>
    <w:uiPriority w:val="99"/>
    <w:rsid w:val="00B84190"/>
    <w:rPr>
      <w:rFonts w:cs="Times New Roman"/>
      <w:sz w:val="22"/>
      <w:vertAlign w:val="superscript"/>
    </w:rPr>
  </w:style>
  <w:style w:type="paragraph" w:customStyle="1" w:styleId="EBBodyPara">
    <w:name w:val="EBBodyPara"/>
    <w:basedOn w:val="BodyText"/>
    <w:link w:val="EBBodyParaChar"/>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20"/>
      </w:numPr>
    </w:pPr>
  </w:style>
  <w:style w:type="paragraph" w:customStyle="1" w:styleId="EBNumberRestart">
    <w:name w:val="EBNumberRestart"/>
    <w:basedOn w:val="BodyText"/>
    <w:next w:val="EBNumber"/>
    <w:rsid w:val="002B7335"/>
    <w:pPr>
      <w:numPr>
        <w:numId w:val="20"/>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2"/>
      </w:numPr>
      <w:ind w:left="0"/>
    </w:pPr>
  </w:style>
  <w:style w:type="character" w:styleId="Hyperlink">
    <w:name w:val="Hyperlink"/>
    <w:basedOn w:val="DefaultParagraphFont"/>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17"/>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rPr>
      <w:rFonts w:ascii="Times New Roman" w:hAnsi="Times New Roman"/>
      <w:lang w:eastAsia="en-GB"/>
    </w:r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customStyle="1" w:styleId="UnresolvedMention1">
    <w:name w:val="Unresolved Mention1"/>
    <w:basedOn w:val="DefaultParagraphFont"/>
    <w:uiPriority w:val="99"/>
    <w:semiHidden/>
    <w:unhideWhenUsed/>
    <w:rsid w:val="00D64409"/>
    <w:rPr>
      <w:color w:val="605E5C"/>
      <w:shd w:val="clear" w:color="auto" w:fill="E1DFDD"/>
    </w:rPr>
  </w:style>
  <w:style w:type="paragraph" w:styleId="ListParagraph">
    <w:name w:val="List Paragraph"/>
    <w:basedOn w:val="Normal"/>
    <w:uiPriority w:val="34"/>
    <w:qFormat/>
    <w:rsid w:val="00D64409"/>
    <w:pPr>
      <w:ind w:left="720"/>
      <w:contextualSpacing/>
    </w:pPr>
  </w:style>
  <w:style w:type="paragraph" w:styleId="NormalWeb">
    <w:name w:val="Normal (Web)"/>
    <w:basedOn w:val="Normal"/>
    <w:uiPriority w:val="99"/>
    <w:unhideWhenUsed/>
    <w:rsid w:val="000918F2"/>
    <w:pPr>
      <w:spacing w:before="100" w:beforeAutospacing="1" w:after="100" w:afterAutospacing="1"/>
    </w:pPr>
    <w:rPr>
      <w:rFonts w:ascii="Times New Roman" w:hAnsi="Times New Roman"/>
      <w:lang w:eastAsia="en-GB"/>
    </w:rPr>
  </w:style>
  <w:style w:type="paragraph" w:customStyle="1" w:styleId="Text2">
    <w:name w:val="Text 2"/>
    <w:basedOn w:val="Normal"/>
    <w:link w:val="Text2Char"/>
    <w:qFormat/>
    <w:rsid w:val="007523FD"/>
    <w:pPr>
      <w:tabs>
        <w:tab w:val="num" w:pos="624"/>
      </w:tabs>
      <w:spacing w:after="240" w:line="264" w:lineRule="auto"/>
      <w:ind w:left="624" w:hanging="624"/>
    </w:pPr>
    <w:rPr>
      <w:rFonts w:eastAsia="Calibri" w:cs="Arial"/>
      <w:sz w:val="22"/>
      <w:szCs w:val="22"/>
      <w:lang w:bidi="he-IL"/>
    </w:rPr>
  </w:style>
  <w:style w:type="paragraph" w:customStyle="1" w:styleId="Text3">
    <w:name w:val="Text 3"/>
    <w:basedOn w:val="Normal"/>
    <w:qFormat/>
    <w:rsid w:val="007523FD"/>
    <w:pPr>
      <w:tabs>
        <w:tab w:val="num" w:pos="1247"/>
      </w:tabs>
      <w:spacing w:after="240" w:line="264" w:lineRule="auto"/>
      <w:ind w:left="1247" w:hanging="623"/>
    </w:pPr>
    <w:rPr>
      <w:rFonts w:eastAsia="Calibri" w:cs="Arial"/>
      <w:sz w:val="22"/>
      <w:szCs w:val="22"/>
      <w:lang w:bidi="he-IL"/>
    </w:rPr>
  </w:style>
  <w:style w:type="paragraph" w:customStyle="1" w:styleId="Text4">
    <w:name w:val="Text 4"/>
    <w:basedOn w:val="Normal"/>
    <w:uiPriority w:val="99"/>
    <w:qFormat/>
    <w:rsid w:val="007523FD"/>
    <w:pPr>
      <w:tabs>
        <w:tab w:val="num" w:pos="1871"/>
      </w:tabs>
      <w:spacing w:after="240" w:line="264" w:lineRule="auto"/>
      <w:ind w:left="1871" w:hanging="624"/>
    </w:pPr>
    <w:rPr>
      <w:rFonts w:eastAsia="Calibri" w:cs="Arial"/>
      <w:sz w:val="22"/>
      <w:szCs w:val="22"/>
      <w:lang w:bidi="he-IL"/>
    </w:rPr>
  </w:style>
  <w:style w:type="paragraph" w:customStyle="1" w:styleId="Text5">
    <w:name w:val="Text 5"/>
    <w:basedOn w:val="Normal"/>
    <w:uiPriority w:val="99"/>
    <w:qFormat/>
    <w:rsid w:val="007523FD"/>
    <w:pPr>
      <w:tabs>
        <w:tab w:val="num" w:pos="2495"/>
      </w:tabs>
      <w:spacing w:after="240" w:line="264" w:lineRule="auto"/>
      <w:ind w:left="2495" w:hanging="624"/>
    </w:pPr>
    <w:rPr>
      <w:rFonts w:eastAsia="Calibri" w:cs="Arial"/>
      <w:sz w:val="22"/>
      <w:szCs w:val="22"/>
      <w:lang w:bidi="he-IL"/>
    </w:rPr>
  </w:style>
  <w:style w:type="paragraph" w:customStyle="1" w:styleId="Text6">
    <w:name w:val="Text 6"/>
    <w:basedOn w:val="Normal"/>
    <w:uiPriority w:val="99"/>
    <w:qFormat/>
    <w:rsid w:val="007523FD"/>
    <w:pPr>
      <w:tabs>
        <w:tab w:val="num" w:pos="3119"/>
      </w:tabs>
      <w:spacing w:after="240" w:line="264" w:lineRule="auto"/>
      <w:ind w:left="3119" w:hanging="624"/>
    </w:pPr>
    <w:rPr>
      <w:rFonts w:eastAsia="Calibri" w:cs="Arial"/>
      <w:sz w:val="22"/>
      <w:szCs w:val="22"/>
      <w:lang w:bidi="he-IL"/>
    </w:rPr>
  </w:style>
  <w:style w:type="paragraph" w:customStyle="1" w:styleId="Text7">
    <w:name w:val="Text 7"/>
    <w:basedOn w:val="Normal"/>
    <w:uiPriority w:val="99"/>
    <w:qFormat/>
    <w:rsid w:val="007523FD"/>
    <w:pPr>
      <w:tabs>
        <w:tab w:val="num" w:pos="3742"/>
      </w:tabs>
      <w:spacing w:after="240" w:line="264" w:lineRule="auto"/>
      <w:ind w:left="3742" w:hanging="623"/>
    </w:pPr>
    <w:rPr>
      <w:rFonts w:eastAsia="Calibri" w:cs="Arial"/>
      <w:sz w:val="22"/>
      <w:szCs w:val="22"/>
      <w:lang w:bidi="he-IL"/>
    </w:rPr>
  </w:style>
  <w:style w:type="character" w:customStyle="1" w:styleId="Text2Char">
    <w:name w:val="Text 2 Char"/>
    <w:link w:val="Text2"/>
    <w:locked/>
    <w:rsid w:val="007523FD"/>
    <w:rPr>
      <w:rFonts w:ascii="Arial" w:eastAsia="Calibri" w:hAnsi="Arial" w:cs="Arial"/>
      <w:sz w:val="22"/>
      <w:szCs w:val="22"/>
      <w:lang w:eastAsia="en-US" w:bidi="he-IL"/>
    </w:rPr>
  </w:style>
  <w:style w:type="character" w:styleId="CommentReference">
    <w:name w:val="annotation reference"/>
    <w:basedOn w:val="DefaultParagraphFont"/>
    <w:rsid w:val="0016193F"/>
    <w:rPr>
      <w:sz w:val="16"/>
      <w:szCs w:val="16"/>
    </w:rPr>
  </w:style>
  <w:style w:type="paragraph" w:styleId="CommentText">
    <w:name w:val="annotation text"/>
    <w:basedOn w:val="Normal"/>
    <w:link w:val="CommentTextChar"/>
    <w:rsid w:val="0016193F"/>
    <w:rPr>
      <w:sz w:val="20"/>
      <w:szCs w:val="20"/>
    </w:rPr>
  </w:style>
  <w:style w:type="character" w:customStyle="1" w:styleId="CommentTextChar">
    <w:name w:val="Comment Text Char"/>
    <w:basedOn w:val="DefaultParagraphFont"/>
    <w:link w:val="CommentText"/>
    <w:rsid w:val="0016193F"/>
    <w:rPr>
      <w:rFonts w:ascii="Arial" w:hAnsi="Arial"/>
      <w:lang w:eastAsia="en-US"/>
    </w:rPr>
  </w:style>
  <w:style w:type="paragraph" w:styleId="CommentSubject">
    <w:name w:val="annotation subject"/>
    <w:basedOn w:val="CommentText"/>
    <w:next w:val="CommentText"/>
    <w:link w:val="CommentSubjectChar"/>
    <w:rsid w:val="0016193F"/>
    <w:rPr>
      <w:b/>
      <w:bCs/>
    </w:rPr>
  </w:style>
  <w:style w:type="character" w:customStyle="1" w:styleId="CommentSubjectChar">
    <w:name w:val="Comment Subject Char"/>
    <w:basedOn w:val="CommentTextChar"/>
    <w:link w:val="CommentSubject"/>
    <w:rsid w:val="0016193F"/>
    <w:rPr>
      <w:rFonts w:ascii="Arial" w:hAnsi="Arial"/>
      <w:b/>
      <w:bCs/>
      <w:lang w:eastAsia="en-US"/>
    </w:rPr>
  </w:style>
  <w:style w:type="paragraph" w:customStyle="1" w:styleId="Text2quote">
    <w:name w:val="Text 2 (quote)"/>
    <w:basedOn w:val="Normal"/>
    <w:qFormat/>
    <w:rsid w:val="005349BB"/>
    <w:pPr>
      <w:spacing w:after="240" w:line="264" w:lineRule="auto"/>
      <w:ind w:left="794"/>
    </w:pPr>
    <w:rPr>
      <w:rFonts w:eastAsia="Calibri" w:cs="Arial"/>
      <w:sz w:val="22"/>
      <w:szCs w:val="22"/>
      <w:lang w:bidi="he-IL"/>
    </w:rPr>
  </w:style>
  <w:style w:type="paragraph" w:customStyle="1" w:styleId="Default">
    <w:name w:val="Default"/>
    <w:rsid w:val="005349BB"/>
    <w:pPr>
      <w:autoSpaceDE w:val="0"/>
      <w:autoSpaceDN w:val="0"/>
      <w:adjustRightInd w:val="0"/>
    </w:pPr>
    <w:rPr>
      <w:rFonts w:ascii="Montserrat" w:eastAsiaTheme="minorHAnsi" w:hAnsi="Montserrat" w:cs="Montserrat"/>
      <w:color w:val="000000"/>
      <w:sz w:val="24"/>
      <w:szCs w:val="24"/>
      <w:lang w:eastAsia="en-US"/>
    </w:rPr>
  </w:style>
  <w:style w:type="character" w:customStyle="1" w:styleId="EBBodyParaChar">
    <w:name w:val="EBBodyPara Char"/>
    <w:basedOn w:val="BodyTextChar"/>
    <w:link w:val="EBBodyPara"/>
    <w:rsid w:val="005057E8"/>
    <w:rPr>
      <w:rFonts w:ascii="Arial" w:hAnsi="Arial" w:cs="Arial"/>
      <w:bCs/>
      <w:color w:val="000000"/>
      <w:sz w:val="22"/>
      <w:szCs w:val="22"/>
      <w:lang w:val="en-GB" w:eastAsia="en-GB"/>
    </w:rPr>
  </w:style>
  <w:style w:type="paragraph" w:styleId="Revision">
    <w:name w:val="Revision"/>
    <w:hidden/>
    <w:uiPriority w:val="99"/>
    <w:semiHidden/>
    <w:rsid w:val="00044129"/>
    <w:rPr>
      <w:rFonts w:ascii="Arial" w:hAnsi="Arial"/>
      <w:sz w:val="24"/>
      <w:szCs w:val="24"/>
      <w:lang w:eastAsia="en-US"/>
    </w:rPr>
  </w:style>
  <w:style w:type="character" w:styleId="Strong">
    <w:name w:val="Strong"/>
    <w:uiPriority w:val="22"/>
    <w:qFormat/>
    <w:rsid w:val="00257CAC"/>
    <w:rPr>
      <w:b/>
      <w:bCs/>
    </w:rPr>
  </w:style>
  <w:style w:type="paragraph" w:styleId="PlainText">
    <w:name w:val="Plain Text"/>
    <w:basedOn w:val="Normal"/>
    <w:link w:val="PlainTextChar"/>
    <w:uiPriority w:val="99"/>
    <w:unhideWhenUsed/>
    <w:rsid w:val="008671E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671E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338151">
      <w:bodyDiv w:val="1"/>
      <w:marLeft w:val="0"/>
      <w:marRight w:val="0"/>
      <w:marTop w:val="0"/>
      <w:marBottom w:val="0"/>
      <w:divBdr>
        <w:top w:val="none" w:sz="0" w:space="0" w:color="auto"/>
        <w:left w:val="none" w:sz="0" w:space="0" w:color="auto"/>
        <w:bottom w:val="none" w:sz="0" w:space="0" w:color="auto"/>
        <w:right w:val="none" w:sz="0" w:space="0" w:color="auto"/>
      </w:divBdr>
    </w:div>
    <w:div w:id="589003051">
      <w:bodyDiv w:val="1"/>
      <w:marLeft w:val="0"/>
      <w:marRight w:val="0"/>
      <w:marTop w:val="0"/>
      <w:marBottom w:val="0"/>
      <w:divBdr>
        <w:top w:val="none" w:sz="0" w:space="0" w:color="auto"/>
        <w:left w:val="none" w:sz="0" w:space="0" w:color="auto"/>
        <w:bottom w:val="none" w:sz="0" w:space="0" w:color="auto"/>
        <w:right w:val="none" w:sz="0" w:space="0" w:color="auto"/>
      </w:divBdr>
    </w:div>
    <w:div w:id="1018891861">
      <w:bodyDiv w:val="1"/>
      <w:marLeft w:val="0"/>
      <w:marRight w:val="0"/>
      <w:marTop w:val="0"/>
      <w:marBottom w:val="0"/>
      <w:divBdr>
        <w:top w:val="none" w:sz="0" w:space="0" w:color="auto"/>
        <w:left w:val="none" w:sz="0" w:space="0" w:color="auto"/>
        <w:bottom w:val="none" w:sz="0" w:space="0" w:color="auto"/>
        <w:right w:val="none" w:sz="0" w:space="0" w:color="auto"/>
      </w:divBdr>
    </w:div>
    <w:div w:id="1137646342">
      <w:bodyDiv w:val="1"/>
      <w:marLeft w:val="0"/>
      <w:marRight w:val="0"/>
      <w:marTop w:val="0"/>
      <w:marBottom w:val="0"/>
      <w:divBdr>
        <w:top w:val="none" w:sz="0" w:space="0" w:color="auto"/>
        <w:left w:val="none" w:sz="0" w:space="0" w:color="auto"/>
        <w:bottom w:val="none" w:sz="0" w:space="0" w:color="auto"/>
        <w:right w:val="none" w:sz="0" w:space="0" w:color="auto"/>
      </w:divBdr>
    </w:div>
    <w:div w:id="1182355350">
      <w:bodyDiv w:val="1"/>
      <w:marLeft w:val="0"/>
      <w:marRight w:val="0"/>
      <w:marTop w:val="0"/>
      <w:marBottom w:val="0"/>
      <w:divBdr>
        <w:top w:val="none" w:sz="0" w:space="0" w:color="auto"/>
        <w:left w:val="none" w:sz="0" w:space="0" w:color="auto"/>
        <w:bottom w:val="none" w:sz="0" w:space="0" w:color="auto"/>
        <w:right w:val="none" w:sz="0" w:space="0" w:color="auto"/>
      </w:divBdr>
    </w:div>
    <w:div w:id="1201480615">
      <w:bodyDiv w:val="1"/>
      <w:marLeft w:val="0"/>
      <w:marRight w:val="0"/>
      <w:marTop w:val="0"/>
      <w:marBottom w:val="0"/>
      <w:divBdr>
        <w:top w:val="none" w:sz="0" w:space="0" w:color="auto"/>
        <w:left w:val="none" w:sz="0" w:space="0" w:color="auto"/>
        <w:bottom w:val="none" w:sz="0" w:space="0" w:color="auto"/>
        <w:right w:val="none" w:sz="0" w:space="0" w:color="auto"/>
      </w:divBdr>
    </w:div>
    <w:div w:id="1223174612">
      <w:bodyDiv w:val="1"/>
      <w:marLeft w:val="0"/>
      <w:marRight w:val="0"/>
      <w:marTop w:val="0"/>
      <w:marBottom w:val="0"/>
      <w:divBdr>
        <w:top w:val="none" w:sz="0" w:space="0" w:color="auto"/>
        <w:left w:val="none" w:sz="0" w:space="0" w:color="auto"/>
        <w:bottom w:val="none" w:sz="0" w:space="0" w:color="auto"/>
        <w:right w:val="none" w:sz="0" w:space="0" w:color="auto"/>
      </w:divBdr>
    </w:div>
    <w:div w:id="1564564597">
      <w:bodyDiv w:val="1"/>
      <w:marLeft w:val="0"/>
      <w:marRight w:val="0"/>
      <w:marTop w:val="0"/>
      <w:marBottom w:val="0"/>
      <w:divBdr>
        <w:top w:val="none" w:sz="0" w:space="0" w:color="auto"/>
        <w:left w:val="none" w:sz="0" w:space="0" w:color="auto"/>
        <w:bottom w:val="none" w:sz="0" w:space="0" w:color="auto"/>
        <w:right w:val="none" w:sz="0" w:space="0" w:color="auto"/>
      </w:divBdr>
    </w:div>
    <w:div w:id="1776705779">
      <w:bodyDiv w:val="1"/>
      <w:marLeft w:val="0"/>
      <w:marRight w:val="0"/>
      <w:marTop w:val="0"/>
      <w:marBottom w:val="0"/>
      <w:divBdr>
        <w:top w:val="none" w:sz="0" w:space="0" w:color="auto"/>
        <w:left w:val="none" w:sz="0" w:space="0" w:color="auto"/>
        <w:bottom w:val="none" w:sz="0" w:space="0" w:color="auto"/>
        <w:right w:val="none" w:sz="0" w:space="0" w:color="auto"/>
      </w:divBdr>
    </w:div>
    <w:div w:id="1823158174">
      <w:bodyDiv w:val="1"/>
      <w:marLeft w:val="0"/>
      <w:marRight w:val="0"/>
      <w:marTop w:val="0"/>
      <w:marBottom w:val="0"/>
      <w:divBdr>
        <w:top w:val="none" w:sz="0" w:space="0" w:color="auto"/>
        <w:left w:val="none" w:sz="0" w:space="0" w:color="auto"/>
        <w:bottom w:val="none" w:sz="0" w:space="0" w:color="auto"/>
        <w:right w:val="none" w:sz="0" w:space="0" w:color="auto"/>
      </w:divBdr>
    </w:div>
    <w:div w:id="1946692553">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214526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20820/judical-fee-schedule20-21.pdf" TargetMode="External"/><Relationship Id="rId13" Type="http://schemas.openxmlformats.org/officeDocument/2006/relationships/hyperlink" Target="https://www.ons.gov.uk/employmentandlabourmarket/peopleinwork/earningsandworkinghours/datasets/occupation4digitsoc2010ashetable14" TargetMode="External"/><Relationship Id="rId3" Type="http://schemas.openxmlformats.org/officeDocument/2006/relationships/hyperlink" Target="https://gov.wales/sites/default/files/publications/2019-10/Justice%20Commission%20ENG%20DIGITAL_2.pdf" TargetMode="External"/><Relationship Id="rId7" Type="http://schemas.openxmlformats.org/officeDocument/2006/relationships/hyperlink" Target="https://assets.publishing.service.gov.uk/government/uploads/system/uploads/attachment_data/file/685903/The_Green_Book.pdf" TargetMode="External"/><Relationship Id="rId12" Type="http://schemas.openxmlformats.org/officeDocument/2006/relationships/hyperlink" Target="https://www.valuationtribunal.wales/fileadmin/resources/docs/publications/en/Annual_report_2019-2020.pdf" TargetMode="External"/><Relationship Id="rId2" Type="http://schemas.openxmlformats.org/officeDocument/2006/relationships/hyperlink" Target="https://business.senedd.wales/documents/s103181/CLA5-22-20%20Paper%202.pdf" TargetMode="External"/><Relationship Id="rId1" Type="http://schemas.openxmlformats.org/officeDocument/2006/relationships/hyperlink" Target="https://www.assembly.wales/laid%20documents/gen-ld12494/gen-ld12494-e.pdf" TargetMode="External"/><Relationship Id="rId6" Type="http://schemas.openxmlformats.org/officeDocument/2006/relationships/hyperlink" Target="https://juststore.dom1.infra.int/2020/06/03/new-research-report-public" TargetMode="External"/><Relationship Id="rId11" Type="http://schemas.openxmlformats.org/officeDocument/2006/relationships/hyperlink" Target="https://www.ons.gov.uk/employmentandlabourmarket/peopleinwork/earningsandworkinghours/datasets/occupation4digitsoc2010ashetable14" TargetMode="External"/><Relationship Id="rId5" Type="http://schemas.openxmlformats.org/officeDocument/2006/relationships/hyperlink" Target="https://senedd.wales/laid%20documents/cr-ld12477/cr-ld12477-e.pdf" TargetMode="External"/><Relationship Id="rId10" Type="http://schemas.openxmlformats.org/officeDocument/2006/relationships/hyperlink" Target="https://welshlanguagetribunal.gov.wales/sites/welshlanguage/files/2019-06/160309-wlt-annual-report-2014-2015-en_0.pdf" TargetMode="External"/><Relationship Id="rId4" Type="http://schemas.openxmlformats.org/officeDocument/2006/relationships/hyperlink" Target="https://www.crisis.org.uk/media/237045/the_homelessness_monitor_england_2012.pdf" TargetMode="External"/><Relationship Id="rId9" Type="http://schemas.openxmlformats.org/officeDocument/2006/relationships/hyperlink" Target="https://www.valuationtribunal.wales/fileadmin/resources/docs/publications/en/Annual_report_2019-2020.pdf" TargetMode="External"/><Relationship Id="rId14" Type="http://schemas.openxmlformats.org/officeDocument/2006/relationships/hyperlink" Target="https://senedd.wales/media/l3xgbanm/sub-ld10586-em-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j69o\OneDrive%20-%20Ministry%20of%20Justice\Custom%20Office%20Templates\Law%20Commission%20Template-v5-FIN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aw Com template presentation" ma:contentTypeID="0x010100A327C36E03DE0846B34384C6051C6CFD004B704235DA6B324BB847D5A2D308D670" ma:contentTypeVersion="17" ma:contentTypeDescription="" ma:contentTypeScope="" ma:versionID="138d4cb81ed527260454fb60c75e1349">
  <xsd:schema xmlns:xsd="http://www.w3.org/2001/XMLSchema" xmlns:xs="http://www.w3.org/2001/XMLSchema" xmlns:p="http://schemas.microsoft.com/office/2006/metadata/properties" xmlns:ns2="19f70a1d-2b14-45d1-bf0c-e2fce3c9f4da" targetNamespace="http://schemas.microsoft.com/office/2006/metadata/properties" ma:root="true" ma:fieldsID="938b92dac815b2c76f9560415036035d" ns2:_="">
    <xsd:import namespace="19f70a1d-2b14-45d1-bf0c-e2fce3c9f4da"/>
    <xsd:element name="properties">
      <xsd:complexType>
        <xsd:sequence>
          <xsd:element name="documentManagement">
            <xsd:complexType>
              <xsd:all>
                <xsd:element ref="ns2:_dlc_DocId" minOccurs="0"/>
                <xsd:element ref="ns2:_dlc_DocIdUrl" minOccurs="0"/>
                <xsd:element ref="ns2:_dlc_DocIdPersistId" minOccurs="0"/>
                <xsd:element ref="ns2:Is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Modified xmlns="19f70a1d-2b14-45d1-bf0c-e2fce3c9f4da">No</IsModified>
    <_dlc_DocId xmlns="19f70a1d-2b14-45d1-bf0c-e2fce3c9f4da">ASOF-1944553946-12751</_dlc_DocId>
    <_dlc_DocIdUrl xmlns="19f70a1d-2b14-45d1-bf0c-e2fce3c9f4da">
      <Url>https://justiceuk.sharepoint.com/sites/MOJ-JS-AO/LAWC/PLAW/_layouts/15/DocIdRedir.aspx?ID=ASOF-1944553946-12751</Url>
      <Description>ASOF-1944553946-12751</Description>
    </_dlc_DocIdUrl>
    <_dlc_DocIdPersistId xmlns="19f70a1d-2b14-45d1-bf0c-e2fce3c9f4d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etadata xmlns="http://www.objective.com/ecm/document/metadata/FF3C5B18883D4E21973B57C2EEED7FD1" version="1.0.0">
  <systemFields>
    <field name="Objective-Id">
      <value order="0">A35173336</value>
    </field>
    <field name="Objective-Title">
      <value order="0">2021-06-09 Devolved tribunals impact assessment - DRAFT (002) AH</value>
    </field>
    <field name="Objective-Description">
      <value order="0"/>
    </field>
    <field name="Objective-CreationStamp">
      <value order="0">2021-06-18T16:08:19Z</value>
    </field>
    <field name="Objective-IsApproved">
      <value order="0">false</value>
    </field>
    <field name="Objective-IsPublished">
      <value order="0">false</value>
    </field>
    <field name="Objective-DatePublished">
      <value order="0"/>
    </field>
    <field name="Objective-ModificationStamp">
      <value order="0">2021-06-22T12:00:02Z</value>
    </field>
    <field name="Objective-Owner">
      <value order="0">Hobden, Andrew (PSG - Welsh Treasury)</value>
    </field>
    <field name="Objective-Path">
      <value order="0">Objective Global Folder:Classified Object:Hobden, Andrew (PSG - Welsh Treasury)</value>
    </field>
    <field name="Objective-Parent">
      <value order="0">Hobden, Andrew (PSG - Welsh Treasury)</value>
    </field>
    <field name="Objective-State">
      <value order="0">Being Edited</value>
    </field>
    <field name="Objective-VersionId">
      <value order="0">vA69307712</value>
    </field>
    <field name="Objective-Version">
      <value order="0">2.1</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4">
      <field name="Objective-Date Acquired">
        <value order="0">2021-06-17T23:00:00Z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0B9CF15-2F2D-4514-9323-955BC0D7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0a1d-2b14-45d1-bf0c-e2fce3c9f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56556-CAD5-4CC4-8ECD-87AA9FE2CBA5}">
  <ds:schemaRefs>
    <ds:schemaRef ds:uri="http://schemas.microsoft.com/office/2006/documentManagement/types"/>
    <ds:schemaRef ds:uri="http://schemas.microsoft.com/office/infopath/2007/PartnerControls"/>
    <ds:schemaRef ds:uri="19f70a1d-2b14-45d1-bf0c-e2fce3c9f4d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5BB3C66-2A1B-49BF-924C-2358011E0E1F}">
  <ds:schemaRefs>
    <ds:schemaRef ds:uri="http://schemas.openxmlformats.org/officeDocument/2006/bibliography"/>
  </ds:schemaRefs>
</ds:datastoreItem>
</file>

<file path=customXml/itemProps4.xml><?xml version="1.0" encoding="utf-8"?>
<ds:datastoreItem xmlns:ds="http://schemas.openxmlformats.org/officeDocument/2006/customXml" ds:itemID="{F3B84785-DEBC-4DCB-8936-399DEDC02A93}">
  <ds:schemaRefs>
    <ds:schemaRef ds:uri="http://schemas.microsoft.com/sharepoint/v3/contenttype/forms"/>
  </ds:schemaRefs>
</ds:datastoreItem>
</file>

<file path=customXml/itemProps5.xml><?xml version="1.0" encoding="utf-8"?>
<ds:datastoreItem xmlns:ds="http://schemas.openxmlformats.org/officeDocument/2006/customXml" ds:itemID="{7428F88B-783C-42DE-A6BC-7C262A6A9F92}">
  <ds:schemaRefs>
    <ds:schemaRef ds:uri="http://schemas.microsoft.com/sharepoint/event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Law Commission Template-v5-FINAL.DOTM</Template>
  <TotalTime>164</TotalTime>
  <Pages>1</Pages>
  <Words>11293</Words>
  <Characters>64374</Characters>
  <Application>Microsoft Office Word</Application>
  <DocSecurity>4</DocSecurity>
  <Lines>536</Lines>
  <Paragraphs>151</Paragraphs>
  <ScaleCrop>false</ScaleCrop>
  <HeadingPairs>
    <vt:vector size="2" baseType="variant">
      <vt:variant>
        <vt:lpstr>Title</vt:lpstr>
      </vt:variant>
      <vt:variant>
        <vt:i4>1</vt:i4>
      </vt:variant>
    </vt:vector>
  </HeadingPairs>
  <TitlesOfParts>
    <vt:vector size="1" baseType="lpstr">
      <vt:lpstr>Impact Assessment template</vt:lpstr>
    </vt:vector>
  </TitlesOfParts>
  <Company>BIS</Company>
  <LinksUpToDate>false</LinksUpToDate>
  <CharactersWithSpaces>75516</CharactersWithSpaces>
  <SharedDoc>false</SharedDoc>
  <HLinks>
    <vt:vector size="84" baseType="variant">
      <vt:variant>
        <vt:i4>4521994</vt:i4>
      </vt:variant>
      <vt:variant>
        <vt:i4>39</vt:i4>
      </vt:variant>
      <vt:variant>
        <vt:i4>0</vt:i4>
      </vt:variant>
      <vt:variant>
        <vt:i4>5</vt:i4>
      </vt:variant>
      <vt:variant>
        <vt:lpwstr>https://senedd.wales/media/l3xgbanm/sub-ld10586-em-e.pdf</vt:lpwstr>
      </vt:variant>
      <vt:variant>
        <vt:lpwstr/>
      </vt:variant>
      <vt:variant>
        <vt:i4>5636117</vt:i4>
      </vt:variant>
      <vt:variant>
        <vt:i4>36</vt:i4>
      </vt:variant>
      <vt:variant>
        <vt:i4>0</vt:i4>
      </vt:variant>
      <vt:variant>
        <vt:i4>5</vt:i4>
      </vt:variant>
      <vt:variant>
        <vt:lpwstr>https://www.ons.gov.uk/employmentandlabourmarket/peopleinwork/earningsandworkinghours/datasets/occupation4digitsoc2010ashetable14</vt:lpwstr>
      </vt:variant>
      <vt:variant>
        <vt:lpwstr/>
      </vt:variant>
      <vt:variant>
        <vt:i4>6291489</vt:i4>
      </vt:variant>
      <vt:variant>
        <vt:i4>33</vt:i4>
      </vt:variant>
      <vt:variant>
        <vt:i4>0</vt:i4>
      </vt:variant>
      <vt:variant>
        <vt:i4>5</vt:i4>
      </vt:variant>
      <vt:variant>
        <vt:lpwstr>https://www.valuationtribunal.wales/fileadmin/resources/docs/publications/en/Annual_report_2019-2020.pdf</vt:lpwstr>
      </vt:variant>
      <vt:variant>
        <vt:lpwstr/>
      </vt:variant>
      <vt:variant>
        <vt:i4>5636117</vt:i4>
      </vt:variant>
      <vt:variant>
        <vt:i4>30</vt:i4>
      </vt:variant>
      <vt:variant>
        <vt:i4>0</vt:i4>
      </vt:variant>
      <vt:variant>
        <vt:i4>5</vt:i4>
      </vt:variant>
      <vt:variant>
        <vt:lpwstr>https://www.ons.gov.uk/employmentandlabourmarket/peopleinwork/earningsandworkinghours/datasets/occupation4digitsoc2010ashetable14</vt:lpwstr>
      </vt:variant>
      <vt:variant>
        <vt:lpwstr/>
      </vt:variant>
      <vt:variant>
        <vt:i4>3932237</vt:i4>
      </vt:variant>
      <vt:variant>
        <vt:i4>27</vt:i4>
      </vt:variant>
      <vt:variant>
        <vt:i4>0</vt:i4>
      </vt:variant>
      <vt:variant>
        <vt:i4>5</vt:i4>
      </vt:variant>
      <vt:variant>
        <vt:lpwstr>https://welshlanguagetribunal.gov.wales/sites/welshlanguage/files/2019-06/160309-wlt-annual-report-2014-2015-en_0.pdf</vt:lpwstr>
      </vt:variant>
      <vt:variant>
        <vt:lpwstr/>
      </vt:variant>
      <vt:variant>
        <vt:i4>6291489</vt:i4>
      </vt:variant>
      <vt:variant>
        <vt:i4>24</vt:i4>
      </vt:variant>
      <vt:variant>
        <vt:i4>0</vt:i4>
      </vt:variant>
      <vt:variant>
        <vt:i4>5</vt:i4>
      </vt:variant>
      <vt:variant>
        <vt:lpwstr>https://www.valuationtribunal.wales/fileadmin/resources/docs/publications/en/Annual_report_2019-2020.pdf</vt:lpwstr>
      </vt:variant>
      <vt:variant>
        <vt:lpwstr/>
      </vt:variant>
      <vt:variant>
        <vt:i4>4128839</vt:i4>
      </vt:variant>
      <vt:variant>
        <vt:i4>21</vt:i4>
      </vt:variant>
      <vt:variant>
        <vt:i4>0</vt:i4>
      </vt:variant>
      <vt:variant>
        <vt:i4>5</vt:i4>
      </vt:variant>
      <vt:variant>
        <vt:lpwstr>https://assets.publishing.service.gov.uk/government/uploads/system/uploads/attachment_data/file/920820/judical-fee-schedule20-21.pdf</vt:lpwstr>
      </vt:variant>
      <vt:variant>
        <vt:lpwstr/>
      </vt:variant>
      <vt:variant>
        <vt:i4>3342361</vt:i4>
      </vt:variant>
      <vt:variant>
        <vt:i4>18</vt:i4>
      </vt:variant>
      <vt:variant>
        <vt:i4>0</vt:i4>
      </vt:variant>
      <vt:variant>
        <vt:i4>5</vt:i4>
      </vt:variant>
      <vt:variant>
        <vt:lpwstr>https://assets.publishing.service.gov.uk/government/uploads/system/uploads/attachment_data/file/685903/The_Green_Book.pdf</vt:lpwstr>
      </vt:variant>
      <vt:variant>
        <vt:lpwstr>page=1&amp;zoom=auto,-47,842</vt:lpwstr>
      </vt:variant>
      <vt:variant>
        <vt:i4>6684778</vt:i4>
      </vt:variant>
      <vt:variant>
        <vt:i4>15</vt:i4>
      </vt:variant>
      <vt:variant>
        <vt:i4>0</vt:i4>
      </vt:variant>
      <vt:variant>
        <vt:i4>5</vt:i4>
      </vt:variant>
      <vt:variant>
        <vt:lpwstr>https://juststore.dom1.infra.int/2020/06/03/new-research-report-public</vt:lpwstr>
      </vt:variant>
      <vt:variant>
        <vt:lpwstr/>
      </vt:variant>
      <vt:variant>
        <vt:i4>7864439</vt:i4>
      </vt:variant>
      <vt:variant>
        <vt:i4>12</vt:i4>
      </vt:variant>
      <vt:variant>
        <vt:i4>0</vt:i4>
      </vt:variant>
      <vt:variant>
        <vt:i4>5</vt:i4>
      </vt:variant>
      <vt:variant>
        <vt:lpwstr>https://senedd.wales/laid documents/cr-ld12477/cr-ld12477-e.pdf</vt:lpwstr>
      </vt:variant>
      <vt:variant>
        <vt:lpwstr/>
      </vt:variant>
      <vt:variant>
        <vt:i4>2424890</vt:i4>
      </vt:variant>
      <vt:variant>
        <vt:i4>9</vt:i4>
      </vt:variant>
      <vt:variant>
        <vt:i4>0</vt:i4>
      </vt:variant>
      <vt:variant>
        <vt:i4>5</vt:i4>
      </vt:variant>
      <vt:variant>
        <vt:lpwstr>https://www.crisis.org.uk/media/237045/the_homelessness_monitor_england_2012.pdf</vt:lpwstr>
      </vt:variant>
      <vt:variant>
        <vt:lpwstr/>
      </vt:variant>
      <vt:variant>
        <vt:i4>4456573</vt:i4>
      </vt:variant>
      <vt:variant>
        <vt:i4>6</vt:i4>
      </vt:variant>
      <vt:variant>
        <vt:i4>0</vt:i4>
      </vt:variant>
      <vt:variant>
        <vt:i4>5</vt:i4>
      </vt:variant>
      <vt:variant>
        <vt:lpwstr>https://gov.wales/sites/default/files/publications/2019-10/Justice Commission ENG DIGITAL_2.pdf</vt:lpwstr>
      </vt:variant>
      <vt:variant>
        <vt:lpwstr/>
      </vt:variant>
      <vt:variant>
        <vt:i4>7733307</vt:i4>
      </vt:variant>
      <vt:variant>
        <vt:i4>3</vt:i4>
      </vt:variant>
      <vt:variant>
        <vt:i4>0</vt:i4>
      </vt:variant>
      <vt:variant>
        <vt:i4>5</vt:i4>
      </vt:variant>
      <vt:variant>
        <vt:lpwstr>https://business.senedd.wales/documents/s103181/CLA5-22-20 Paper 2.pdf</vt:lpwstr>
      </vt:variant>
      <vt:variant>
        <vt:lpwstr/>
      </vt:variant>
      <vt:variant>
        <vt:i4>6553649</vt:i4>
      </vt:variant>
      <vt:variant>
        <vt:i4>0</vt:i4>
      </vt:variant>
      <vt:variant>
        <vt:i4>0</vt:i4>
      </vt:variant>
      <vt:variant>
        <vt:i4>5</vt:i4>
      </vt:variant>
      <vt:variant>
        <vt:lpwstr>https://www.assembly.wales/laid documents/gen-ld12494/gen-ld12494-e.pdf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 template</dc:title>
  <dc:subject/>
  <dc:creator>Ricketts Simon (GO-Science)</dc:creator>
  <cp:keywords/>
  <dc:description/>
  <cp:lastModifiedBy>Tess McGovern</cp:lastModifiedBy>
  <cp:revision>23</cp:revision>
  <cp:lastPrinted>2022-06-09T22:43:00Z</cp:lastPrinted>
  <dcterms:created xsi:type="dcterms:W3CDTF">2022-06-09T23:13:00Z</dcterms:created>
  <dcterms:modified xsi:type="dcterms:W3CDTF">2022-06-22T23:47:00Z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y fmtid="{D5CDD505-2E9C-101B-9397-08002B2CF9AE}" pid="4" name="MSIP_Label_ba62f585-b40f-4ab9-bafe-39150f03d124_Enabled">
    <vt:lpwstr>true</vt:lpwstr>
  </property>
  <property fmtid="{D5CDD505-2E9C-101B-9397-08002B2CF9AE}" pid="5" name="MSIP_Label_ba62f585-b40f-4ab9-bafe-39150f03d124_SetDate">
    <vt:lpwstr>2020-03-04T16:26:29Z</vt:lpwstr>
  </property>
  <property fmtid="{D5CDD505-2E9C-101B-9397-08002B2CF9AE}" pid="6" name="MSIP_Label_ba62f585-b40f-4ab9-bafe-39150f03d124_Method">
    <vt:lpwstr>Standard</vt:lpwstr>
  </property>
  <property fmtid="{D5CDD505-2E9C-101B-9397-08002B2CF9AE}" pid="7" name="MSIP_Label_ba62f585-b40f-4ab9-bafe-39150f03d124_Name">
    <vt:lpwstr>OFFICIAL</vt:lpwstr>
  </property>
  <property fmtid="{D5CDD505-2E9C-101B-9397-08002B2CF9AE}" pid="8" name="MSIP_Label_ba62f585-b40f-4ab9-bafe-39150f03d124_SiteId">
    <vt:lpwstr>cbac7005-02c1-43eb-b497-e6492d1b2dd8</vt:lpwstr>
  </property>
  <property fmtid="{D5CDD505-2E9C-101B-9397-08002B2CF9AE}" pid="9" name="MSIP_Label_ba62f585-b40f-4ab9-bafe-39150f03d124_ActionId">
    <vt:lpwstr>273723a1-3819-48e1-84df-000017ebce39</vt:lpwstr>
  </property>
  <property fmtid="{D5CDD505-2E9C-101B-9397-08002B2CF9AE}" pid="10" name="MSIP_Label_ba62f585-b40f-4ab9-bafe-39150f03d124_ContentBits">
    <vt:lpwstr>0</vt:lpwstr>
  </property>
  <property fmtid="{D5CDD505-2E9C-101B-9397-08002B2CF9AE}" pid="11" name="Business Unit">
    <vt:lpwstr>346;#Better Regulation Executive|9c4809b4-f43f-48c5-b33e-83ca9cbb5b79</vt:lpwstr>
  </property>
  <property fmtid="{D5CDD505-2E9C-101B-9397-08002B2CF9AE}" pid="12" name="ContentTypeId">
    <vt:lpwstr>0x010100A327C36E03DE0846B34384C6051C6CFD004B704235DA6B324BB847D5A2D308D670</vt:lpwstr>
  </property>
  <property fmtid="{D5CDD505-2E9C-101B-9397-08002B2CF9AE}" pid="13" name="_dlc_DocIdItemGuid">
    <vt:lpwstr>8872c4fa-7a4f-4adb-b192-86055b0fc9a6</vt:lpwstr>
  </property>
  <property fmtid="{D5CDD505-2E9C-101B-9397-08002B2CF9AE}" pid="14" name="Objective-Id">
    <vt:lpwstr>A35173336</vt:lpwstr>
  </property>
  <property fmtid="{D5CDD505-2E9C-101B-9397-08002B2CF9AE}" pid="15" name="Objective-Title">
    <vt:lpwstr>2021-06-09 Devolved tribunals impact assessment - DRAFT (002) AH</vt:lpwstr>
  </property>
  <property fmtid="{D5CDD505-2E9C-101B-9397-08002B2CF9AE}" pid="16" name="Objective-Description">
    <vt:lpwstr/>
  </property>
  <property fmtid="{D5CDD505-2E9C-101B-9397-08002B2CF9AE}" pid="17" name="Objective-CreationStamp">
    <vt:filetime>2021-06-18T16:08:31Z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2021-06-22T12:01:31Z</vt:filetime>
  </property>
  <property fmtid="{D5CDD505-2E9C-101B-9397-08002B2CF9AE}" pid="21" name="Objective-ModificationStamp">
    <vt:filetime>2021-06-22T12:01:31Z</vt:filetime>
  </property>
  <property fmtid="{D5CDD505-2E9C-101B-9397-08002B2CF9AE}" pid="22" name="Objective-Owner">
    <vt:lpwstr>Hobden, Andrew (PSG - Welsh Treasury)</vt:lpwstr>
  </property>
  <property fmtid="{D5CDD505-2E9C-101B-9397-08002B2CF9AE}" pid="23" name="Objective-Path">
    <vt:lpwstr>Hobden, Andrew (PSG - Welsh Treasury):</vt:lpwstr>
  </property>
  <property fmtid="{D5CDD505-2E9C-101B-9397-08002B2CF9AE}" pid="24" name="Objective-Parent">
    <vt:lpwstr>Hobden, Andrew (PSG - Welsh Treasury)</vt:lpwstr>
  </property>
  <property fmtid="{D5CDD505-2E9C-101B-9397-08002B2CF9AE}" pid="25" name="Objective-State">
    <vt:lpwstr>Published</vt:lpwstr>
  </property>
  <property fmtid="{D5CDD505-2E9C-101B-9397-08002B2CF9AE}" pid="26" name="Objective-VersionId">
    <vt:lpwstr>vA69307712</vt:lpwstr>
  </property>
  <property fmtid="{D5CDD505-2E9C-101B-9397-08002B2CF9AE}" pid="27" name="Objective-Version">
    <vt:lpwstr>3.0</vt:lpwstr>
  </property>
  <property fmtid="{D5CDD505-2E9C-101B-9397-08002B2CF9AE}" pid="28" name="Objective-VersionNumber">
    <vt:r8>4</vt:r8>
  </property>
  <property fmtid="{D5CDD505-2E9C-101B-9397-08002B2CF9AE}" pid="29" name="Objective-VersionComment">
    <vt:lpwstr/>
  </property>
  <property fmtid="{D5CDD505-2E9C-101B-9397-08002B2CF9AE}" pid="30" name="Objective-FileNumber">
    <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Date Acquired">
    <vt:filetime>2021-06-17T23:00:00Z</vt:filetime>
  </property>
  <property fmtid="{D5CDD505-2E9C-101B-9397-08002B2CF9AE}" pid="34" name="Objective-Official Translation">
    <vt:lpwstr/>
  </property>
  <property fmtid="{D5CDD505-2E9C-101B-9397-08002B2CF9AE}" pid="35" name="Objective-Connect Creator">
    <vt:lpwstr/>
  </property>
  <property fmtid="{D5CDD505-2E9C-101B-9397-08002B2CF9AE}" pid="36" name="Objective-Comment">
    <vt:lpwstr/>
  </property>
  <property fmtid="{D5CDD505-2E9C-101B-9397-08002B2CF9AE}" pid="37" name="_DocHome">
    <vt:i4>1246279857</vt:i4>
  </property>
  <property fmtid="{D5CDD505-2E9C-101B-9397-08002B2CF9AE}" pid="38" name="Order">
    <vt:r8>1167800</vt:r8>
  </property>
</Properties>
</file>