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16"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6"/>
        <w:gridCol w:w="1560"/>
        <w:gridCol w:w="2551"/>
        <w:gridCol w:w="301"/>
        <w:gridCol w:w="1258"/>
        <w:gridCol w:w="2831"/>
        <w:gridCol w:w="9"/>
      </w:tblGrid>
      <w:tr w:rsidR="00B50649" w:rsidRPr="002800A3" w14:paraId="6E9F0924" w14:textId="77777777" w:rsidTr="00626698">
        <w:trPr>
          <w:trHeight w:hRule="exact" w:val="2420"/>
        </w:trPr>
        <w:tc>
          <w:tcPr>
            <w:tcW w:w="6118" w:type="dxa"/>
            <w:gridSpan w:val="4"/>
            <w:tcBorders>
              <w:top w:val="single" w:sz="4" w:space="0" w:color="auto"/>
              <w:bottom w:val="single" w:sz="4" w:space="0" w:color="auto"/>
            </w:tcBorders>
            <w:shd w:val="clear" w:color="auto" w:fill="auto"/>
          </w:tcPr>
          <w:p w14:paraId="07B48F87" w14:textId="229DCFBF" w:rsidR="007F0ED9" w:rsidRPr="00102870" w:rsidRDefault="00495404" w:rsidP="00A90857">
            <w:pPr>
              <w:pStyle w:val="IATitle"/>
            </w:pPr>
            <w:bookmarkStart w:id="0" w:name="_GoBack"/>
            <w:bookmarkEnd w:id="0"/>
            <w:r w:rsidRPr="00A90857">
              <w:rPr>
                <w:b/>
              </w:rPr>
              <w:t>Title</w:t>
            </w:r>
            <w:r w:rsidR="00B00194" w:rsidRPr="00A90857">
              <w:rPr>
                <w:b/>
              </w:rPr>
              <w:t>:</w:t>
            </w:r>
            <w:r w:rsidR="00B00194">
              <w:t xml:space="preserve">    </w:t>
            </w:r>
            <w:bookmarkStart w:id="1" w:name="IATitle"/>
            <w:r w:rsidR="004C1BBB" w:rsidRPr="00102870">
              <w:fldChar w:fldCharType="begin">
                <w:ffData>
                  <w:name w:val="IATitle"/>
                  <w:enabled/>
                  <w:calcOnExit w:val="0"/>
                  <w:textInput>
                    <w:maxLength w:val="800"/>
                  </w:textInput>
                </w:ffData>
              </w:fldChar>
            </w:r>
            <w:r w:rsidR="004C1BBB" w:rsidRPr="005F32E7">
              <w:instrText xml:space="preserve"> FORMTEXT </w:instrText>
            </w:r>
            <w:r w:rsidR="004C1BBB" w:rsidRPr="00102870">
              <w:fldChar w:fldCharType="separate"/>
            </w:r>
            <w:r w:rsidR="00D95EC3">
              <w:rPr>
                <w:rFonts w:eastAsia="Arial Unicode MS"/>
              </w:rPr>
              <w:t>Simplifying the Immigration Rules</w:t>
            </w:r>
            <w:r w:rsidR="004C1BBB" w:rsidRPr="00102870">
              <w:fldChar w:fldCharType="end"/>
            </w:r>
            <w:bookmarkEnd w:id="1"/>
          </w:p>
          <w:p w14:paraId="34F2D4B5" w14:textId="77777777" w:rsidR="00E14792" w:rsidRPr="00B00194" w:rsidRDefault="00D50283" w:rsidP="00B00194">
            <w:pPr>
              <w:pStyle w:val="IAHeadTitle"/>
              <w:ind w:left="113"/>
              <w:rPr>
                <w:rStyle w:val="IANoChar"/>
                <w:color w:val="auto"/>
                <w:sz w:val="20"/>
                <w:szCs w:val="20"/>
                <w:lang w:eastAsia="zh-CN"/>
              </w:rPr>
            </w:pPr>
            <w:r w:rsidRPr="007E190E">
              <w:rPr>
                <w:sz w:val="20"/>
                <w:szCs w:val="20"/>
              </w:rPr>
              <w:t>IA No:</w:t>
            </w:r>
            <w:r w:rsidR="00B00194">
              <w:rPr>
                <w:sz w:val="20"/>
                <w:szCs w:val="20"/>
              </w:rPr>
              <w:t xml:space="preserve"> </w:t>
            </w:r>
            <w:r w:rsidRPr="007E190E">
              <w:rPr>
                <w:sz w:val="20"/>
                <w:szCs w:val="20"/>
              </w:rPr>
              <w:t xml:space="preserve"> </w:t>
            </w:r>
            <w:bookmarkStart w:id="2" w:name="IANo"/>
            <w:r w:rsidR="00290335" w:rsidRPr="007E190E">
              <w:rPr>
                <w:rStyle w:val="IANoChar"/>
                <w:rFonts w:cs="Arial"/>
                <w:sz w:val="20"/>
                <w:szCs w:val="20"/>
              </w:rPr>
              <w:fldChar w:fldCharType="begin">
                <w:ffData>
                  <w:name w:val="IANo"/>
                  <w:enabled/>
                  <w:calcOnExit w:val="0"/>
                  <w:textInput>
                    <w:maxLength w:val="20"/>
                  </w:textInput>
                </w:ffData>
              </w:fldChar>
            </w:r>
            <w:r w:rsidR="00290335" w:rsidRPr="007E190E">
              <w:rPr>
                <w:rStyle w:val="IANoChar"/>
                <w:rFonts w:cs="Arial"/>
                <w:sz w:val="20"/>
                <w:szCs w:val="20"/>
              </w:rPr>
              <w:instrText xml:space="preserve"> FORMTEXT </w:instrText>
            </w:r>
            <w:r w:rsidR="00290335" w:rsidRPr="007E190E">
              <w:rPr>
                <w:rStyle w:val="IANoChar"/>
                <w:rFonts w:cs="Arial"/>
                <w:sz w:val="20"/>
                <w:szCs w:val="20"/>
              </w:rPr>
            </w:r>
            <w:r w:rsidR="00290335" w:rsidRPr="007E190E">
              <w:rPr>
                <w:rStyle w:val="IANoChar"/>
                <w:rFonts w:cs="Arial"/>
                <w:sz w:val="20"/>
                <w:szCs w:val="20"/>
              </w:rPr>
              <w:fldChar w:fldCharType="separate"/>
            </w:r>
            <w:r w:rsidR="00D95EC3">
              <w:rPr>
                <w:rStyle w:val="IANoChar"/>
                <w:rFonts w:cs="Arial"/>
                <w:sz w:val="20"/>
                <w:szCs w:val="20"/>
              </w:rPr>
              <w:t>LAWCOM0062</w:t>
            </w:r>
            <w:r w:rsidR="00290335" w:rsidRPr="007E190E">
              <w:rPr>
                <w:rStyle w:val="IANoChar"/>
                <w:rFonts w:cs="Arial"/>
                <w:sz w:val="20"/>
                <w:szCs w:val="20"/>
              </w:rPr>
              <w:fldChar w:fldCharType="end"/>
            </w:r>
            <w:bookmarkEnd w:id="2"/>
          </w:p>
          <w:p w14:paraId="62D6F31A" w14:textId="77777777" w:rsidR="008C3539" w:rsidRDefault="008C3539" w:rsidP="008C3539">
            <w:pPr>
              <w:pStyle w:val="IAHeadLabel"/>
              <w:ind w:left="113"/>
            </w:pPr>
            <w:r>
              <w:t xml:space="preserve">RPC Reference No:   </w:t>
            </w:r>
            <w:r w:rsidR="00C60191">
              <w:fldChar w:fldCharType="begin">
                <w:ffData>
                  <w:name w:val="IARPCReference"/>
                  <w:enabled/>
                  <w:calcOnExit w:val="0"/>
                  <w:textInput/>
                </w:ffData>
              </w:fldChar>
            </w:r>
            <w:bookmarkStart w:id="3" w:name="IARPCReference"/>
            <w:r w:rsidR="00C60191">
              <w:instrText xml:space="preserve"> FORMTEXT </w:instrText>
            </w:r>
            <w:r w:rsidR="00C60191">
              <w:fldChar w:fldCharType="separate"/>
            </w:r>
            <w:r w:rsidR="00C60191">
              <w:rPr>
                <w:noProof/>
              </w:rPr>
              <w:t> </w:t>
            </w:r>
            <w:r w:rsidR="00C60191">
              <w:rPr>
                <w:noProof/>
              </w:rPr>
              <w:t> </w:t>
            </w:r>
            <w:r w:rsidR="00C60191">
              <w:rPr>
                <w:noProof/>
              </w:rPr>
              <w:t> </w:t>
            </w:r>
            <w:r w:rsidR="00C60191">
              <w:rPr>
                <w:noProof/>
              </w:rPr>
              <w:t> </w:t>
            </w:r>
            <w:r w:rsidR="00C60191">
              <w:rPr>
                <w:noProof/>
              </w:rPr>
              <w:t> </w:t>
            </w:r>
            <w:r w:rsidR="00C60191">
              <w:fldChar w:fldCharType="end"/>
            </w:r>
            <w:bookmarkEnd w:id="3"/>
          </w:p>
          <w:p w14:paraId="6B3913FE" w14:textId="77777777" w:rsidR="001D5EC9" w:rsidRPr="005F32E7" w:rsidRDefault="00495404" w:rsidP="00A90857">
            <w:pPr>
              <w:pStyle w:val="IALeadDept"/>
            </w:pPr>
            <w:r w:rsidRPr="00A90857">
              <w:rPr>
                <w:b/>
              </w:rPr>
              <w:t>Lead department or agency:</w:t>
            </w:r>
            <w:r w:rsidR="00B00194">
              <w:t xml:space="preserve">         </w:t>
            </w:r>
            <w:bookmarkStart w:id="4" w:name="IALeadDept"/>
            <w:r w:rsidR="00290335" w:rsidRPr="005F32E7">
              <w:fldChar w:fldCharType="begin">
                <w:ffData>
                  <w:name w:val="IALeadDept"/>
                  <w:enabled/>
                  <w:calcOnExit w:val="0"/>
                  <w:textInput>
                    <w:maxLength w:val="100"/>
                  </w:textInput>
                </w:ffData>
              </w:fldChar>
            </w:r>
            <w:r w:rsidR="00290335" w:rsidRPr="005F32E7">
              <w:instrText xml:space="preserve"> FORMTEXT </w:instrText>
            </w:r>
            <w:r w:rsidR="00290335" w:rsidRPr="005F32E7">
              <w:fldChar w:fldCharType="separate"/>
            </w:r>
            <w:r w:rsidR="00D95EC3">
              <w:t>Law Commission</w:t>
            </w:r>
            <w:r w:rsidR="00290335" w:rsidRPr="005F32E7">
              <w:t> </w:t>
            </w:r>
            <w:r w:rsidR="00B00194">
              <w:t xml:space="preserve">   </w:t>
            </w:r>
            <w:r w:rsidR="00290335" w:rsidRPr="005F32E7">
              <w:t> </w:t>
            </w:r>
            <w:r w:rsidR="00290335" w:rsidRPr="005F32E7">
              <w:t> </w:t>
            </w:r>
            <w:r w:rsidR="00290335" w:rsidRPr="005F32E7">
              <w:t> </w:t>
            </w:r>
            <w:r w:rsidR="00290335" w:rsidRPr="005F32E7">
              <w:fldChar w:fldCharType="end"/>
            </w:r>
            <w:bookmarkEnd w:id="4"/>
          </w:p>
          <w:p w14:paraId="07C0F887" w14:textId="77777777" w:rsidR="00B93466" w:rsidRDefault="00495404" w:rsidP="00B00194">
            <w:pPr>
              <w:pStyle w:val="IATableLabel"/>
              <w:spacing w:after="0"/>
            </w:pPr>
            <w:r w:rsidRPr="003E0510">
              <w:t>Other dep</w:t>
            </w:r>
            <w:r w:rsidRPr="00E217A2">
              <w:t>a</w:t>
            </w:r>
            <w:r w:rsidRPr="003E0510">
              <w:t>rtments or agencies:</w:t>
            </w:r>
            <w:r w:rsidR="00B00194">
              <w:t xml:space="preserve">  </w:t>
            </w:r>
            <w:r w:rsidR="00DF2F4B">
              <w:t xml:space="preserve"> </w:t>
            </w:r>
            <w:bookmarkStart w:id="5" w:name="IAOtherDepts"/>
            <w:r w:rsidR="000239A7">
              <w:fldChar w:fldCharType="begin">
                <w:ffData>
                  <w:name w:val="IAOtherDepts"/>
                  <w:enabled/>
                  <w:calcOnExit w:val="0"/>
                  <w:textInput>
                    <w:maxLength w:val="200"/>
                  </w:textInput>
                </w:ffData>
              </w:fldChar>
            </w:r>
            <w:r w:rsidR="000239A7">
              <w:instrText xml:space="preserve"> FORMTEXT </w:instrText>
            </w:r>
            <w:r w:rsidR="000239A7">
              <w:fldChar w:fldCharType="separate"/>
            </w:r>
            <w:r w:rsidR="000239A7">
              <w:rPr>
                <w:noProof/>
              </w:rPr>
              <w:t> </w:t>
            </w:r>
            <w:r w:rsidR="000239A7">
              <w:rPr>
                <w:noProof/>
              </w:rPr>
              <w:t> </w:t>
            </w:r>
            <w:r w:rsidR="000239A7">
              <w:rPr>
                <w:noProof/>
              </w:rPr>
              <w:t> </w:t>
            </w:r>
            <w:r w:rsidR="000239A7">
              <w:rPr>
                <w:noProof/>
              </w:rPr>
              <w:t> </w:t>
            </w:r>
            <w:r w:rsidR="000239A7">
              <w:rPr>
                <w:noProof/>
              </w:rPr>
              <w:t> </w:t>
            </w:r>
            <w:r w:rsidR="000239A7">
              <w:fldChar w:fldCharType="end"/>
            </w:r>
            <w:bookmarkEnd w:id="5"/>
          </w:p>
        </w:tc>
        <w:tc>
          <w:tcPr>
            <w:tcW w:w="4098" w:type="dxa"/>
            <w:gridSpan w:val="3"/>
            <w:tcBorders>
              <w:top w:val="single" w:sz="4" w:space="0" w:color="auto"/>
              <w:bottom w:val="single" w:sz="4" w:space="0" w:color="auto"/>
            </w:tcBorders>
            <w:shd w:val="clear" w:color="auto" w:fill="auto"/>
          </w:tcPr>
          <w:tbl>
            <w:tblPr>
              <w:tblW w:w="4088" w:type="dxa"/>
              <w:tblInd w:w="5" w:type="dxa"/>
              <w:tblBorders>
                <w:insideH w:val="single" w:sz="4" w:space="0" w:color="333333"/>
                <w:insideV w:val="single" w:sz="4" w:space="0" w:color="333333"/>
              </w:tblBorders>
              <w:tblLayout w:type="fixed"/>
              <w:tblCellMar>
                <w:left w:w="0" w:type="dxa"/>
                <w:right w:w="0" w:type="dxa"/>
              </w:tblCellMar>
              <w:tblLook w:val="01E0" w:firstRow="1" w:lastRow="1" w:firstColumn="1" w:lastColumn="1" w:noHBand="0" w:noVBand="0"/>
            </w:tblPr>
            <w:tblGrid>
              <w:gridCol w:w="4088"/>
            </w:tblGrid>
            <w:tr w:rsidR="00B50649" w:rsidRPr="00383295" w14:paraId="70EE9800" w14:textId="77777777" w:rsidTr="007E190E">
              <w:trPr>
                <w:trHeight w:hRule="exact" w:val="539"/>
              </w:trPr>
              <w:tc>
                <w:tcPr>
                  <w:tcW w:w="4088" w:type="dxa"/>
                  <w:shd w:val="clear" w:color="auto" w:fill="333333"/>
                  <w:vAlign w:val="center"/>
                </w:tcPr>
                <w:p w14:paraId="110B1342" w14:textId="77777777" w:rsidR="00B50649" w:rsidRPr="00383295" w:rsidRDefault="00B50649" w:rsidP="00E90731">
                  <w:pPr>
                    <w:pStyle w:val="Title"/>
                  </w:pPr>
                  <w:r w:rsidRPr="00383295">
                    <w:t>Impact Assessment (IA)</w:t>
                  </w:r>
                </w:p>
              </w:tc>
            </w:tr>
            <w:tr w:rsidR="00B50649" w:rsidRPr="00966271" w14:paraId="14C886BF" w14:textId="77777777" w:rsidTr="007E190E">
              <w:tc>
                <w:tcPr>
                  <w:tcW w:w="4088" w:type="dxa"/>
                  <w:shd w:val="clear" w:color="auto" w:fill="auto"/>
                </w:tcPr>
                <w:p w14:paraId="0C4A2DB7" w14:textId="410923D2" w:rsidR="001F69E9" w:rsidRPr="00631B4C" w:rsidRDefault="00B50649" w:rsidP="00C46EA7">
                  <w:pPr>
                    <w:pStyle w:val="IATableLabel"/>
                  </w:pPr>
                  <w:r w:rsidRPr="00631B4C">
                    <w:t>Date:</w:t>
                  </w:r>
                  <w:r w:rsidR="0071686F">
                    <w:t xml:space="preserve"> </w:t>
                  </w:r>
                  <w:r w:rsidR="004004FF">
                    <w:rPr>
                      <w:rStyle w:val="IADateChar"/>
                      <w:sz w:val="20"/>
                      <w:szCs w:val="20"/>
                    </w:rPr>
                    <w:t>21/01/2019</w:t>
                  </w:r>
                </w:p>
              </w:tc>
            </w:tr>
            <w:tr w:rsidR="00B50649" w:rsidRPr="00966271" w14:paraId="72EF821E" w14:textId="77777777" w:rsidTr="007E190E">
              <w:tc>
                <w:tcPr>
                  <w:tcW w:w="4088" w:type="dxa"/>
                  <w:shd w:val="clear" w:color="auto" w:fill="auto"/>
                </w:tcPr>
                <w:p w14:paraId="6BE608E1" w14:textId="77777777" w:rsidR="00B50649" w:rsidRPr="007F0ED9" w:rsidRDefault="00941D69" w:rsidP="00E90731">
                  <w:pPr>
                    <w:pStyle w:val="IATableLabel"/>
                  </w:pPr>
                  <w:bookmarkStart w:id="6" w:name="Stage"/>
                  <w:r w:rsidRPr="007F0ED9">
                    <w:t xml:space="preserve">Stage: </w:t>
                  </w:r>
                  <w:r w:rsidRPr="007E190E">
                    <w:rPr>
                      <w:rStyle w:val="IAStageChar"/>
                      <w:sz w:val="20"/>
                    </w:rPr>
                    <w:fldChar w:fldCharType="begin"/>
                  </w:r>
                  <w:r w:rsidRPr="007E190E">
                    <w:rPr>
                      <w:rStyle w:val="IAStageChar"/>
                      <w:sz w:val="20"/>
                    </w:rPr>
                    <w:instrText xml:space="preserve"> DOCPROPERTY  Stage </w:instrText>
                  </w:r>
                  <w:r w:rsidRPr="007E190E">
                    <w:rPr>
                      <w:rStyle w:val="IAStageChar"/>
                      <w:sz w:val="20"/>
                    </w:rPr>
                    <w:fldChar w:fldCharType="separate"/>
                  </w:r>
                  <w:r w:rsidR="00D95EC3">
                    <w:rPr>
                      <w:rStyle w:val="IAStageChar"/>
                      <w:sz w:val="20"/>
                    </w:rPr>
                    <w:t>Development/Options</w:t>
                  </w:r>
                  <w:r w:rsidRPr="007E190E">
                    <w:rPr>
                      <w:rStyle w:val="IAStageChar"/>
                      <w:sz w:val="20"/>
                    </w:rPr>
                    <w:fldChar w:fldCharType="end"/>
                  </w:r>
                  <w:bookmarkEnd w:id="6"/>
                </w:p>
              </w:tc>
            </w:tr>
            <w:tr w:rsidR="00B50649" w:rsidRPr="00966271" w14:paraId="15674D90" w14:textId="77777777" w:rsidTr="007E190E">
              <w:tc>
                <w:tcPr>
                  <w:tcW w:w="4088" w:type="dxa"/>
                  <w:shd w:val="clear" w:color="auto" w:fill="auto"/>
                </w:tcPr>
                <w:p w14:paraId="695FA5C4" w14:textId="77777777" w:rsidR="00B50649" w:rsidRPr="007F0ED9" w:rsidRDefault="0071686F" w:rsidP="00E90731">
                  <w:pPr>
                    <w:pStyle w:val="IATableLabel"/>
                  </w:pPr>
                  <w:r w:rsidRPr="007F0ED9">
                    <w:t xml:space="preserve">Source </w:t>
                  </w:r>
                  <w:r w:rsidR="006A56C1" w:rsidRPr="007F0ED9">
                    <w:t xml:space="preserve">of </w:t>
                  </w:r>
                  <w:r w:rsidRPr="007F0ED9">
                    <w:t>intervention:</w:t>
                  </w:r>
                  <w:r w:rsidR="00B50649" w:rsidRPr="007F0ED9">
                    <w:t xml:space="preserve"> </w:t>
                  </w:r>
                  <w:bookmarkStart w:id="7" w:name="IAInterSource"/>
                  <w:r w:rsidR="00290335" w:rsidRPr="007E190E">
                    <w:rPr>
                      <w:rStyle w:val="IASOIChar"/>
                      <w:sz w:val="20"/>
                    </w:rPr>
                    <w:fldChar w:fldCharType="begin">
                      <w:ffData>
                        <w:name w:val="IAInterSource"/>
                        <w:enabled/>
                        <w:calcOnExit w:val="0"/>
                        <w:ddList>
                          <w:listEntry w:val="Domestic"/>
                          <w:listEntry w:val="EU"/>
                          <w:listEntry w:val="International"/>
                        </w:ddList>
                      </w:ffData>
                    </w:fldChar>
                  </w:r>
                  <w:r w:rsidR="00290335" w:rsidRPr="007E190E">
                    <w:rPr>
                      <w:rStyle w:val="IASOIChar"/>
                      <w:sz w:val="20"/>
                    </w:rPr>
                    <w:instrText xml:space="preserve"> FORMDROPDOWN </w:instrText>
                  </w:r>
                  <w:r w:rsidR="00765259">
                    <w:rPr>
                      <w:rStyle w:val="IASOIChar"/>
                      <w:sz w:val="20"/>
                    </w:rPr>
                  </w:r>
                  <w:r w:rsidR="00765259">
                    <w:rPr>
                      <w:rStyle w:val="IASOIChar"/>
                      <w:sz w:val="20"/>
                    </w:rPr>
                    <w:fldChar w:fldCharType="separate"/>
                  </w:r>
                  <w:r w:rsidR="00290335" w:rsidRPr="007E190E">
                    <w:rPr>
                      <w:rStyle w:val="IASOIChar"/>
                      <w:sz w:val="20"/>
                    </w:rPr>
                    <w:fldChar w:fldCharType="end"/>
                  </w:r>
                  <w:bookmarkEnd w:id="7"/>
                </w:p>
              </w:tc>
            </w:tr>
            <w:tr w:rsidR="00052F44" w:rsidRPr="007E190E" w14:paraId="1173BEB0" w14:textId="77777777" w:rsidTr="007E190E">
              <w:tc>
                <w:tcPr>
                  <w:tcW w:w="4088" w:type="dxa"/>
                  <w:shd w:val="clear" w:color="auto" w:fill="auto"/>
                </w:tcPr>
                <w:p w14:paraId="37173C5E" w14:textId="548C6127" w:rsidR="00052F44" w:rsidRPr="007E190E" w:rsidRDefault="00052F44" w:rsidP="00E90731">
                  <w:pPr>
                    <w:pStyle w:val="IATableLabel"/>
                    <w:rPr>
                      <w:b w:val="0"/>
                    </w:rPr>
                  </w:pPr>
                  <w:r w:rsidRPr="007F0ED9">
                    <w:t xml:space="preserve">Type of measure: </w:t>
                  </w:r>
                  <w:r w:rsidR="004004FF">
                    <w:rPr>
                      <w:rStyle w:val="IATOMChar"/>
                      <w:sz w:val="20"/>
                    </w:rPr>
                    <w:t>Other</w:t>
                  </w:r>
                </w:p>
              </w:tc>
            </w:tr>
            <w:tr w:rsidR="00B50649" w:rsidRPr="007E190E" w14:paraId="3026D395" w14:textId="77777777" w:rsidTr="007E190E">
              <w:trPr>
                <w:trHeight w:val="1115"/>
              </w:trPr>
              <w:tc>
                <w:tcPr>
                  <w:tcW w:w="4088" w:type="dxa"/>
                  <w:shd w:val="clear" w:color="auto" w:fill="auto"/>
                </w:tcPr>
                <w:p w14:paraId="206725EE" w14:textId="1E5D1A6B" w:rsidR="00023080" w:rsidRPr="000F004E" w:rsidRDefault="00773719" w:rsidP="007E190E">
                  <w:pPr>
                    <w:ind w:left="113" w:right="113"/>
                  </w:pPr>
                  <w:r w:rsidRPr="007E190E">
                    <w:rPr>
                      <w:rStyle w:val="IATableLabelCharChar"/>
                      <w:sz w:val="20"/>
                      <w:szCs w:val="20"/>
                    </w:rPr>
                    <w:t>Contact for enquiries:</w:t>
                  </w:r>
                  <w:r w:rsidRPr="00D337D1">
                    <w:t xml:space="preserve"> </w:t>
                  </w:r>
                  <w:bookmarkStart w:id="8" w:name="IAEnquiryContacts"/>
                  <w:r w:rsidRPr="007E190E">
                    <w:rPr>
                      <w:rStyle w:val="IACOEChar"/>
                      <w:b w:val="0"/>
                      <w:sz w:val="20"/>
                    </w:rPr>
                    <w:fldChar w:fldCharType="begin">
                      <w:ffData>
                        <w:name w:val="IAEnquiryContacts"/>
                        <w:enabled/>
                        <w:calcOnExit w:val="0"/>
                        <w:textInput>
                          <w:maxLength w:val="200"/>
                        </w:textInput>
                      </w:ffData>
                    </w:fldChar>
                  </w:r>
                  <w:r w:rsidRPr="007E190E">
                    <w:rPr>
                      <w:rStyle w:val="IACOEChar"/>
                      <w:b w:val="0"/>
                      <w:sz w:val="20"/>
                    </w:rPr>
                    <w:instrText xml:space="preserve"> FORMTEXT </w:instrText>
                  </w:r>
                  <w:r w:rsidRPr="007E190E">
                    <w:rPr>
                      <w:rStyle w:val="IACOEChar"/>
                      <w:b w:val="0"/>
                      <w:sz w:val="20"/>
                    </w:rPr>
                  </w:r>
                  <w:r w:rsidRPr="007E190E">
                    <w:rPr>
                      <w:rStyle w:val="IACOEChar"/>
                      <w:b w:val="0"/>
                      <w:sz w:val="20"/>
                    </w:rPr>
                    <w:fldChar w:fldCharType="separate"/>
                  </w:r>
                  <w:r w:rsidR="00D95EC3">
                    <w:rPr>
                      <w:rStyle w:val="IACOEChar"/>
                      <w:b w:val="0"/>
                      <w:sz w:val="20"/>
                    </w:rPr>
                    <w:t>Lisa Smith</w:t>
                  </w:r>
                  <w:r w:rsidRPr="007E190E">
                    <w:rPr>
                      <w:rStyle w:val="IACOEChar"/>
                      <w:b w:val="0"/>
                      <w:sz w:val="20"/>
                    </w:rPr>
                    <w:fldChar w:fldCharType="end"/>
                  </w:r>
                  <w:bookmarkEnd w:id="8"/>
                  <w:r w:rsidR="00370540">
                    <w:rPr>
                      <w:rStyle w:val="IACOEChar"/>
                      <w:b w:val="0"/>
                      <w:sz w:val="20"/>
                    </w:rPr>
                    <w:t>, lisa.smith@lawcommission.go</w:t>
                  </w:r>
                  <w:r w:rsidR="00F73F3B">
                    <w:rPr>
                      <w:rStyle w:val="IACOEChar"/>
                      <w:b w:val="0"/>
                      <w:sz w:val="20"/>
                    </w:rPr>
                    <w:t>v</w:t>
                  </w:r>
                  <w:r w:rsidR="00370540">
                    <w:rPr>
                      <w:rStyle w:val="IACOEChar"/>
                      <w:b w:val="0"/>
                      <w:sz w:val="20"/>
                    </w:rPr>
                    <w:t>.uk</w:t>
                  </w:r>
                </w:p>
              </w:tc>
            </w:tr>
            <w:tr w:rsidR="000C1D45" w:rsidRPr="007E190E" w14:paraId="1531DC89" w14:textId="77777777" w:rsidTr="007E190E">
              <w:trPr>
                <w:trHeight w:val="1115"/>
              </w:trPr>
              <w:tc>
                <w:tcPr>
                  <w:tcW w:w="4088" w:type="dxa"/>
                  <w:shd w:val="clear" w:color="auto" w:fill="auto"/>
                </w:tcPr>
                <w:p w14:paraId="5C8FD6D7" w14:textId="77777777" w:rsidR="000C1D45" w:rsidRPr="007E190E" w:rsidRDefault="000C1D45" w:rsidP="00A32793">
                  <w:pPr>
                    <w:pStyle w:val="IATableLines"/>
                    <w:rPr>
                      <w:b/>
                      <w:color w:val="000000"/>
                      <w:sz w:val="20"/>
                    </w:rPr>
                  </w:pPr>
                </w:p>
              </w:tc>
            </w:tr>
            <w:tr w:rsidR="000C1D45" w:rsidRPr="007E190E" w14:paraId="7E39F982" w14:textId="77777777" w:rsidTr="007E190E">
              <w:trPr>
                <w:trHeight w:val="1115"/>
              </w:trPr>
              <w:tc>
                <w:tcPr>
                  <w:tcW w:w="4088" w:type="dxa"/>
                  <w:shd w:val="clear" w:color="auto" w:fill="auto"/>
                </w:tcPr>
                <w:p w14:paraId="34E632DC" w14:textId="77777777" w:rsidR="000C1D45" w:rsidRPr="007E190E" w:rsidRDefault="000C1D45" w:rsidP="00A32793">
                  <w:pPr>
                    <w:pStyle w:val="IATableLines"/>
                    <w:rPr>
                      <w:b/>
                      <w:color w:val="000000"/>
                      <w:sz w:val="20"/>
                    </w:rPr>
                  </w:pPr>
                </w:p>
              </w:tc>
            </w:tr>
            <w:tr w:rsidR="000C1D45" w:rsidRPr="007E190E" w14:paraId="7976C742" w14:textId="77777777" w:rsidTr="007E190E">
              <w:trPr>
                <w:trHeight w:val="1115"/>
              </w:trPr>
              <w:tc>
                <w:tcPr>
                  <w:tcW w:w="4088" w:type="dxa"/>
                  <w:shd w:val="clear" w:color="auto" w:fill="auto"/>
                </w:tcPr>
                <w:p w14:paraId="1125FD65" w14:textId="77777777" w:rsidR="000C1D45" w:rsidRPr="007E190E" w:rsidRDefault="000C1D45" w:rsidP="00A32793">
                  <w:pPr>
                    <w:pStyle w:val="IATableLines"/>
                    <w:rPr>
                      <w:b/>
                      <w:color w:val="000000"/>
                      <w:sz w:val="20"/>
                    </w:rPr>
                  </w:pPr>
                </w:p>
              </w:tc>
            </w:tr>
            <w:tr w:rsidR="000C1D45" w:rsidRPr="007E190E" w14:paraId="5CFD10FA" w14:textId="77777777" w:rsidTr="007E190E">
              <w:trPr>
                <w:trHeight w:val="1115"/>
              </w:trPr>
              <w:tc>
                <w:tcPr>
                  <w:tcW w:w="4088" w:type="dxa"/>
                  <w:shd w:val="clear" w:color="auto" w:fill="auto"/>
                </w:tcPr>
                <w:p w14:paraId="5CC71853" w14:textId="77777777" w:rsidR="000C1D45" w:rsidRPr="007E190E" w:rsidRDefault="000C1D45" w:rsidP="00A32793">
                  <w:pPr>
                    <w:pStyle w:val="IATableLines"/>
                    <w:rPr>
                      <w:b/>
                      <w:color w:val="000000"/>
                      <w:sz w:val="20"/>
                    </w:rPr>
                  </w:pPr>
                </w:p>
              </w:tc>
            </w:tr>
            <w:tr w:rsidR="000C1D45" w:rsidRPr="007E190E" w14:paraId="3C785D70" w14:textId="77777777" w:rsidTr="007E190E">
              <w:trPr>
                <w:trHeight w:val="1115"/>
              </w:trPr>
              <w:tc>
                <w:tcPr>
                  <w:tcW w:w="4088" w:type="dxa"/>
                  <w:shd w:val="clear" w:color="auto" w:fill="auto"/>
                </w:tcPr>
                <w:p w14:paraId="73812514" w14:textId="77777777" w:rsidR="000C1D45" w:rsidRPr="007E190E" w:rsidRDefault="000C1D45" w:rsidP="00A32793">
                  <w:pPr>
                    <w:pStyle w:val="IATableLines"/>
                    <w:rPr>
                      <w:b/>
                      <w:color w:val="000000"/>
                      <w:sz w:val="20"/>
                    </w:rPr>
                  </w:pPr>
                </w:p>
              </w:tc>
            </w:tr>
            <w:tr w:rsidR="000C1D45" w:rsidRPr="007E190E" w14:paraId="131B42BD" w14:textId="77777777" w:rsidTr="007E190E">
              <w:trPr>
                <w:trHeight w:val="1115"/>
              </w:trPr>
              <w:tc>
                <w:tcPr>
                  <w:tcW w:w="4088" w:type="dxa"/>
                  <w:shd w:val="clear" w:color="auto" w:fill="auto"/>
                </w:tcPr>
                <w:p w14:paraId="70A55E30" w14:textId="77777777" w:rsidR="000C1D45" w:rsidRPr="007E190E" w:rsidRDefault="000C1D45" w:rsidP="00A32793">
                  <w:pPr>
                    <w:pStyle w:val="IATableLines"/>
                    <w:rPr>
                      <w:b/>
                      <w:color w:val="000000"/>
                      <w:sz w:val="20"/>
                    </w:rPr>
                  </w:pPr>
                </w:p>
              </w:tc>
            </w:tr>
          </w:tbl>
          <w:p w14:paraId="17DC0456" w14:textId="77777777" w:rsidR="00B50649" w:rsidRPr="007E190E" w:rsidRDefault="00B50649">
            <w:pPr>
              <w:rPr>
                <w:rFonts w:eastAsia="SimSun"/>
              </w:rPr>
            </w:pPr>
          </w:p>
        </w:tc>
      </w:tr>
      <w:tr w:rsidR="000C1D45" w:rsidRPr="002800A3" w14:paraId="4390D60F" w14:textId="77777777" w:rsidTr="00626698">
        <w:trPr>
          <w:trHeight w:hRule="exact" w:val="410"/>
        </w:trPr>
        <w:tc>
          <w:tcPr>
            <w:tcW w:w="6118" w:type="dxa"/>
            <w:gridSpan w:val="4"/>
            <w:tcBorders>
              <w:top w:val="single" w:sz="4" w:space="0" w:color="auto"/>
              <w:left w:val="nil"/>
              <w:bottom w:val="single" w:sz="4" w:space="0" w:color="auto"/>
              <w:right w:val="single" w:sz="4" w:space="0" w:color="auto"/>
            </w:tcBorders>
            <w:shd w:val="clear" w:color="auto" w:fill="auto"/>
          </w:tcPr>
          <w:p w14:paraId="662EA93B" w14:textId="77777777" w:rsidR="000C1D45" w:rsidRPr="007E190E" w:rsidRDefault="000C1D45" w:rsidP="007E190E">
            <w:pPr>
              <w:pStyle w:val="Heading1"/>
              <w:spacing w:before="60"/>
              <w:rPr>
                <w:rFonts w:eastAsia="SimSun"/>
                <w:sz w:val="28"/>
                <w:szCs w:val="28"/>
              </w:rPr>
            </w:pPr>
            <w:r w:rsidRPr="007E190E">
              <w:rPr>
                <w:rFonts w:eastAsia="SimSun"/>
                <w:sz w:val="28"/>
                <w:szCs w:val="28"/>
              </w:rPr>
              <w:t xml:space="preserve">Summary: Intervention and Options </w:t>
            </w:r>
          </w:p>
          <w:p w14:paraId="271F1FB7" w14:textId="77777777" w:rsidR="000C1D45" w:rsidRPr="007E190E" w:rsidRDefault="000C1D45" w:rsidP="007E190E">
            <w:pPr>
              <w:pStyle w:val="IAHeadLabel0"/>
              <w:spacing w:before="50"/>
              <w:ind w:left="113"/>
              <w:rPr>
                <w:sz w:val="28"/>
                <w:szCs w:val="28"/>
              </w:rPr>
            </w:pPr>
          </w:p>
        </w:tc>
        <w:tc>
          <w:tcPr>
            <w:tcW w:w="4098"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70107CCE" w14:textId="77777777" w:rsidR="000C1D45" w:rsidRPr="007E190E" w:rsidRDefault="000C1D45" w:rsidP="00307737">
            <w:pPr>
              <w:pStyle w:val="Title"/>
              <w:rPr>
                <w:rFonts w:eastAsia="SimSun"/>
                <w:b/>
                <w:color w:val="auto"/>
                <w:sz w:val="24"/>
                <w:szCs w:val="24"/>
              </w:rPr>
            </w:pPr>
            <w:r w:rsidRPr="007E190E">
              <w:rPr>
                <w:rFonts w:eastAsia="SimSun"/>
                <w:b/>
                <w:color w:val="auto"/>
                <w:sz w:val="24"/>
                <w:szCs w:val="24"/>
              </w:rPr>
              <w:t>RPC</w:t>
            </w:r>
            <w:r w:rsidR="00EC6B93" w:rsidRPr="007E190E">
              <w:rPr>
                <w:rFonts w:eastAsia="SimSun"/>
                <w:b/>
                <w:color w:val="auto"/>
                <w:sz w:val="24"/>
                <w:szCs w:val="24"/>
              </w:rPr>
              <w:t xml:space="preserve"> Opinion</w:t>
            </w:r>
            <w:r w:rsidRPr="007E190E">
              <w:rPr>
                <w:rFonts w:eastAsia="SimSun"/>
                <w:b/>
                <w:color w:val="auto"/>
                <w:sz w:val="24"/>
                <w:szCs w:val="24"/>
              </w:rPr>
              <w:t xml:space="preserve">: </w:t>
            </w:r>
            <w:r w:rsidR="00307737">
              <w:rPr>
                <w:rStyle w:val="IARPCChar"/>
              </w:rPr>
              <w:fldChar w:fldCharType="begin">
                <w:ffData>
                  <w:name w:val="IARPC"/>
                  <w:enabled/>
                  <w:calcOnExit w:val="0"/>
                  <w:ddList>
                    <w:listEntry w:val="RPC Opinion Status"/>
                    <w:listEntry w:val="Awaiting Scrutiny"/>
                    <w:listEntry w:val="RED"/>
                    <w:listEntry w:val="AMBER"/>
                    <w:listEntry w:val="GREEN"/>
                    <w:listEntry w:val="EANDCB Validated"/>
                    <w:listEntry w:val="Not Applicable"/>
                  </w:ddList>
                </w:ffData>
              </w:fldChar>
            </w:r>
            <w:bookmarkStart w:id="9" w:name="IARPC"/>
            <w:r w:rsidR="00307737">
              <w:rPr>
                <w:rStyle w:val="IARPCChar"/>
              </w:rPr>
              <w:instrText xml:space="preserve"> FORMDROPDOWN </w:instrText>
            </w:r>
            <w:r w:rsidR="00765259">
              <w:rPr>
                <w:rStyle w:val="IARPCChar"/>
              </w:rPr>
            </w:r>
            <w:r w:rsidR="00765259">
              <w:rPr>
                <w:rStyle w:val="IARPCChar"/>
              </w:rPr>
              <w:fldChar w:fldCharType="separate"/>
            </w:r>
            <w:r w:rsidR="00307737">
              <w:rPr>
                <w:rStyle w:val="IARPCChar"/>
              </w:rPr>
              <w:fldChar w:fldCharType="end"/>
            </w:r>
            <w:bookmarkEnd w:id="9"/>
          </w:p>
        </w:tc>
      </w:tr>
      <w:tr w:rsidR="00372A69" w:rsidRPr="002800A3" w14:paraId="51988836" w14:textId="77777777" w:rsidTr="00626698">
        <w:trPr>
          <w:trHeight w:hRule="exact" w:val="90"/>
        </w:trPr>
        <w:tc>
          <w:tcPr>
            <w:tcW w:w="10216" w:type="dxa"/>
            <w:gridSpan w:val="7"/>
            <w:tcBorders>
              <w:top w:val="single" w:sz="4" w:space="0" w:color="auto"/>
              <w:left w:val="nil"/>
              <w:bottom w:val="nil"/>
              <w:right w:val="single" w:sz="4" w:space="0" w:color="auto"/>
            </w:tcBorders>
            <w:shd w:val="clear" w:color="auto" w:fill="auto"/>
          </w:tcPr>
          <w:p w14:paraId="2670D498" w14:textId="77777777" w:rsidR="00372A69" w:rsidRPr="007E190E" w:rsidRDefault="00372A69" w:rsidP="00372A69">
            <w:pPr>
              <w:rPr>
                <w:rFonts w:eastAsia="SimSun"/>
              </w:rPr>
            </w:pPr>
          </w:p>
        </w:tc>
      </w:tr>
      <w:tr w:rsidR="00372A69" w:rsidRPr="002800A3" w14:paraId="31D5F8BF" w14:textId="77777777" w:rsidTr="00626698">
        <w:tblPrEx>
          <w:tblBorders>
            <w:insideV w:val="none" w:sz="0" w:space="0" w:color="auto"/>
          </w:tblBorders>
          <w:shd w:val="clear" w:color="auto" w:fill="E0E0E0"/>
        </w:tblPrEx>
        <w:trPr>
          <w:gridAfter w:val="1"/>
          <w:wAfter w:w="9" w:type="dxa"/>
          <w:trHeight w:hRule="exact" w:val="312"/>
        </w:trPr>
        <w:tc>
          <w:tcPr>
            <w:tcW w:w="10207" w:type="dxa"/>
            <w:gridSpan w:val="6"/>
            <w:tcBorders>
              <w:top w:val="single" w:sz="4" w:space="0" w:color="auto"/>
              <w:bottom w:val="nil"/>
              <w:right w:val="single" w:sz="4" w:space="0" w:color="auto"/>
            </w:tcBorders>
            <w:shd w:val="clear" w:color="auto" w:fill="E0E0E0"/>
          </w:tcPr>
          <w:p w14:paraId="63AE53E9" w14:textId="77777777" w:rsidR="00372A69" w:rsidRPr="000E02BE" w:rsidRDefault="00372A69" w:rsidP="006A0557">
            <w:pPr>
              <w:pStyle w:val="IATableLabel"/>
              <w:ind w:left="0"/>
              <w:jc w:val="center"/>
            </w:pPr>
            <w:bookmarkStart w:id="10" w:name="CostText"/>
            <w:r>
              <w:t>Cost of Preferred (or more likely) Optio</w:t>
            </w:r>
            <w:r w:rsidR="00F06858">
              <w:t>n</w:t>
            </w:r>
            <w:bookmarkEnd w:id="10"/>
          </w:p>
        </w:tc>
      </w:tr>
      <w:tr w:rsidR="00372A69" w:rsidRPr="002800A3" w14:paraId="0F67E571" w14:textId="77777777" w:rsidTr="00626698">
        <w:tblPrEx>
          <w:tblBorders>
            <w:insideV w:val="none" w:sz="0" w:space="0" w:color="auto"/>
          </w:tblBorders>
          <w:shd w:val="clear" w:color="auto" w:fill="E0E0E0"/>
        </w:tblPrEx>
        <w:trPr>
          <w:gridAfter w:val="1"/>
          <w:wAfter w:w="9" w:type="dxa"/>
          <w:trHeight w:hRule="exact" w:val="571"/>
        </w:trPr>
        <w:tc>
          <w:tcPr>
            <w:tcW w:w="1706" w:type="dxa"/>
            <w:tcBorders>
              <w:top w:val="single" w:sz="4" w:space="0" w:color="auto"/>
              <w:bottom w:val="nil"/>
              <w:right w:val="single" w:sz="4" w:space="0" w:color="auto"/>
            </w:tcBorders>
            <w:shd w:val="clear" w:color="auto" w:fill="E0E0E0"/>
            <w:vAlign w:val="center"/>
          </w:tcPr>
          <w:p w14:paraId="78B48ED3" w14:textId="77777777" w:rsidR="00372A69" w:rsidRPr="000E02BE" w:rsidRDefault="00372A69" w:rsidP="006A0557">
            <w:pPr>
              <w:pStyle w:val="IATableLabel"/>
              <w:spacing w:before="0" w:after="0"/>
            </w:pPr>
            <w:r>
              <w:t>Total Net Present Value</w:t>
            </w:r>
          </w:p>
        </w:tc>
        <w:tc>
          <w:tcPr>
            <w:tcW w:w="1560" w:type="dxa"/>
            <w:tcBorders>
              <w:top w:val="single" w:sz="4" w:space="0" w:color="auto"/>
              <w:bottom w:val="nil"/>
              <w:right w:val="single" w:sz="4" w:space="0" w:color="auto"/>
            </w:tcBorders>
            <w:shd w:val="clear" w:color="auto" w:fill="E0E0E0"/>
            <w:vAlign w:val="center"/>
          </w:tcPr>
          <w:p w14:paraId="41D833E1" w14:textId="77777777" w:rsidR="00372A69" w:rsidRPr="000E02BE" w:rsidRDefault="00372A69" w:rsidP="006A0557">
            <w:pPr>
              <w:pStyle w:val="IATableLabel"/>
              <w:spacing w:before="0" w:after="0"/>
            </w:pPr>
            <w:r>
              <w:t>Business Net Present Value</w:t>
            </w:r>
          </w:p>
        </w:tc>
        <w:tc>
          <w:tcPr>
            <w:tcW w:w="2551" w:type="dxa"/>
            <w:tcBorders>
              <w:top w:val="single" w:sz="4" w:space="0" w:color="auto"/>
              <w:bottom w:val="nil"/>
              <w:right w:val="single" w:sz="4" w:space="0" w:color="auto"/>
            </w:tcBorders>
            <w:shd w:val="clear" w:color="auto" w:fill="E0E0E0"/>
            <w:vAlign w:val="center"/>
          </w:tcPr>
          <w:p w14:paraId="1E4B2910" w14:textId="77777777" w:rsidR="00372A69" w:rsidRPr="000E02BE" w:rsidRDefault="00372A69" w:rsidP="006C6483">
            <w:pPr>
              <w:pStyle w:val="IATableLabel"/>
              <w:spacing w:before="0" w:after="0"/>
            </w:pPr>
            <w:r>
              <w:t xml:space="preserve">Net cost </w:t>
            </w:r>
            <w:r w:rsidR="00332B05">
              <w:t xml:space="preserve">to business </w:t>
            </w:r>
            <w:r>
              <w:t>per year</w:t>
            </w:r>
            <w:r w:rsidR="006656EC">
              <w:t xml:space="preserve"> </w:t>
            </w:r>
            <w:r w:rsidR="006656EC" w:rsidRPr="006656EC">
              <w:rPr>
                <w:b w:val="0"/>
              </w:rPr>
              <w:t>(</w:t>
            </w:r>
            <w:r w:rsidR="00332B05" w:rsidRPr="00307737">
              <w:rPr>
                <w:b w:val="0"/>
                <w:sz w:val="16"/>
                <w:szCs w:val="16"/>
              </w:rPr>
              <w:t>EAN</w:t>
            </w:r>
            <w:r w:rsidR="00E81F35" w:rsidRPr="00307737">
              <w:rPr>
                <w:b w:val="0"/>
                <w:sz w:val="16"/>
                <w:szCs w:val="16"/>
              </w:rPr>
              <w:t>D</w:t>
            </w:r>
            <w:r w:rsidR="00332B05" w:rsidRPr="00307737">
              <w:rPr>
                <w:b w:val="0"/>
                <w:sz w:val="16"/>
                <w:szCs w:val="16"/>
              </w:rPr>
              <w:t xml:space="preserve">CB </w:t>
            </w:r>
            <w:r w:rsidR="006C6483" w:rsidRPr="00307737">
              <w:rPr>
                <w:b w:val="0"/>
                <w:sz w:val="16"/>
                <w:szCs w:val="16"/>
              </w:rPr>
              <w:t>i</w:t>
            </w:r>
            <w:r w:rsidR="006656EC" w:rsidRPr="00307737">
              <w:rPr>
                <w:b w:val="0"/>
                <w:sz w:val="16"/>
                <w:szCs w:val="16"/>
              </w:rPr>
              <w:t>n 20</w:t>
            </w:r>
            <w:r w:rsidR="00E81F35" w:rsidRPr="00307737">
              <w:rPr>
                <w:b w:val="0"/>
                <w:sz w:val="16"/>
                <w:szCs w:val="16"/>
              </w:rPr>
              <w:t>14</w:t>
            </w:r>
            <w:r w:rsidR="006656EC" w:rsidRPr="00307737">
              <w:rPr>
                <w:b w:val="0"/>
                <w:sz w:val="16"/>
                <w:szCs w:val="16"/>
              </w:rPr>
              <w:t xml:space="preserve"> prices</w:t>
            </w:r>
            <w:r w:rsidR="006656EC" w:rsidRPr="006656EC">
              <w:rPr>
                <w:b w:val="0"/>
                <w:sz w:val="16"/>
                <w:szCs w:val="16"/>
              </w:rPr>
              <w:t>)</w:t>
            </w:r>
          </w:p>
        </w:tc>
        <w:tc>
          <w:tcPr>
            <w:tcW w:w="1559" w:type="dxa"/>
            <w:gridSpan w:val="2"/>
            <w:tcBorders>
              <w:top w:val="single" w:sz="4" w:space="0" w:color="auto"/>
              <w:left w:val="single" w:sz="4" w:space="0" w:color="auto"/>
              <w:bottom w:val="nil"/>
              <w:right w:val="single" w:sz="4" w:space="0" w:color="auto"/>
            </w:tcBorders>
            <w:shd w:val="clear" w:color="auto" w:fill="E0E0E0"/>
            <w:vAlign w:val="center"/>
          </w:tcPr>
          <w:p w14:paraId="44731AFC" w14:textId="77777777" w:rsidR="00A0444F" w:rsidRDefault="00372A69" w:rsidP="00E81F35">
            <w:pPr>
              <w:pStyle w:val="IATableLabel"/>
              <w:spacing w:before="0" w:after="0"/>
            </w:pPr>
            <w:r>
              <w:t>On</w:t>
            </w:r>
            <w:r w:rsidR="00290335">
              <w:t>e</w:t>
            </w:r>
            <w:r>
              <w:t xml:space="preserve">-In, </w:t>
            </w:r>
          </w:p>
          <w:p w14:paraId="0EDF1D07" w14:textId="77777777" w:rsidR="00372A69" w:rsidRPr="000E02BE" w:rsidRDefault="003228BF" w:rsidP="00E81F35">
            <w:pPr>
              <w:pStyle w:val="IATableLabel"/>
              <w:spacing w:before="0" w:after="0"/>
            </w:pPr>
            <w:r>
              <w:t>T</w:t>
            </w:r>
            <w:r w:rsidR="00E81F35">
              <w:t>hree</w:t>
            </w:r>
            <w:r w:rsidR="00372A69">
              <w:t>-Out</w:t>
            </w:r>
          </w:p>
        </w:tc>
        <w:tc>
          <w:tcPr>
            <w:tcW w:w="2831" w:type="dxa"/>
            <w:tcBorders>
              <w:top w:val="single" w:sz="4" w:space="0" w:color="auto"/>
              <w:left w:val="single" w:sz="4" w:space="0" w:color="auto"/>
              <w:bottom w:val="nil"/>
              <w:right w:val="single" w:sz="4" w:space="0" w:color="auto"/>
            </w:tcBorders>
            <w:shd w:val="clear" w:color="auto" w:fill="E0E0E0"/>
            <w:vAlign w:val="center"/>
          </w:tcPr>
          <w:p w14:paraId="2069431A" w14:textId="77777777" w:rsidR="00372A69" w:rsidRDefault="00227EBE" w:rsidP="00000766">
            <w:pPr>
              <w:pStyle w:val="IATableLabel"/>
              <w:spacing w:before="0" w:after="0"/>
            </w:pPr>
            <w:r>
              <w:t>Business Impact Target</w:t>
            </w:r>
            <w:r w:rsidR="009A1142">
              <w:t xml:space="preserve">       S</w:t>
            </w:r>
            <w:r>
              <w:t>tatus</w:t>
            </w:r>
          </w:p>
          <w:p w14:paraId="014000B6" w14:textId="77777777" w:rsidR="00463490" w:rsidRPr="000E02BE" w:rsidRDefault="00463490" w:rsidP="00000766">
            <w:pPr>
              <w:pStyle w:val="IATableLabel"/>
              <w:spacing w:before="0" w:after="0"/>
            </w:pPr>
          </w:p>
        </w:tc>
      </w:tr>
      <w:tr w:rsidR="00372A69" w:rsidRPr="002800A3" w14:paraId="1BD22A1F" w14:textId="77777777" w:rsidTr="00626698">
        <w:tblPrEx>
          <w:tblBorders>
            <w:insideV w:val="none" w:sz="0" w:space="0" w:color="auto"/>
          </w:tblBorders>
          <w:shd w:val="clear" w:color="auto" w:fill="E0E0E0"/>
        </w:tblPrEx>
        <w:trPr>
          <w:gridAfter w:val="1"/>
          <w:wAfter w:w="9" w:type="dxa"/>
          <w:trHeight w:hRule="exact" w:val="340"/>
        </w:trPr>
        <w:tc>
          <w:tcPr>
            <w:tcW w:w="1706" w:type="dxa"/>
            <w:tcBorders>
              <w:top w:val="nil"/>
              <w:bottom w:val="single" w:sz="4" w:space="0" w:color="auto"/>
              <w:right w:val="single" w:sz="4" w:space="0" w:color="auto"/>
            </w:tcBorders>
            <w:shd w:val="clear" w:color="auto" w:fill="E0E0E0"/>
            <w:vAlign w:val="center"/>
          </w:tcPr>
          <w:p w14:paraId="1FD9D0AF" w14:textId="1C67D26E" w:rsidR="00372A69" w:rsidRPr="000E02BE" w:rsidRDefault="00BD13AB" w:rsidP="008369A3">
            <w:pPr>
              <w:pStyle w:val="IAIIOTNPV"/>
            </w:pPr>
            <w:bookmarkStart w:id="11" w:name="IATNPV"/>
            <w:r>
              <w:t>£</w:t>
            </w:r>
            <w:bookmarkEnd w:id="11"/>
            <w:r>
              <w:t>29.</w:t>
            </w:r>
            <w:r w:rsidR="000441E3">
              <w:t xml:space="preserve">83 </w:t>
            </w:r>
            <w:r>
              <w:t>m</w:t>
            </w:r>
          </w:p>
        </w:tc>
        <w:bookmarkStart w:id="12" w:name="IABNPV"/>
        <w:tc>
          <w:tcPr>
            <w:tcW w:w="1560" w:type="dxa"/>
            <w:tcBorders>
              <w:top w:val="nil"/>
              <w:bottom w:val="single" w:sz="4" w:space="0" w:color="auto"/>
              <w:right w:val="single" w:sz="4" w:space="0" w:color="auto"/>
            </w:tcBorders>
            <w:shd w:val="clear" w:color="auto" w:fill="E0E0E0"/>
            <w:vAlign w:val="center"/>
          </w:tcPr>
          <w:p w14:paraId="02278423" w14:textId="77777777" w:rsidR="00372A69" w:rsidRPr="000E02BE" w:rsidRDefault="005A0B86" w:rsidP="008369A3">
            <w:pPr>
              <w:pStyle w:val="IAIOBNPV"/>
            </w:pPr>
            <w:r>
              <w:fldChar w:fldCharType="begin">
                <w:ffData>
                  <w:name w:val="IABNPV"/>
                  <w:enabled/>
                  <w:calcOnExit w:val="0"/>
                  <w:textInput>
                    <w:default w:val="£m"/>
                    <w:maxLength w:val="9"/>
                  </w:textInput>
                </w:ffData>
              </w:fldChar>
            </w:r>
            <w:r>
              <w:instrText xml:space="preserve"> FORMTEXT </w:instrText>
            </w:r>
            <w:r>
              <w:fldChar w:fldCharType="separate"/>
            </w:r>
            <w:r>
              <w:rPr>
                <w:noProof/>
              </w:rPr>
              <w:t>£m</w:t>
            </w:r>
            <w:r>
              <w:fldChar w:fldCharType="end"/>
            </w:r>
            <w:bookmarkEnd w:id="12"/>
          </w:p>
        </w:tc>
        <w:bookmarkStart w:id="13" w:name="IANCTBPY"/>
        <w:tc>
          <w:tcPr>
            <w:tcW w:w="2551" w:type="dxa"/>
            <w:tcBorders>
              <w:top w:val="nil"/>
              <w:bottom w:val="single" w:sz="4" w:space="0" w:color="auto"/>
              <w:right w:val="single" w:sz="4" w:space="0" w:color="auto"/>
            </w:tcBorders>
            <w:shd w:val="clear" w:color="auto" w:fill="E0E0E0"/>
            <w:vAlign w:val="center"/>
          </w:tcPr>
          <w:p w14:paraId="4104D12C" w14:textId="77777777" w:rsidR="00372A69" w:rsidRPr="000E02BE" w:rsidRDefault="005A0B86" w:rsidP="008369A3">
            <w:pPr>
              <w:pStyle w:val="IAIONCTBPY"/>
            </w:pPr>
            <w:r>
              <w:fldChar w:fldCharType="begin">
                <w:ffData>
                  <w:name w:val="IANCTBPY"/>
                  <w:enabled/>
                  <w:calcOnExit w:val="0"/>
                  <w:textInput>
                    <w:default w:val="£m"/>
                    <w:maxLength w:val="9"/>
                  </w:textInput>
                </w:ffData>
              </w:fldChar>
            </w:r>
            <w:r>
              <w:instrText xml:space="preserve"> FORMTEXT </w:instrText>
            </w:r>
            <w:r>
              <w:fldChar w:fldCharType="separate"/>
            </w:r>
            <w:r>
              <w:rPr>
                <w:noProof/>
              </w:rPr>
              <w:t>£m</w:t>
            </w:r>
            <w:r>
              <w:fldChar w:fldCharType="end"/>
            </w:r>
            <w:bookmarkEnd w:id="13"/>
          </w:p>
        </w:tc>
        <w:tc>
          <w:tcPr>
            <w:tcW w:w="1559" w:type="dxa"/>
            <w:gridSpan w:val="2"/>
            <w:tcBorders>
              <w:top w:val="nil"/>
              <w:left w:val="single" w:sz="4" w:space="0" w:color="auto"/>
              <w:bottom w:val="single" w:sz="4" w:space="0" w:color="auto"/>
              <w:right w:val="single" w:sz="4" w:space="0" w:color="auto"/>
            </w:tcBorders>
            <w:shd w:val="clear" w:color="auto" w:fill="E0E0E0"/>
            <w:vAlign w:val="center"/>
          </w:tcPr>
          <w:p w14:paraId="70D96BC0" w14:textId="77777777" w:rsidR="00372A69" w:rsidRPr="000E02BE" w:rsidRDefault="00A0444F" w:rsidP="008369A3">
            <w:pPr>
              <w:pStyle w:val="IAIOInScopeInOut"/>
            </w:pPr>
            <w:r>
              <w:fldChar w:fldCharType="begin">
                <w:ffData>
                  <w:name w:val="IAInScopeInOut"/>
                  <w:enabled/>
                  <w:calcOnExit w:val="0"/>
                  <w:ddList>
                    <w:listEntry w:val="Not in scope"/>
                    <w:listEntry w:val="In scope"/>
                  </w:ddList>
                </w:ffData>
              </w:fldChar>
            </w:r>
            <w:bookmarkStart w:id="14" w:name="IAInScopeInOut"/>
            <w:r>
              <w:instrText xml:space="preserve"> FORMDROPDOWN </w:instrText>
            </w:r>
            <w:r w:rsidR="00765259">
              <w:fldChar w:fldCharType="separate"/>
            </w:r>
            <w:r>
              <w:fldChar w:fldCharType="end"/>
            </w:r>
            <w:bookmarkEnd w:id="14"/>
          </w:p>
        </w:tc>
        <w:tc>
          <w:tcPr>
            <w:tcW w:w="2831" w:type="dxa"/>
            <w:tcBorders>
              <w:top w:val="nil"/>
              <w:left w:val="single" w:sz="4" w:space="0" w:color="auto"/>
              <w:bottom w:val="single" w:sz="4" w:space="0" w:color="auto"/>
              <w:right w:val="single" w:sz="4" w:space="0" w:color="auto"/>
            </w:tcBorders>
            <w:shd w:val="clear" w:color="auto" w:fill="E0E0E0"/>
            <w:vAlign w:val="center"/>
          </w:tcPr>
          <w:p w14:paraId="600786FB" w14:textId="77777777" w:rsidR="00372A69" w:rsidRPr="000E02BE" w:rsidRDefault="00D07E33" w:rsidP="008369A3">
            <w:pPr>
              <w:pStyle w:val="IAIOPrefMQ"/>
            </w:pPr>
            <w:r>
              <w:fldChar w:fldCharType="begin">
                <w:ffData>
                  <w:name w:val="IAPrefMQ"/>
                  <w:enabled/>
                  <w:calcOnExit w:val="0"/>
                  <w:ddList>
                    <w:listEntry w:val="Qualifying provision"/>
                    <w:listEntry w:val="Non qualifying provision"/>
                    <w:listEntry w:val="Not a regulatory provision"/>
                  </w:ddList>
                </w:ffData>
              </w:fldChar>
            </w:r>
            <w:bookmarkStart w:id="15" w:name="IAPrefMQ"/>
            <w:r>
              <w:instrText xml:space="preserve"> FORMDROPDOWN </w:instrText>
            </w:r>
            <w:r w:rsidR="00765259">
              <w:fldChar w:fldCharType="separate"/>
            </w:r>
            <w:r>
              <w:fldChar w:fldCharType="end"/>
            </w:r>
            <w:bookmarkEnd w:id="15"/>
          </w:p>
        </w:tc>
      </w:tr>
      <w:tr w:rsidR="007208D9" w:rsidRPr="002800A3" w14:paraId="59915D52" w14:textId="77777777" w:rsidTr="00A5230D">
        <w:trPr>
          <w:gridAfter w:val="1"/>
          <w:wAfter w:w="9" w:type="dxa"/>
          <w:trHeight w:hRule="exact" w:val="2399"/>
        </w:trPr>
        <w:tc>
          <w:tcPr>
            <w:tcW w:w="10207" w:type="dxa"/>
            <w:gridSpan w:val="6"/>
            <w:tcBorders>
              <w:top w:val="single" w:sz="4" w:space="0" w:color="auto"/>
              <w:left w:val="single" w:sz="4" w:space="0" w:color="auto"/>
              <w:bottom w:val="single" w:sz="4" w:space="0" w:color="auto"/>
              <w:right w:val="single" w:sz="4" w:space="0" w:color="auto"/>
            </w:tcBorders>
          </w:tcPr>
          <w:p w14:paraId="68A6A00E" w14:textId="77777777" w:rsidR="007208D9" w:rsidRPr="00EA0B74" w:rsidRDefault="00686F5E" w:rsidP="008369A3">
            <w:pPr>
              <w:pStyle w:val="IAIOQ1"/>
            </w:pPr>
            <w:bookmarkStart w:id="16" w:name="Summary1"/>
            <w:r>
              <w:t>What is the problem under consideration? Why is government intervention necessary?</w:t>
            </w:r>
            <w:bookmarkEnd w:id="16"/>
          </w:p>
          <w:bookmarkStart w:id="17" w:name="IAIOA1"/>
          <w:p w14:paraId="5B572D26" w14:textId="54DAA012" w:rsidR="00D95EC3" w:rsidRDefault="008369A3" w:rsidP="0007695E">
            <w:pPr>
              <w:pStyle w:val="IATableLines"/>
            </w:pPr>
            <w:r>
              <w:fldChar w:fldCharType="begin">
                <w:ffData>
                  <w:name w:val="IAIOA1"/>
                  <w:enabled/>
                  <w:calcOnExit w:val="0"/>
                  <w:textInput>
                    <w:default w:val="Maximum of 7 lines"/>
                    <w:maxLength w:val="800"/>
                  </w:textInput>
                </w:ffData>
              </w:fldChar>
            </w:r>
            <w:r>
              <w:instrText xml:space="preserve"> FORMTEXT </w:instrText>
            </w:r>
            <w:r>
              <w:fldChar w:fldCharType="separate"/>
            </w:r>
            <w:r w:rsidR="00D95EC3" w:rsidRPr="00D95EC3">
              <w:t>The Immigration Rules inform the operation of the immigration system and affect all non-UK/EU entrants to the UK. Over 3 million entry clearance applications were made in the year ending June  2018. Some 235 000 entrants were granted an extension of their stay in the same period, and some 80 000 were granted settlement.  The Rules</w:t>
            </w:r>
            <w:r w:rsidR="00680B85">
              <w:t>,</w:t>
            </w:r>
            <w:r w:rsidR="00D95EC3" w:rsidRPr="00D95EC3">
              <w:t xml:space="preserve"> as of January 201</w:t>
            </w:r>
            <w:r w:rsidR="00FB36B3">
              <w:t>9</w:t>
            </w:r>
            <w:r w:rsidR="00680B85">
              <w:t>,</w:t>
            </w:r>
            <w:r w:rsidR="00D95EC3" w:rsidRPr="00D95EC3">
              <w:t xml:space="preserve"> numbered 1</w:t>
            </w:r>
            <w:r w:rsidR="00FB36B3">
              <w:t>133</w:t>
            </w:r>
            <w:r w:rsidR="00D95EC3" w:rsidRPr="00D95EC3">
              <w:t xml:space="preserve"> pages. The Rules are widely recognised to be poorly drafted leading to confusion and high numbers of appeals and judicial reviews.  The success rate of immigration appeals in the First-Tier Tribunal in January to March 2018 was 50%. The Law Commission has been tasked with identifying the underlying causes of excessive length and complexity in the Rules and to develop principles to improve them for the future</w:t>
            </w:r>
            <w:r w:rsidR="00F73F3B">
              <w:t xml:space="preserve">. </w:t>
            </w:r>
            <w:r w:rsidR="00D95EC3">
              <w:t xml:space="preserve">     </w:t>
            </w:r>
          </w:p>
          <w:p w14:paraId="3A6BF282" w14:textId="77777777" w:rsidR="00D95EC3" w:rsidRDefault="00D95EC3" w:rsidP="0007695E">
            <w:pPr>
              <w:pStyle w:val="IATableLines"/>
            </w:pPr>
          </w:p>
          <w:p w14:paraId="5A4327B0" w14:textId="77777777" w:rsidR="00D95EC3" w:rsidRDefault="00D95EC3" w:rsidP="0007695E">
            <w:pPr>
              <w:pStyle w:val="IATableLines"/>
            </w:pPr>
          </w:p>
          <w:p w14:paraId="5D566932" w14:textId="77777777" w:rsidR="00D95EC3" w:rsidRDefault="00D95EC3" w:rsidP="0007695E">
            <w:pPr>
              <w:pStyle w:val="IATableLines"/>
            </w:pPr>
          </w:p>
          <w:p w14:paraId="570E9055" w14:textId="77777777" w:rsidR="00D95EC3" w:rsidRDefault="00D95EC3" w:rsidP="0007695E">
            <w:pPr>
              <w:pStyle w:val="IATableLines"/>
            </w:pPr>
          </w:p>
          <w:p w14:paraId="64C3FFAB" w14:textId="77777777" w:rsidR="00D95EC3" w:rsidRDefault="00D95EC3" w:rsidP="0007695E">
            <w:pPr>
              <w:pStyle w:val="IATableLines"/>
            </w:pPr>
          </w:p>
          <w:p w14:paraId="4E342773" w14:textId="77777777" w:rsidR="00D95EC3" w:rsidRDefault="00D95EC3" w:rsidP="0007695E">
            <w:pPr>
              <w:pStyle w:val="IATableLines"/>
            </w:pPr>
          </w:p>
          <w:p w14:paraId="41DA48EF" w14:textId="77777777" w:rsidR="00D95EC3" w:rsidRDefault="00D95EC3" w:rsidP="0007695E">
            <w:pPr>
              <w:pStyle w:val="IATableLines"/>
            </w:pPr>
          </w:p>
          <w:p w14:paraId="6E2CD0B6" w14:textId="77777777" w:rsidR="00D95EC3" w:rsidRDefault="00D95EC3" w:rsidP="0007695E">
            <w:pPr>
              <w:pStyle w:val="IATableLines"/>
            </w:pPr>
          </w:p>
          <w:p w14:paraId="484FD8CB" w14:textId="77777777" w:rsidR="00D95EC3" w:rsidRDefault="00D95EC3" w:rsidP="0007695E">
            <w:pPr>
              <w:pStyle w:val="IATableLines"/>
            </w:pPr>
          </w:p>
          <w:p w14:paraId="3A3CB532" w14:textId="77777777" w:rsidR="00D95EC3" w:rsidRDefault="00D95EC3" w:rsidP="0007695E">
            <w:pPr>
              <w:pStyle w:val="IATableLines"/>
            </w:pPr>
          </w:p>
          <w:p w14:paraId="460003A6" w14:textId="77777777" w:rsidR="00D95EC3" w:rsidRDefault="00D95EC3" w:rsidP="0007695E">
            <w:pPr>
              <w:pStyle w:val="IATableLines"/>
            </w:pPr>
          </w:p>
          <w:p w14:paraId="0998D1E6" w14:textId="77777777" w:rsidR="00D95EC3" w:rsidRDefault="00D95EC3" w:rsidP="0007695E">
            <w:pPr>
              <w:pStyle w:val="IATableLines"/>
            </w:pPr>
          </w:p>
          <w:p w14:paraId="46B908D2" w14:textId="77777777" w:rsidR="00D95EC3" w:rsidRDefault="00D95EC3" w:rsidP="0007695E">
            <w:pPr>
              <w:pStyle w:val="IATableLines"/>
            </w:pPr>
          </w:p>
          <w:p w14:paraId="439436D5" w14:textId="77777777" w:rsidR="00D95EC3" w:rsidRDefault="00D95EC3" w:rsidP="0007695E">
            <w:pPr>
              <w:pStyle w:val="IATableLines"/>
            </w:pPr>
          </w:p>
          <w:p w14:paraId="28085B5A" w14:textId="77777777" w:rsidR="00D95EC3" w:rsidRDefault="00D95EC3" w:rsidP="0007695E">
            <w:pPr>
              <w:pStyle w:val="IATableLines"/>
            </w:pPr>
          </w:p>
          <w:p w14:paraId="63A55A98" w14:textId="77777777" w:rsidR="00E75380" w:rsidRPr="00C120C0" w:rsidRDefault="00D95EC3" w:rsidP="0007695E">
            <w:pPr>
              <w:pStyle w:val="IATableLines"/>
            </w:pPr>
            <w:r>
              <w:t>.</w:t>
            </w:r>
            <w:r w:rsidR="008369A3">
              <w:fldChar w:fldCharType="end"/>
            </w:r>
            <w:bookmarkEnd w:id="17"/>
          </w:p>
        </w:tc>
      </w:tr>
    </w:tbl>
    <w:p w14:paraId="38B60667" w14:textId="77777777" w:rsidR="007208D9" w:rsidRDefault="007208D9" w:rsidP="007208D9">
      <w:pPr>
        <w:pStyle w:val="IASpacer"/>
      </w:pPr>
    </w:p>
    <w:tbl>
      <w:tblPr>
        <w:tblW w:w="5000" w:type="pct"/>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195"/>
      </w:tblGrid>
      <w:tr w:rsidR="007208D9" w:rsidRPr="00826F71" w14:paraId="1B72A33D" w14:textId="77777777">
        <w:trPr>
          <w:trHeight w:hRule="exact" w:val="2182"/>
        </w:trPr>
        <w:tc>
          <w:tcPr>
            <w:tcW w:w="10214" w:type="dxa"/>
          </w:tcPr>
          <w:p w14:paraId="3A2081AC" w14:textId="77777777" w:rsidR="007208D9" w:rsidRPr="00EA0B74" w:rsidRDefault="00686F5E" w:rsidP="008369A3">
            <w:pPr>
              <w:pStyle w:val="IAIOQ2"/>
            </w:pPr>
            <w:bookmarkStart w:id="18" w:name="Summary2"/>
            <w:r>
              <w:t>What are the policy objectives and the intended effects?</w:t>
            </w:r>
            <w:bookmarkEnd w:id="18"/>
          </w:p>
          <w:bookmarkStart w:id="19" w:name="IAIOA2"/>
          <w:p w14:paraId="0C1B7EAD" w14:textId="579BD0B7" w:rsidR="00D95EC3" w:rsidRDefault="008369A3" w:rsidP="00D95EC3">
            <w:pPr>
              <w:pStyle w:val="IATableLines"/>
            </w:pPr>
            <w:r>
              <w:fldChar w:fldCharType="begin">
                <w:ffData>
                  <w:name w:val="IAIOA2"/>
                  <w:enabled/>
                  <w:calcOnExit w:val="0"/>
                  <w:textInput>
                    <w:default w:val="Maximum of 7 lines"/>
                    <w:maxLength w:val="800"/>
                  </w:textInput>
                </w:ffData>
              </w:fldChar>
            </w:r>
            <w:r>
              <w:instrText xml:space="preserve"> FORMTEXT </w:instrText>
            </w:r>
            <w:r>
              <w:fldChar w:fldCharType="separate"/>
            </w:r>
            <w:r w:rsidR="00D95EC3">
              <w:t>The project aims to:</w:t>
            </w:r>
          </w:p>
          <w:p w14:paraId="0FA2EADA" w14:textId="77777777" w:rsidR="00372EEC" w:rsidRDefault="00372EEC" w:rsidP="00D95EC3">
            <w:pPr>
              <w:pStyle w:val="IATableLines"/>
            </w:pPr>
          </w:p>
          <w:p w14:paraId="15D76880" w14:textId="77777777" w:rsidR="00D95EC3" w:rsidRDefault="00D95EC3" w:rsidP="00D95EC3">
            <w:pPr>
              <w:pStyle w:val="IATableLines"/>
            </w:pPr>
            <w:r>
              <w:t>•</w:t>
            </w:r>
            <w:r>
              <w:tab/>
              <w:t>enhance the accessibility of the Immigration Rules;</w:t>
            </w:r>
          </w:p>
          <w:p w14:paraId="03D0AC14" w14:textId="77777777" w:rsidR="00D95EC3" w:rsidRDefault="00D95EC3" w:rsidP="00D95EC3">
            <w:pPr>
              <w:pStyle w:val="IATableLines"/>
            </w:pPr>
            <w:r>
              <w:t>•</w:t>
            </w:r>
            <w:r>
              <w:tab/>
              <w:t>simplify and modernise the Immigration Rules; and</w:t>
            </w:r>
          </w:p>
          <w:p w14:paraId="68320CB6" w14:textId="77777777" w:rsidR="00372EEC" w:rsidRDefault="00D95EC3" w:rsidP="00D95EC3">
            <w:pPr>
              <w:pStyle w:val="IATableLines"/>
            </w:pPr>
            <w:r>
              <w:t>•</w:t>
            </w:r>
            <w:r>
              <w:tab/>
              <w:t>develop principles to guide the drafting of the Rules.</w:t>
            </w:r>
          </w:p>
          <w:p w14:paraId="776629DE" w14:textId="1453A6C8" w:rsidR="00D95EC3" w:rsidRDefault="00D95EC3" w:rsidP="00D95EC3">
            <w:pPr>
              <w:pStyle w:val="IATableLines"/>
            </w:pPr>
            <w:r>
              <w:t xml:space="preserve"> </w:t>
            </w:r>
          </w:p>
          <w:p w14:paraId="2561291A" w14:textId="77777777" w:rsidR="00E75380" w:rsidRPr="00C120C0" w:rsidRDefault="00D95EC3" w:rsidP="00D95EC3">
            <w:pPr>
              <w:pStyle w:val="IATableLines"/>
            </w:pPr>
            <w:r>
              <w:t xml:space="preserve"> The intended effect is to enable a more efficient and effective immigration system.</w:t>
            </w:r>
            <w:r>
              <w:t> </w:t>
            </w:r>
            <w:r>
              <w:t> </w:t>
            </w:r>
            <w:r>
              <w:t> </w:t>
            </w:r>
            <w:r>
              <w:t> </w:t>
            </w:r>
            <w:r>
              <w:t> </w:t>
            </w:r>
            <w:r w:rsidR="008369A3">
              <w:fldChar w:fldCharType="end"/>
            </w:r>
            <w:bookmarkEnd w:id="19"/>
          </w:p>
        </w:tc>
      </w:tr>
    </w:tbl>
    <w:p w14:paraId="17ED1801" w14:textId="77777777" w:rsidR="007208D9" w:rsidRPr="00826F71" w:rsidRDefault="007208D9" w:rsidP="007208D9">
      <w:pPr>
        <w:pStyle w:val="IASpacer"/>
      </w:pPr>
    </w:p>
    <w:tbl>
      <w:tblPr>
        <w:tblW w:w="5000" w:type="pct"/>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195"/>
      </w:tblGrid>
      <w:tr w:rsidR="00686F5E" w:rsidRPr="00826F71" w14:paraId="484E3B7A" w14:textId="77777777">
        <w:trPr>
          <w:trHeight w:hRule="exact" w:val="3179"/>
        </w:trPr>
        <w:tc>
          <w:tcPr>
            <w:tcW w:w="9648" w:type="dxa"/>
          </w:tcPr>
          <w:p w14:paraId="7DBEA4B8" w14:textId="77777777" w:rsidR="00686F5E" w:rsidRPr="00826F71" w:rsidRDefault="00686F5E" w:rsidP="008369A3">
            <w:pPr>
              <w:pStyle w:val="IAIOQ3"/>
            </w:pPr>
            <w:bookmarkStart w:id="20" w:name="IAIOQ3"/>
            <w:bookmarkStart w:id="21" w:name="Summary3"/>
            <w:r>
              <w:t>What policy options have been considered</w:t>
            </w:r>
            <w:r w:rsidR="005D6EA8">
              <w:t>, including any alternatives to regulation</w:t>
            </w:r>
            <w:r>
              <w:t>? Please justify preferred option (further details in Evidence Base)</w:t>
            </w:r>
            <w:bookmarkEnd w:id="20"/>
          </w:p>
          <w:bookmarkStart w:id="22" w:name="IAIOA3"/>
          <w:p w14:paraId="15C21631" w14:textId="77777777" w:rsidR="00D95EC3" w:rsidRDefault="008369A3" w:rsidP="00D95EC3">
            <w:pPr>
              <w:pStyle w:val="IATableLines"/>
            </w:pPr>
            <w:r>
              <w:fldChar w:fldCharType="begin">
                <w:ffData>
                  <w:name w:val="IAIOA3"/>
                  <w:enabled/>
                  <w:calcOnExit w:val="0"/>
                  <w:textInput>
                    <w:default w:val="Maximum of 10 lines"/>
                    <w:maxLength w:val="1100"/>
                  </w:textInput>
                </w:ffData>
              </w:fldChar>
            </w:r>
            <w:r>
              <w:instrText xml:space="preserve"> FORMTEXT </w:instrText>
            </w:r>
            <w:r>
              <w:fldChar w:fldCharType="separate"/>
            </w:r>
            <w:r w:rsidR="00D95EC3">
              <w:t>Option 0 - Do nothing</w:t>
            </w:r>
          </w:p>
          <w:p w14:paraId="342FBFA4" w14:textId="77777777" w:rsidR="00D95EC3" w:rsidRDefault="00D95EC3" w:rsidP="00D95EC3">
            <w:pPr>
              <w:pStyle w:val="IATableLines"/>
            </w:pPr>
            <w:r>
              <w:t>Option 1 - Comprehensive re-drafting of the Immigration Rules, improvements to the online presentation of the Rules, the creation of a review mechanism to maintain simplification in the future, and an updated archiving system</w:t>
            </w:r>
          </w:p>
          <w:p w14:paraId="26D7B4FF" w14:textId="40737532" w:rsidR="00D95EC3" w:rsidRDefault="00D95EC3" w:rsidP="00D95EC3">
            <w:pPr>
              <w:pStyle w:val="IATableLines"/>
            </w:pPr>
            <w:r>
              <w:t>Option 2 - Selected reforms (including partial restructuring and renumbering the Rules but without the review mechanism and the updated archiving system)</w:t>
            </w:r>
          </w:p>
          <w:p w14:paraId="3C4759E0" w14:textId="77777777" w:rsidR="00D95EC3" w:rsidRDefault="00D95EC3" w:rsidP="00D95EC3">
            <w:pPr>
              <w:pStyle w:val="IATableLines"/>
            </w:pPr>
          </w:p>
          <w:p w14:paraId="184FCBE8" w14:textId="77777777" w:rsidR="00D50283" w:rsidRPr="00C120C0" w:rsidRDefault="00D95EC3" w:rsidP="00D95EC3">
            <w:pPr>
              <w:pStyle w:val="IATableLines"/>
            </w:pPr>
            <w:r>
              <w:t>Option 1 is preferred because it is a proportionate response which will meet all of our objectives comprehensively.</w:t>
            </w:r>
            <w:r w:rsidR="008369A3">
              <w:fldChar w:fldCharType="end"/>
            </w:r>
            <w:bookmarkEnd w:id="22"/>
          </w:p>
        </w:tc>
      </w:tr>
    </w:tbl>
    <w:p w14:paraId="7C4C99FF" w14:textId="77777777" w:rsidR="00686F5E" w:rsidRDefault="00686F5E">
      <w:pPr>
        <w:pStyle w:val="IASpacer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95"/>
      </w:tblGrid>
      <w:tr w:rsidR="00720FFE" w14:paraId="64299A29" w14:textId="77777777" w:rsidTr="007E190E">
        <w:tc>
          <w:tcPr>
            <w:tcW w:w="5000" w:type="pct"/>
            <w:shd w:val="clear" w:color="auto" w:fill="auto"/>
          </w:tcPr>
          <w:p w14:paraId="21BCD44F" w14:textId="77777777" w:rsidR="00720FFE" w:rsidRPr="007E190E" w:rsidRDefault="00720FFE" w:rsidP="00332B05">
            <w:pPr>
              <w:pStyle w:val="IATableLabel"/>
              <w:rPr>
                <w:b w:val="0"/>
                <w:sz w:val="22"/>
                <w:szCs w:val="22"/>
              </w:rPr>
            </w:pPr>
            <w:r w:rsidRPr="00D02C89">
              <w:t xml:space="preserve">Will the policy be reviewed?  </w:t>
            </w:r>
            <w:r w:rsidRPr="007E190E">
              <w:rPr>
                <w:b w:val="0"/>
                <w:sz w:val="22"/>
                <w:szCs w:val="22"/>
              </w:rPr>
              <w:t xml:space="preserve">It </w:t>
            </w:r>
            <w:bookmarkStart w:id="23" w:name="IAPolicyReview"/>
            <w:r w:rsidR="00BB249D" w:rsidRPr="007E190E">
              <w:rPr>
                <w:rStyle w:val="IAIOPolicyReviewChar"/>
              </w:rPr>
              <w:fldChar w:fldCharType="begin">
                <w:ffData>
                  <w:name w:val="IAPolicyReview"/>
                  <w:enabled/>
                  <w:calcOnExit w:val="0"/>
                  <w:ddList>
                    <w:listEntry w:val="will/will not"/>
                    <w:listEntry w:val="will"/>
                    <w:listEntry w:val="will not"/>
                  </w:ddList>
                </w:ffData>
              </w:fldChar>
            </w:r>
            <w:r w:rsidR="00BB249D" w:rsidRPr="007E190E">
              <w:rPr>
                <w:rStyle w:val="IAIOPolicyReviewChar"/>
              </w:rPr>
              <w:instrText xml:space="preserve"> FORMDROPDOWN </w:instrText>
            </w:r>
            <w:r w:rsidR="00765259">
              <w:rPr>
                <w:rStyle w:val="IAIOPolicyReviewChar"/>
              </w:rPr>
            </w:r>
            <w:r w:rsidR="00765259">
              <w:rPr>
                <w:rStyle w:val="IAIOPolicyReviewChar"/>
              </w:rPr>
              <w:fldChar w:fldCharType="separate"/>
            </w:r>
            <w:r w:rsidR="00BB249D" w:rsidRPr="007E190E">
              <w:rPr>
                <w:rStyle w:val="IAIOPolicyReviewChar"/>
              </w:rPr>
              <w:fldChar w:fldCharType="end"/>
            </w:r>
            <w:bookmarkEnd w:id="23"/>
            <w:r w:rsidRPr="007E190E">
              <w:rPr>
                <w:b w:val="0"/>
                <w:sz w:val="22"/>
                <w:szCs w:val="22"/>
              </w:rPr>
              <w:t xml:space="preserve"> be reviewed.</w:t>
            </w:r>
            <w:r w:rsidRPr="007E190E">
              <w:rPr>
                <w:sz w:val="22"/>
                <w:szCs w:val="22"/>
              </w:rPr>
              <w:t xml:space="preserve"> </w:t>
            </w:r>
            <w:r w:rsidRPr="00D02C89">
              <w:t xml:space="preserve"> If applicable, set review date:  </w:t>
            </w:r>
            <w:bookmarkStart w:id="24" w:name="IAReviewMonth"/>
            <w:r w:rsidR="00BB249D" w:rsidRPr="007E190E">
              <w:rPr>
                <w:rStyle w:val="IAIOReviewMonthChar"/>
              </w:rPr>
              <w:fldChar w:fldCharType="begin">
                <w:ffData>
                  <w:name w:val="IAReviewMonth"/>
                  <w:enabled/>
                  <w:calcOnExit w:val="0"/>
                  <w:ddList>
                    <w:listEntry w:val="Month"/>
                    <w:listEntry w:val="01"/>
                    <w:listEntry w:val="02"/>
                    <w:listEntry w:val="03"/>
                    <w:listEntry w:val="04"/>
                    <w:listEntry w:val="05"/>
                    <w:listEntry w:val="06"/>
                    <w:listEntry w:val="07"/>
                    <w:listEntry w:val="08"/>
                    <w:listEntry w:val="09"/>
                    <w:listEntry w:val="10"/>
                    <w:listEntry w:val="11"/>
                    <w:listEntry w:val="12"/>
                  </w:ddList>
                </w:ffData>
              </w:fldChar>
            </w:r>
            <w:r w:rsidR="00BB249D" w:rsidRPr="007E190E">
              <w:rPr>
                <w:rStyle w:val="IAIOReviewMonthChar"/>
              </w:rPr>
              <w:instrText xml:space="preserve"> FORMDROPDOWN </w:instrText>
            </w:r>
            <w:r w:rsidR="00765259">
              <w:rPr>
                <w:rStyle w:val="IAIOReviewMonthChar"/>
              </w:rPr>
            </w:r>
            <w:r w:rsidR="00765259">
              <w:rPr>
                <w:rStyle w:val="IAIOReviewMonthChar"/>
              </w:rPr>
              <w:fldChar w:fldCharType="separate"/>
            </w:r>
            <w:r w:rsidR="00BB249D" w:rsidRPr="007E190E">
              <w:rPr>
                <w:rStyle w:val="IAIOReviewMonthChar"/>
              </w:rPr>
              <w:fldChar w:fldCharType="end"/>
            </w:r>
            <w:bookmarkEnd w:id="24"/>
            <w:r w:rsidRPr="007E190E">
              <w:rPr>
                <w:b w:val="0"/>
                <w:sz w:val="22"/>
                <w:szCs w:val="22"/>
              </w:rPr>
              <w:t>/</w:t>
            </w:r>
            <w:bookmarkStart w:id="25" w:name="IAReviewYear"/>
            <w:r w:rsidR="00BB249D" w:rsidRPr="007E190E">
              <w:rPr>
                <w:rStyle w:val="IAIOReviewYearChar"/>
              </w:rPr>
              <w:fldChar w:fldCharType="begin">
                <w:ffData>
                  <w:name w:val="IAReviewYear"/>
                  <w:enabled/>
                  <w:calcOnExit w:val="0"/>
                  <w:ddList>
                    <w:listEntry w:val="Year"/>
                    <w:listEntry w:val="2010"/>
                    <w:listEntry w:val="2011"/>
                    <w:listEntry w:val="2012"/>
                    <w:listEntry w:val="2013"/>
                    <w:listEntry w:val="2014"/>
                    <w:listEntry w:val="2015"/>
                    <w:listEntry w:val="2016"/>
                    <w:listEntry w:val="2017"/>
                    <w:listEntry w:val="2018"/>
                    <w:listEntry w:val="2019"/>
                    <w:listEntry w:val="2020"/>
                    <w:listEntry w:val="2021"/>
                    <w:listEntry w:val="2022"/>
                    <w:listEntry w:val="2023"/>
                    <w:listEntry w:val="2024"/>
                    <w:listEntry w:val="2025"/>
                  </w:ddList>
                </w:ffData>
              </w:fldChar>
            </w:r>
            <w:r w:rsidR="00BB249D" w:rsidRPr="007E190E">
              <w:rPr>
                <w:rStyle w:val="IAIOReviewYearChar"/>
              </w:rPr>
              <w:instrText xml:space="preserve"> FORMDROPDOWN </w:instrText>
            </w:r>
            <w:r w:rsidR="00765259">
              <w:rPr>
                <w:rStyle w:val="IAIOReviewYearChar"/>
              </w:rPr>
            </w:r>
            <w:r w:rsidR="00765259">
              <w:rPr>
                <w:rStyle w:val="IAIOReviewYearChar"/>
              </w:rPr>
              <w:fldChar w:fldCharType="separate"/>
            </w:r>
            <w:r w:rsidR="00BB249D" w:rsidRPr="007E190E">
              <w:rPr>
                <w:rStyle w:val="IAIOReviewYearChar"/>
              </w:rPr>
              <w:fldChar w:fldCharType="end"/>
            </w:r>
            <w:bookmarkEnd w:id="25"/>
          </w:p>
        </w:tc>
      </w:tr>
    </w:tbl>
    <w:p w14:paraId="2B0C1154" w14:textId="77777777" w:rsidR="007E190E" w:rsidRPr="007E190E" w:rsidRDefault="007E190E" w:rsidP="007E190E">
      <w:pPr>
        <w:rPr>
          <w:vanish/>
        </w:rPr>
      </w:pPr>
      <w:bookmarkStart w:id="26" w:name="Summary4"/>
      <w:bookmarkEnd w:id="21"/>
    </w:p>
    <w:tbl>
      <w:tblPr>
        <w:tblW w:w="499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left w:w="0" w:type="dxa"/>
          <w:right w:w="0" w:type="dxa"/>
        </w:tblCellMar>
        <w:tblLook w:val="01E0" w:firstRow="1" w:lastRow="1" w:firstColumn="1" w:lastColumn="1" w:noHBand="0" w:noVBand="0"/>
      </w:tblPr>
      <w:tblGrid>
        <w:gridCol w:w="6257"/>
        <w:gridCol w:w="981"/>
        <w:gridCol w:w="981"/>
        <w:gridCol w:w="347"/>
        <w:gridCol w:w="634"/>
        <w:gridCol w:w="981"/>
      </w:tblGrid>
      <w:tr w:rsidR="006656EC" w:rsidRPr="00D50283" w14:paraId="571C1779" w14:textId="77777777">
        <w:trPr>
          <w:trHeight w:hRule="exact" w:val="340"/>
        </w:trPr>
        <w:tc>
          <w:tcPr>
            <w:tcW w:w="7252" w:type="dxa"/>
            <w:gridSpan w:val="2"/>
            <w:shd w:val="clear" w:color="auto" w:fill="E0E0E0"/>
            <w:vAlign w:val="center"/>
          </w:tcPr>
          <w:p w14:paraId="090195B7" w14:textId="77777777" w:rsidR="006656EC" w:rsidRPr="00D50283" w:rsidRDefault="006656EC" w:rsidP="006A0557">
            <w:pPr>
              <w:pStyle w:val="IATableText"/>
              <w:spacing w:before="0" w:after="0"/>
              <w:rPr>
                <w:sz w:val="20"/>
              </w:rPr>
            </w:pPr>
            <w:r w:rsidRPr="00D50283">
              <w:rPr>
                <w:iCs/>
                <w:sz w:val="20"/>
              </w:rPr>
              <w:t>Does implementation go beyond minimum EU requirements?</w:t>
            </w:r>
          </w:p>
        </w:tc>
        <w:bookmarkStart w:id="27" w:name="IACheckEU"/>
        <w:tc>
          <w:tcPr>
            <w:tcW w:w="2949" w:type="dxa"/>
            <w:gridSpan w:val="4"/>
            <w:tcBorders>
              <w:bottom w:val="single" w:sz="4" w:space="0" w:color="auto"/>
            </w:tcBorders>
            <w:shd w:val="clear" w:color="auto" w:fill="E0E0E0"/>
            <w:vAlign w:val="center"/>
          </w:tcPr>
          <w:p w14:paraId="1CD94AED" w14:textId="77777777" w:rsidR="006656EC" w:rsidRPr="00D50283" w:rsidRDefault="00BB249D" w:rsidP="00F91F5A">
            <w:pPr>
              <w:pStyle w:val="IAIOCheckEU"/>
            </w:pPr>
            <w:r>
              <w:fldChar w:fldCharType="begin">
                <w:ffData>
                  <w:name w:val="IACheckEU"/>
                  <w:enabled/>
                  <w:calcOnExit w:val="0"/>
                  <w:ddList>
                    <w:listEntry w:val="Yes / No / N/A"/>
                    <w:listEntry w:val="Yes"/>
                    <w:listEntry w:val="No"/>
                    <w:listEntry w:val="N/A"/>
                  </w:ddList>
                </w:ffData>
              </w:fldChar>
            </w:r>
            <w:r>
              <w:instrText xml:space="preserve"> FORMDROPDOWN </w:instrText>
            </w:r>
            <w:r w:rsidR="00765259">
              <w:fldChar w:fldCharType="separate"/>
            </w:r>
            <w:r>
              <w:fldChar w:fldCharType="end"/>
            </w:r>
            <w:bookmarkEnd w:id="27"/>
          </w:p>
        </w:tc>
      </w:tr>
      <w:tr w:rsidR="00422963" w:rsidRPr="00D50283" w14:paraId="7CBF437A" w14:textId="77777777" w:rsidTr="000A5C5D">
        <w:trPr>
          <w:trHeight w:val="460"/>
        </w:trPr>
        <w:tc>
          <w:tcPr>
            <w:tcW w:w="6269" w:type="dxa"/>
            <w:shd w:val="clear" w:color="auto" w:fill="E0E0E0"/>
            <w:vAlign w:val="center"/>
          </w:tcPr>
          <w:p w14:paraId="6BBD71B1" w14:textId="77777777" w:rsidR="00422963" w:rsidRPr="00720FFE" w:rsidRDefault="00422963" w:rsidP="00422963">
            <w:pPr>
              <w:pStyle w:val="IATableLines"/>
              <w:rPr>
                <w:b/>
                <w:color w:val="000000"/>
                <w:sz w:val="20"/>
              </w:rPr>
            </w:pPr>
            <w:r w:rsidRPr="00D50283">
              <w:rPr>
                <w:rFonts w:cs="Arial"/>
                <w:sz w:val="20"/>
              </w:rPr>
              <w:t>Are a</w:t>
            </w:r>
            <w:r>
              <w:rPr>
                <w:rFonts w:cs="Arial"/>
                <w:sz w:val="20"/>
              </w:rPr>
              <w:t>ny of these organisations in scope</w:t>
            </w:r>
            <w:r w:rsidRPr="00D50283">
              <w:rPr>
                <w:rFonts w:cs="Arial"/>
                <w:sz w:val="20"/>
              </w:rPr>
              <w:t>?</w:t>
            </w:r>
          </w:p>
        </w:tc>
        <w:tc>
          <w:tcPr>
            <w:tcW w:w="983" w:type="dxa"/>
            <w:shd w:val="clear" w:color="auto" w:fill="E0E0E0"/>
            <w:vAlign w:val="center"/>
          </w:tcPr>
          <w:p w14:paraId="5DBF935A" w14:textId="77777777" w:rsidR="00422963" w:rsidRPr="00720FFE" w:rsidRDefault="00422963" w:rsidP="00422963">
            <w:pPr>
              <w:pStyle w:val="IATableLines"/>
              <w:rPr>
                <w:b/>
                <w:color w:val="000000"/>
                <w:sz w:val="20"/>
              </w:rPr>
            </w:pPr>
            <w:r w:rsidRPr="00720FFE">
              <w:rPr>
                <w:b/>
                <w:color w:val="000000"/>
                <w:sz w:val="20"/>
              </w:rPr>
              <w:t>Micro</w:t>
            </w:r>
            <w:bookmarkStart w:id="28" w:name="IACheckMicro"/>
            <w:r w:rsidRPr="00817638">
              <w:rPr>
                <w:rStyle w:val="IAIOCheckMicroChar"/>
                <w:b w:val="0"/>
                <w:sz w:val="20"/>
              </w:rPr>
              <w:fldChar w:fldCharType="begin">
                <w:ffData>
                  <w:name w:val="IACheckMicro"/>
                  <w:enabled/>
                  <w:calcOnExit w:val="0"/>
                  <w:ddList>
                    <w:listEntry w:val="Yes/No"/>
                    <w:listEntry w:val="Yes"/>
                    <w:listEntry w:val="No"/>
                  </w:ddList>
                </w:ffData>
              </w:fldChar>
            </w:r>
            <w:r w:rsidRPr="00817638">
              <w:rPr>
                <w:rStyle w:val="IAIOCheckMicroChar"/>
                <w:b w:val="0"/>
                <w:sz w:val="20"/>
              </w:rPr>
              <w:instrText xml:space="preserve"> FORMDROPDOWN </w:instrText>
            </w:r>
            <w:r w:rsidR="00765259">
              <w:rPr>
                <w:rStyle w:val="IAIOCheckMicroChar"/>
                <w:b w:val="0"/>
                <w:sz w:val="20"/>
              </w:rPr>
            </w:r>
            <w:r w:rsidR="00765259">
              <w:rPr>
                <w:rStyle w:val="IAIOCheckMicroChar"/>
                <w:b w:val="0"/>
                <w:sz w:val="20"/>
              </w:rPr>
              <w:fldChar w:fldCharType="separate"/>
            </w:r>
            <w:r w:rsidRPr="00817638">
              <w:rPr>
                <w:rStyle w:val="IAIOCheckMicroChar"/>
                <w:b w:val="0"/>
                <w:sz w:val="20"/>
              </w:rPr>
              <w:fldChar w:fldCharType="end"/>
            </w:r>
            <w:bookmarkEnd w:id="28"/>
          </w:p>
        </w:tc>
        <w:tc>
          <w:tcPr>
            <w:tcW w:w="983" w:type="dxa"/>
            <w:shd w:val="clear" w:color="auto" w:fill="E0E0E0"/>
            <w:vAlign w:val="center"/>
          </w:tcPr>
          <w:p w14:paraId="1984CDDF" w14:textId="77777777" w:rsidR="00422963" w:rsidRPr="00720FFE" w:rsidRDefault="00422963" w:rsidP="00422963">
            <w:pPr>
              <w:pStyle w:val="IATableLines"/>
              <w:rPr>
                <w:b/>
                <w:color w:val="000000"/>
                <w:sz w:val="20"/>
              </w:rPr>
            </w:pPr>
            <w:r w:rsidRPr="00720FFE">
              <w:rPr>
                <w:b/>
                <w:color w:val="000000"/>
                <w:sz w:val="20"/>
              </w:rPr>
              <w:t>Small</w:t>
            </w:r>
            <w:bookmarkStart w:id="29" w:name="IACheckSmall"/>
            <w:r w:rsidRPr="00817638">
              <w:rPr>
                <w:rStyle w:val="IAIOCheckSmallChar"/>
                <w:b w:val="0"/>
                <w:sz w:val="20"/>
              </w:rPr>
              <w:fldChar w:fldCharType="begin">
                <w:ffData>
                  <w:name w:val="IACheckSmall"/>
                  <w:enabled/>
                  <w:calcOnExit w:val="0"/>
                  <w:ddList>
                    <w:listEntry w:val="Yes/No"/>
                    <w:listEntry w:val="Yes"/>
                    <w:listEntry w:val="No"/>
                  </w:ddList>
                </w:ffData>
              </w:fldChar>
            </w:r>
            <w:r w:rsidRPr="00817638">
              <w:rPr>
                <w:rStyle w:val="IAIOCheckSmallChar"/>
                <w:b w:val="0"/>
                <w:sz w:val="20"/>
              </w:rPr>
              <w:instrText xml:space="preserve"> FORMDROPDOWN </w:instrText>
            </w:r>
            <w:r w:rsidR="00765259">
              <w:rPr>
                <w:rStyle w:val="IAIOCheckSmallChar"/>
                <w:b w:val="0"/>
                <w:sz w:val="20"/>
              </w:rPr>
            </w:r>
            <w:r w:rsidR="00765259">
              <w:rPr>
                <w:rStyle w:val="IAIOCheckSmallChar"/>
                <w:b w:val="0"/>
                <w:sz w:val="20"/>
              </w:rPr>
              <w:fldChar w:fldCharType="separate"/>
            </w:r>
            <w:r w:rsidRPr="00817638">
              <w:rPr>
                <w:rStyle w:val="IAIOCheckSmallChar"/>
                <w:b w:val="0"/>
                <w:sz w:val="20"/>
              </w:rPr>
              <w:fldChar w:fldCharType="end"/>
            </w:r>
            <w:bookmarkEnd w:id="29"/>
          </w:p>
        </w:tc>
        <w:tc>
          <w:tcPr>
            <w:tcW w:w="983" w:type="dxa"/>
            <w:gridSpan w:val="2"/>
            <w:shd w:val="clear" w:color="auto" w:fill="E0E0E0"/>
            <w:vAlign w:val="center"/>
          </w:tcPr>
          <w:p w14:paraId="16DAA640" w14:textId="77777777" w:rsidR="00422963" w:rsidRPr="00720FFE" w:rsidRDefault="00422963" w:rsidP="00422963">
            <w:pPr>
              <w:pStyle w:val="IATableLines"/>
              <w:rPr>
                <w:b/>
                <w:color w:val="000000"/>
                <w:sz w:val="20"/>
              </w:rPr>
            </w:pPr>
            <w:r w:rsidRPr="00720FFE">
              <w:rPr>
                <w:b/>
                <w:color w:val="000000"/>
                <w:sz w:val="20"/>
              </w:rPr>
              <w:t>Medium</w:t>
            </w:r>
            <w:bookmarkStart w:id="30" w:name="IACheckMedium"/>
            <w:r w:rsidRPr="00817638">
              <w:rPr>
                <w:rStyle w:val="IAIOCheckMediumChar"/>
                <w:b w:val="0"/>
                <w:sz w:val="20"/>
              </w:rPr>
              <w:fldChar w:fldCharType="begin">
                <w:ffData>
                  <w:name w:val="IACheckMedium"/>
                  <w:enabled/>
                  <w:calcOnExit w:val="0"/>
                  <w:ddList>
                    <w:listEntry w:val="Yes/No"/>
                    <w:listEntry w:val="Yes"/>
                    <w:listEntry w:val="No"/>
                  </w:ddList>
                </w:ffData>
              </w:fldChar>
            </w:r>
            <w:r w:rsidRPr="00817638">
              <w:rPr>
                <w:rStyle w:val="IAIOCheckMediumChar"/>
                <w:b w:val="0"/>
                <w:sz w:val="20"/>
              </w:rPr>
              <w:instrText xml:space="preserve"> FORMDROPDOWN </w:instrText>
            </w:r>
            <w:r w:rsidR="00765259">
              <w:rPr>
                <w:rStyle w:val="IAIOCheckMediumChar"/>
                <w:b w:val="0"/>
                <w:sz w:val="20"/>
              </w:rPr>
            </w:r>
            <w:r w:rsidR="00765259">
              <w:rPr>
                <w:rStyle w:val="IAIOCheckMediumChar"/>
                <w:b w:val="0"/>
                <w:sz w:val="20"/>
              </w:rPr>
              <w:fldChar w:fldCharType="separate"/>
            </w:r>
            <w:r w:rsidRPr="00817638">
              <w:rPr>
                <w:rStyle w:val="IAIOCheckMediumChar"/>
                <w:b w:val="0"/>
                <w:sz w:val="20"/>
              </w:rPr>
              <w:fldChar w:fldCharType="end"/>
            </w:r>
            <w:bookmarkEnd w:id="30"/>
          </w:p>
        </w:tc>
        <w:tc>
          <w:tcPr>
            <w:tcW w:w="983" w:type="dxa"/>
            <w:shd w:val="clear" w:color="auto" w:fill="E0E0E0"/>
            <w:vAlign w:val="center"/>
          </w:tcPr>
          <w:p w14:paraId="5D28AE9A" w14:textId="77777777" w:rsidR="00422963" w:rsidRPr="00720FFE" w:rsidRDefault="00422963" w:rsidP="00422963">
            <w:pPr>
              <w:pStyle w:val="IATableLines"/>
              <w:rPr>
                <w:b/>
                <w:color w:val="000000"/>
                <w:sz w:val="20"/>
              </w:rPr>
            </w:pPr>
            <w:r w:rsidRPr="00720FFE">
              <w:rPr>
                <w:b/>
                <w:color w:val="000000"/>
                <w:sz w:val="20"/>
              </w:rPr>
              <w:t>Large</w:t>
            </w:r>
            <w:bookmarkStart w:id="31" w:name="IACheckLarge"/>
            <w:r w:rsidRPr="00817638">
              <w:rPr>
                <w:rStyle w:val="IAIOCheckLargeChar"/>
                <w:b w:val="0"/>
                <w:sz w:val="20"/>
              </w:rPr>
              <w:fldChar w:fldCharType="begin">
                <w:ffData>
                  <w:name w:val="IACheckLarge"/>
                  <w:enabled/>
                  <w:calcOnExit w:val="0"/>
                  <w:ddList>
                    <w:listEntry w:val="Yes/No"/>
                    <w:listEntry w:val="Yes"/>
                    <w:listEntry w:val="No"/>
                  </w:ddList>
                </w:ffData>
              </w:fldChar>
            </w:r>
            <w:r w:rsidRPr="00817638">
              <w:rPr>
                <w:rStyle w:val="IAIOCheckLargeChar"/>
                <w:b w:val="0"/>
                <w:sz w:val="20"/>
              </w:rPr>
              <w:instrText xml:space="preserve"> FORMDROPDOWN </w:instrText>
            </w:r>
            <w:r w:rsidR="00765259">
              <w:rPr>
                <w:rStyle w:val="IAIOCheckLargeChar"/>
                <w:b w:val="0"/>
                <w:sz w:val="20"/>
              </w:rPr>
            </w:r>
            <w:r w:rsidR="00765259">
              <w:rPr>
                <w:rStyle w:val="IAIOCheckLargeChar"/>
                <w:b w:val="0"/>
                <w:sz w:val="20"/>
              </w:rPr>
              <w:fldChar w:fldCharType="separate"/>
            </w:r>
            <w:r w:rsidRPr="00817638">
              <w:rPr>
                <w:rStyle w:val="IAIOCheckLargeChar"/>
                <w:b w:val="0"/>
                <w:sz w:val="20"/>
              </w:rPr>
              <w:fldChar w:fldCharType="end"/>
            </w:r>
            <w:bookmarkEnd w:id="31"/>
          </w:p>
        </w:tc>
      </w:tr>
      <w:tr w:rsidR="00422963" w14:paraId="7770ABC5" w14:textId="77777777">
        <w:tblPrEx>
          <w:shd w:val="clear" w:color="auto" w:fill="auto"/>
        </w:tblPrEx>
        <w:trPr>
          <w:trHeight w:hRule="exact" w:val="567"/>
        </w:trPr>
        <w:tc>
          <w:tcPr>
            <w:tcW w:w="725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08C90FC" w14:textId="77777777" w:rsidR="00422963" w:rsidRDefault="00422963" w:rsidP="00422963">
            <w:pPr>
              <w:pStyle w:val="IATableText"/>
              <w:spacing w:before="0" w:after="0"/>
              <w:rPr>
                <w:rFonts w:eastAsia="Times New Roman"/>
                <w:sz w:val="16"/>
                <w:szCs w:val="16"/>
              </w:rPr>
            </w:pPr>
            <w:r>
              <w:rPr>
                <w:rFonts w:cs="Arial"/>
                <w:sz w:val="20"/>
              </w:rPr>
              <w:t>What is the CO</w:t>
            </w:r>
            <w:r w:rsidRPr="00FC07D5">
              <w:rPr>
                <w:rFonts w:cs="Arial"/>
                <w:sz w:val="20"/>
                <w:vertAlign w:val="subscript"/>
              </w:rPr>
              <w:t>2</w:t>
            </w:r>
            <w:r>
              <w:rPr>
                <w:rFonts w:cs="Arial"/>
                <w:sz w:val="20"/>
              </w:rPr>
              <w:t xml:space="preserve"> equivalent change in greenhouse gas emissions? </w:t>
            </w:r>
            <w:r>
              <w:rPr>
                <w:rFonts w:cs="Arial"/>
                <w:sz w:val="20"/>
              </w:rPr>
              <w:br/>
              <w:t>(Million tonnes CO</w:t>
            </w:r>
            <w:r w:rsidRPr="00FC07D5">
              <w:rPr>
                <w:rFonts w:cs="Arial"/>
                <w:sz w:val="20"/>
                <w:vertAlign w:val="subscript"/>
              </w:rPr>
              <w:t>2</w:t>
            </w:r>
            <w:r>
              <w:rPr>
                <w:rFonts w:cs="Arial"/>
                <w:sz w:val="20"/>
              </w:rPr>
              <w:t xml:space="preserve"> equivalent)</w:t>
            </w:r>
            <w:r>
              <w:rPr>
                <w:spacing w:val="0"/>
                <w:sz w:val="18"/>
              </w:rPr>
              <w:t xml:space="preserve">  </w:t>
            </w:r>
          </w:p>
        </w:tc>
        <w:tc>
          <w:tcPr>
            <w:tcW w:w="1331" w:type="dxa"/>
            <w:gridSpan w:val="2"/>
            <w:tcBorders>
              <w:top w:val="single" w:sz="4" w:space="0" w:color="auto"/>
              <w:left w:val="single" w:sz="4" w:space="0" w:color="auto"/>
              <w:bottom w:val="single" w:sz="4" w:space="0" w:color="auto"/>
              <w:right w:val="single" w:sz="4" w:space="0" w:color="auto"/>
            </w:tcBorders>
            <w:shd w:val="clear" w:color="auto" w:fill="E0E0E0"/>
          </w:tcPr>
          <w:p w14:paraId="3BA30284" w14:textId="77777777" w:rsidR="00422963" w:rsidRDefault="00422963" w:rsidP="00422963">
            <w:pPr>
              <w:pStyle w:val="IATableLabel"/>
            </w:pPr>
            <w:r>
              <w:t xml:space="preserve">Traded:   </w:t>
            </w:r>
            <w:r>
              <w:br/>
            </w:r>
            <w:bookmarkStart w:id="32" w:name="IACO2Traded"/>
            <w:r w:rsidRPr="00335C9A">
              <w:rPr>
                <w:rStyle w:val="IAIOCO2TradedChar"/>
                <w:sz w:val="20"/>
              </w:rPr>
              <w:fldChar w:fldCharType="begin">
                <w:ffData>
                  <w:name w:val="IACO2Traded"/>
                  <w:enabled/>
                  <w:calcOnExit w:val="0"/>
                  <w:textInput>
                    <w:maxLength w:val="8"/>
                  </w:textInput>
                </w:ffData>
              </w:fldChar>
            </w:r>
            <w:r w:rsidRPr="00335C9A">
              <w:rPr>
                <w:rStyle w:val="IAIOCO2TradedChar"/>
                <w:sz w:val="20"/>
              </w:rPr>
              <w:instrText xml:space="preserve"> FORMTEXT </w:instrText>
            </w:r>
            <w:r w:rsidRPr="00335C9A">
              <w:rPr>
                <w:rStyle w:val="IAIOCO2TradedChar"/>
                <w:sz w:val="20"/>
              </w:rPr>
            </w:r>
            <w:r w:rsidRPr="00335C9A">
              <w:rPr>
                <w:rStyle w:val="IAIOCO2TradedChar"/>
                <w:sz w:val="20"/>
              </w:rPr>
              <w:fldChar w:fldCharType="separate"/>
            </w:r>
            <w:r w:rsidRPr="00335C9A">
              <w:rPr>
                <w:rStyle w:val="IAIOCO2TradedChar"/>
                <w:sz w:val="20"/>
              </w:rPr>
              <w:t> </w:t>
            </w:r>
            <w:r w:rsidRPr="00335C9A">
              <w:rPr>
                <w:rStyle w:val="IAIOCO2TradedChar"/>
                <w:sz w:val="20"/>
              </w:rPr>
              <w:t> </w:t>
            </w:r>
            <w:r w:rsidRPr="00335C9A">
              <w:rPr>
                <w:rStyle w:val="IAIOCO2TradedChar"/>
                <w:sz w:val="20"/>
              </w:rPr>
              <w:t> </w:t>
            </w:r>
            <w:r w:rsidRPr="00335C9A">
              <w:rPr>
                <w:rStyle w:val="IAIOCO2TradedChar"/>
                <w:sz w:val="20"/>
              </w:rPr>
              <w:t> </w:t>
            </w:r>
            <w:r w:rsidRPr="00335C9A">
              <w:rPr>
                <w:rStyle w:val="IAIOCO2TradedChar"/>
                <w:sz w:val="20"/>
              </w:rPr>
              <w:t> </w:t>
            </w:r>
            <w:r w:rsidRPr="00335C9A">
              <w:rPr>
                <w:rStyle w:val="IAIOCO2TradedChar"/>
                <w:sz w:val="20"/>
              </w:rPr>
              <w:fldChar w:fldCharType="end"/>
            </w:r>
            <w:bookmarkEnd w:id="32"/>
          </w:p>
        </w:tc>
        <w:tc>
          <w:tcPr>
            <w:tcW w:w="1618" w:type="dxa"/>
            <w:gridSpan w:val="2"/>
            <w:tcBorders>
              <w:top w:val="single" w:sz="4" w:space="0" w:color="auto"/>
              <w:left w:val="single" w:sz="4" w:space="0" w:color="auto"/>
              <w:bottom w:val="single" w:sz="4" w:space="0" w:color="auto"/>
              <w:right w:val="single" w:sz="4" w:space="0" w:color="auto"/>
            </w:tcBorders>
            <w:shd w:val="clear" w:color="auto" w:fill="E0E0E0"/>
          </w:tcPr>
          <w:p w14:paraId="77A45C2A" w14:textId="77777777" w:rsidR="00422963" w:rsidRDefault="00422963" w:rsidP="00422963">
            <w:pPr>
              <w:pStyle w:val="IATableLabel"/>
            </w:pPr>
            <w:r>
              <w:t xml:space="preserve">Non-traded:   </w:t>
            </w:r>
            <w:r>
              <w:br/>
            </w:r>
            <w:bookmarkStart w:id="33" w:name="IACO2NonTraded"/>
            <w:r>
              <w:rPr>
                <w:rStyle w:val="IAIOCO2TradedChar"/>
                <w:sz w:val="20"/>
              </w:rPr>
              <w:fldChar w:fldCharType="begin">
                <w:ffData>
                  <w:name w:val="IACO2NonTraded"/>
                  <w:enabled/>
                  <w:calcOnExit w:val="0"/>
                  <w:textInput>
                    <w:maxLength w:val="8"/>
                  </w:textInput>
                </w:ffData>
              </w:fldChar>
            </w:r>
            <w:r>
              <w:rPr>
                <w:rStyle w:val="IAIOCO2TradedChar"/>
                <w:sz w:val="20"/>
              </w:rPr>
              <w:instrText xml:space="preserve"> FORMTEXT </w:instrText>
            </w:r>
            <w:r>
              <w:rPr>
                <w:rStyle w:val="IAIOCO2TradedChar"/>
                <w:sz w:val="20"/>
              </w:rPr>
            </w:r>
            <w:r>
              <w:rPr>
                <w:rStyle w:val="IAIOCO2TradedChar"/>
                <w:sz w:val="20"/>
              </w:rPr>
              <w:fldChar w:fldCharType="separate"/>
            </w:r>
            <w:r>
              <w:rPr>
                <w:rStyle w:val="IAIOCO2TradedChar"/>
                <w:noProof/>
                <w:sz w:val="20"/>
              </w:rPr>
              <w:t> </w:t>
            </w:r>
            <w:r>
              <w:rPr>
                <w:rStyle w:val="IAIOCO2TradedChar"/>
                <w:noProof/>
                <w:sz w:val="20"/>
              </w:rPr>
              <w:t> </w:t>
            </w:r>
            <w:r>
              <w:rPr>
                <w:rStyle w:val="IAIOCO2TradedChar"/>
                <w:noProof/>
                <w:sz w:val="20"/>
              </w:rPr>
              <w:t> </w:t>
            </w:r>
            <w:r>
              <w:rPr>
                <w:rStyle w:val="IAIOCO2TradedChar"/>
                <w:noProof/>
                <w:sz w:val="20"/>
              </w:rPr>
              <w:t> </w:t>
            </w:r>
            <w:r>
              <w:rPr>
                <w:rStyle w:val="IAIOCO2TradedChar"/>
                <w:noProof/>
                <w:sz w:val="20"/>
              </w:rPr>
              <w:t> </w:t>
            </w:r>
            <w:r>
              <w:rPr>
                <w:rStyle w:val="IAIOCO2TradedChar"/>
                <w:sz w:val="20"/>
              </w:rPr>
              <w:fldChar w:fldCharType="end"/>
            </w:r>
            <w:bookmarkEnd w:id="33"/>
          </w:p>
        </w:tc>
      </w:tr>
    </w:tbl>
    <w:p w14:paraId="387A8FCA" w14:textId="77777777" w:rsidR="00452B35" w:rsidRPr="00DF2F4B" w:rsidRDefault="00452B35">
      <w:pPr>
        <w:pStyle w:val="IASign-off"/>
        <w:rPr>
          <w:sz w:val="20"/>
        </w:rPr>
      </w:pPr>
      <w:bookmarkStart w:id="34" w:name="SignOfftext"/>
      <w:bookmarkEnd w:id="26"/>
      <w:r w:rsidRPr="00DF2F4B">
        <w:rPr>
          <w:sz w:val="20"/>
        </w:rPr>
        <w:t>I have read the Impact Assessment and I am satisfied that, given the available evidence, it represents a reasonable view of the likely costs, benefits and impact of the leading options.</w:t>
      </w:r>
    </w:p>
    <w:tbl>
      <w:tblPr>
        <w:tblW w:w="5000" w:type="pct"/>
        <w:tblLayout w:type="fixed"/>
        <w:tblCellMar>
          <w:left w:w="0" w:type="dxa"/>
          <w:right w:w="0" w:type="dxa"/>
        </w:tblCellMar>
        <w:tblLook w:val="0000" w:firstRow="0" w:lastRow="0" w:firstColumn="0" w:lastColumn="0" w:noHBand="0" w:noVBand="0"/>
      </w:tblPr>
      <w:tblGrid>
        <w:gridCol w:w="4797"/>
        <w:gridCol w:w="2291"/>
        <w:gridCol w:w="1276"/>
        <w:gridCol w:w="1841"/>
      </w:tblGrid>
      <w:tr w:rsidR="00452B35" w14:paraId="1194D4F4" w14:textId="77777777" w:rsidTr="008B0B60">
        <w:trPr>
          <w:trHeight w:hRule="exact" w:val="767"/>
        </w:trPr>
        <w:tc>
          <w:tcPr>
            <w:tcW w:w="2350" w:type="pct"/>
            <w:vAlign w:val="bottom"/>
          </w:tcPr>
          <w:p w14:paraId="50EB0F86" w14:textId="77777777" w:rsidR="00452B35" w:rsidRDefault="00452B35" w:rsidP="00A94548">
            <w:pPr>
              <w:pStyle w:val="IASignature"/>
              <w:tabs>
                <w:tab w:val="clear" w:pos="6804"/>
                <w:tab w:val="left" w:leader="dot" w:pos="7380"/>
              </w:tabs>
            </w:pPr>
            <w:r w:rsidRPr="00455EAA">
              <w:t>Signed by the</w:t>
            </w:r>
            <w:r>
              <w:t xml:space="preserve"> responsible </w:t>
            </w:r>
            <w:r w:rsidR="00A94548">
              <w:fldChar w:fldCharType="begin">
                <w:ffData>
                  <w:name w:val="IASignedBy"/>
                  <w:enabled/>
                  <w:calcOnExit w:val="0"/>
                  <w:ddList>
                    <w:listEntry w:val="SELECT SIGNATORY"/>
                    <w:listEntry w:val="Chair"/>
                    <w:listEntry w:val="Chief Executive"/>
                    <w:listEntry w:val="Minister"/>
                  </w:ddList>
                </w:ffData>
              </w:fldChar>
            </w:r>
            <w:bookmarkStart w:id="35" w:name="IASignedBy"/>
            <w:r w:rsidR="00A94548">
              <w:instrText xml:space="preserve"> FORMDROPDOWN </w:instrText>
            </w:r>
            <w:r w:rsidR="00765259">
              <w:fldChar w:fldCharType="separate"/>
            </w:r>
            <w:r w:rsidR="00A94548">
              <w:fldChar w:fldCharType="end"/>
            </w:r>
            <w:bookmarkEnd w:id="35"/>
            <w:r w:rsidRPr="00455EAA">
              <w:t>:</w:t>
            </w:r>
          </w:p>
        </w:tc>
        <w:tc>
          <w:tcPr>
            <w:tcW w:w="1122" w:type="pct"/>
            <w:tcBorders>
              <w:bottom w:val="dashSmallGap" w:sz="4" w:space="0" w:color="auto"/>
            </w:tcBorders>
            <w:vAlign w:val="bottom"/>
          </w:tcPr>
          <w:p w14:paraId="64BF6B08" w14:textId="77777777" w:rsidR="00452B35" w:rsidRPr="00AB4A42" w:rsidRDefault="00452B35" w:rsidP="00C13EF0">
            <w:pPr>
              <w:pStyle w:val="IAIOtextSign"/>
            </w:pPr>
          </w:p>
        </w:tc>
        <w:tc>
          <w:tcPr>
            <w:tcW w:w="625" w:type="pct"/>
            <w:vAlign w:val="bottom"/>
          </w:tcPr>
          <w:p w14:paraId="1E7A0C91" w14:textId="77777777" w:rsidR="00452B35" w:rsidRDefault="00452B35" w:rsidP="00C13EF0">
            <w:pPr>
              <w:pStyle w:val="IASignature"/>
              <w:tabs>
                <w:tab w:val="clear" w:pos="6804"/>
                <w:tab w:val="left" w:leader="dot" w:pos="7380"/>
              </w:tabs>
            </w:pPr>
            <w:r>
              <w:t> </w:t>
            </w:r>
            <w:r w:rsidRPr="00455EAA">
              <w:t>Date:</w:t>
            </w:r>
          </w:p>
        </w:tc>
        <w:bookmarkStart w:id="36" w:name="SigDate"/>
        <w:tc>
          <w:tcPr>
            <w:tcW w:w="902" w:type="pct"/>
            <w:tcBorders>
              <w:bottom w:val="dashSmallGap" w:sz="4" w:space="0" w:color="auto"/>
            </w:tcBorders>
            <w:vAlign w:val="bottom"/>
          </w:tcPr>
          <w:p w14:paraId="4B40D76A" w14:textId="77777777" w:rsidR="00452B35" w:rsidRPr="005D0BD1" w:rsidRDefault="00452B35" w:rsidP="00C13EF0">
            <w:pPr>
              <w:pStyle w:val="IAIOSigDate"/>
            </w:pPr>
            <w:r>
              <w:fldChar w:fldCharType="begin">
                <w:ffData>
                  <w:name w:val="SigDate"/>
                  <w:enabled/>
                  <w:calcOnExit w:val="0"/>
                  <w:textInput/>
                </w:ffData>
              </w:fldChar>
            </w:r>
            <w:r>
              <w:instrText xml:space="preserve"> FORMTEXT </w:instrText>
            </w:r>
            <w:r>
              <w:fldChar w:fldCharType="separate"/>
            </w:r>
            <w:r w:rsidR="00C03042">
              <w:t xml:space="preserve"> </w:t>
            </w:r>
            <w:r>
              <w:fldChar w:fldCharType="end"/>
            </w:r>
            <w:bookmarkEnd w:id="36"/>
          </w:p>
        </w:tc>
      </w:tr>
      <w:bookmarkEnd w:id="34"/>
    </w:tbl>
    <w:p w14:paraId="15BA4725" w14:textId="77777777" w:rsidR="00F1328C" w:rsidRDefault="00F1328C" w:rsidP="005A3880">
      <w:pPr>
        <w:pStyle w:val="Heading1"/>
        <w:spacing w:before="0"/>
        <w:sectPr w:rsidR="00F1328C" w:rsidSect="005A3880">
          <w:headerReference w:type="default" r:id="rId11"/>
          <w:footerReference w:type="default" r:id="rId12"/>
          <w:footnotePr>
            <w:numRestart w:val="eachSect"/>
          </w:footnotePr>
          <w:type w:val="continuous"/>
          <w:pgSz w:w="11907" w:h="16840" w:code="9"/>
          <w:pgMar w:top="680" w:right="851" w:bottom="680" w:left="851" w:header="284" w:footer="284" w:gutter="0"/>
          <w:cols w:space="708"/>
          <w:docGrid w:linePitch="360"/>
        </w:sectPr>
      </w:pPr>
    </w:p>
    <w:p w14:paraId="26481A41" w14:textId="5B39239A" w:rsidR="001844B6" w:rsidRDefault="001844B6" w:rsidP="005A3880">
      <w:pPr>
        <w:pStyle w:val="Heading1"/>
        <w:spacing w:before="0"/>
      </w:pPr>
      <w:r>
        <w:lastRenderedPageBreak/>
        <w:t>Summary: Analysis &amp; Evidence</w:t>
      </w:r>
      <w:r>
        <w:tab/>
      </w:r>
      <w:r w:rsidRPr="00E3545D">
        <w:rPr>
          <w:rFonts w:ascii="Arial" w:hAnsi="Arial"/>
          <w:b w:val="0"/>
          <w:bCs w:val="0"/>
        </w:rPr>
        <w:t xml:space="preserve">Policy Option </w:t>
      </w:r>
      <w:r>
        <w:rPr>
          <w:rFonts w:ascii="Arial" w:hAnsi="Arial"/>
          <w:b w:val="0"/>
          <w:bCs w:val="0"/>
        </w:rPr>
        <w:fldChar w:fldCharType="begin"/>
      </w:r>
      <w:r>
        <w:rPr>
          <w:rFonts w:ascii="Arial" w:hAnsi="Arial"/>
          <w:b w:val="0"/>
          <w:bCs w:val="0"/>
        </w:rPr>
        <w:instrText xml:space="preserve"> SEQ Policy </w:instrText>
      </w:r>
      <w:r>
        <w:rPr>
          <w:rFonts w:ascii="Arial" w:hAnsi="Arial"/>
          <w:b w:val="0"/>
          <w:bCs w:val="0"/>
        </w:rPr>
        <w:fldChar w:fldCharType="separate"/>
      </w:r>
      <w:r w:rsidR="00505584">
        <w:rPr>
          <w:rFonts w:ascii="Arial" w:hAnsi="Arial"/>
          <w:b w:val="0"/>
          <w:bCs w:val="0"/>
          <w:noProof/>
        </w:rPr>
        <w:t>1</w:t>
      </w:r>
      <w:r>
        <w:rPr>
          <w:rFonts w:ascii="Arial" w:hAnsi="Arial"/>
          <w:b w:val="0"/>
          <w:bCs w:val="0"/>
        </w:rPr>
        <w:fldChar w:fldCharType="end"/>
      </w:r>
    </w:p>
    <w:p w14:paraId="3723F1DA" w14:textId="77777777" w:rsidR="001844B6" w:rsidRDefault="001844B6" w:rsidP="005A3880">
      <w:pPr>
        <w:pStyle w:val="IAHeadLabel"/>
        <w:spacing w:before="50"/>
      </w:pPr>
      <w:r w:rsidRPr="00892576">
        <w:t xml:space="preserve">Description: </w:t>
      </w:r>
      <w:r w:rsidRPr="006B70AF">
        <w:t xml:space="preserve"> </w:t>
      </w:r>
      <w:r w:rsidR="0071468E">
        <w:rPr>
          <w:rStyle w:val="IAPODescriptionCharChar"/>
        </w:rPr>
        <w:fldChar w:fldCharType="begin">
          <w:ffData>
            <w:name w:val="Text70"/>
            <w:enabled/>
            <w:calcOnExit w:val="0"/>
            <w:textInput>
              <w:maxLength w:val="230"/>
            </w:textInput>
          </w:ffData>
        </w:fldChar>
      </w:r>
      <w:r w:rsidR="0071468E">
        <w:rPr>
          <w:rStyle w:val="IAPODescriptionCharChar"/>
        </w:rPr>
        <w:instrText xml:space="preserve"> FORMTEXT </w:instrText>
      </w:r>
      <w:r w:rsidR="0071468E">
        <w:rPr>
          <w:rStyle w:val="IAPODescriptionCharChar"/>
        </w:rPr>
      </w:r>
      <w:r w:rsidR="0071468E">
        <w:rPr>
          <w:rStyle w:val="IAPODescriptionCharChar"/>
        </w:rPr>
        <w:fldChar w:fldCharType="separate"/>
      </w:r>
      <w:r w:rsidR="00D95EC3">
        <w:rPr>
          <w:rStyle w:val="IAPODescriptionCharChar"/>
          <w:noProof/>
        </w:rPr>
        <w:t>Comprehensive re-drafting of Immigration Rules</w:t>
      </w:r>
      <w:r w:rsidR="0071468E">
        <w:rPr>
          <w:rStyle w:val="IAPODescriptionCharChar"/>
        </w:rPr>
        <w:fldChar w:fldCharType="end"/>
      </w:r>
    </w:p>
    <w:p w14:paraId="7902018C" w14:textId="77777777" w:rsidR="001844B6" w:rsidRDefault="001844B6" w:rsidP="005A3880">
      <w:pPr>
        <w:pStyle w:val="IAHeadLabel"/>
        <w:spacing w:before="50"/>
      </w:pPr>
      <w:r>
        <w:t>FULL ECONOMIC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60"/>
        <w:gridCol w:w="1255"/>
        <w:gridCol w:w="1434"/>
        <w:gridCol w:w="1793"/>
        <w:gridCol w:w="1820"/>
        <w:gridCol w:w="2623"/>
      </w:tblGrid>
      <w:tr w:rsidR="001844B6" w:rsidRPr="007E190E" w14:paraId="435A6453" w14:textId="77777777" w:rsidTr="007E190E">
        <w:trPr>
          <w:trHeight w:hRule="exact" w:val="312"/>
        </w:trPr>
        <w:tc>
          <w:tcPr>
            <w:tcW w:w="1265" w:type="dxa"/>
            <w:vMerge w:val="restart"/>
            <w:shd w:val="clear" w:color="auto" w:fill="auto"/>
          </w:tcPr>
          <w:p w14:paraId="5D025164" w14:textId="77777777" w:rsidR="001844B6" w:rsidRPr="00826F71" w:rsidRDefault="001844B6" w:rsidP="005A3880">
            <w:pPr>
              <w:pStyle w:val="POPBY"/>
            </w:pPr>
            <w:r w:rsidRPr="00826F71">
              <w:t>Price Base Year</w:t>
            </w:r>
            <w:r>
              <w:t xml:space="preserve">  </w:t>
            </w:r>
            <w:r w:rsidRPr="007E190E">
              <w:rPr>
                <w:b w:val="0"/>
              </w:rPr>
              <w:fldChar w:fldCharType="begin">
                <w:ffData>
                  <w:name w:val="Text55"/>
                  <w:enabled/>
                  <w:calcOnExit w:val="0"/>
                  <w:textInput>
                    <w:maxLength w:val="4"/>
                  </w:textInput>
                </w:ffData>
              </w:fldChar>
            </w:r>
            <w:r w:rsidRPr="007E190E">
              <w:rPr>
                <w:b w:val="0"/>
              </w:rPr>
              <w:instrText xml:space="preserve"> FORMTEXT </w:instrText>
            </w:r>
            <w:r w:rsidRPr="007E190E">
              <w:rPr>
                <w:b w:val="0"/>
              </w:rPr>
            </w:r>
            <w:r w:rsidRPr="007E190E">
              <w:rPr>
                <w:b w:val="0"/>
              </w:rPr>
              <w:fldChar w:fldCharType="separate"/>
            </w:r>
            <w:r w:rsidR="00D95EC3">
              <w:rPr>
                <w:b w:val="0"/>
                <w:noProof/>
              </w:rPr>
              <w:t>2017</w:t>
            </w:r>
            <w:r w:rsidRPr="007E190E">
              <w:rPr>
                <w:b w:val="0"/>
              </w:rPr>
              <w:fldChar w:fldCharType="end"/>
            </w:r>
          </w:p>
        </w:tc>
        <w:tc>
          <w:tcPr>
            <w:tcW w:w="1260" w:type="dxa"/>
            <w:vMerge w:val="restart"/>
            <w:shd w:val="clear" w:color="auto" w:fill="auto"/>
          </w:tcPr>
          <w:p w14:paraId="3CF95B25" w14:textId="77777777" w:rsidR="001844B6" w:rsidRPr="00826F71" w:rsidRDefault="001844B6" w:rsidP="005A3880">
            <w:pPr>
              <w:pStyle w:val="POPVBY"/>
            </w:pPr>
            <w:r w:rsidRPr="00826F71">
              <w:t>PV Base Year</w:t>
            </w:r>
            <w:r>
              <w:t xml:space="preserve">  </w:t>
            </w:r>
            <w:r w:rsidRPr="007E190E">
              <w:rPr>
                <w:b w:val="0"/>
              </w:rPr>
              <w:fldChar w:fldCharType="begin">
                <w:ffData>
                  <w:name w:val="Text56"/>
                  <w:enabled/>
                  <w:calcOnExit w:val="0"/>
                  <w:textInput>
                    <w:maxLength w:val="4"/>
                  </w:textInput>
                </w:ffData>
              </w:fldChar>
            </w:r>
            <w:r w:rsidRPr="007E190E">
              <w:rPr>
                <w:b w:val="0"/>
              </w:rPr>
              <w:instrText xml:space="preserve"> FORMTEXT </w:instrText>
            </w:r>
            <w:r w:rsidRPr="007E190E">
              <w:rPr>
                <w:b w:val="0"/>
              </w:rPr>
            </w:r>
            <w:r w:rsidRPr="007E190E">
              <w:rPr>
                <w:b w:val="0"/>
              </w:rPr>
              <w:fldChar w:fldCharType="separate"/>
            </w:r>
            <w:r w:rsidR="00D95EC3">
              <w:rPr>
                <w:b w:val="0"/>
                <w:noProof/>
              </w:rPr>
              <w:t>2017</w:t>
            </w:r>
            <w:r w:rsidRPr="007E190E">
              <w:rPr>
                <w:b w:val="0"/>
              </w:rPr>
              <w:fldChar w:fldCharType="end"/>
            </w:r>
          </w:p>
        </w:tc>
        <w:tc>
          <w:tcPr>
            <w:tcW w:w="1440" w:type="dxa"/>
            <w:vMerge w:val="restart"/>
            <w:tcBorders>
              <w:right w:val="single" w:sz="12" w:space="0" w:color="auto"/>
            </w:tcBorders>
            <w:shd w:val="clear" w:color="auto" w:fill="auto"/>
          </w:tcPr>
          <w:p w14:paraId="452A70E9" w14:textId="77777777" w:rsidR="001844B6" w:rsidRPr="00826F71" w:rsidRDefault="001844B6" w:rsidP="005A3880">
            <w:pPr>
              <w:pStyle w:val="POTPY"/>
            </w:pPr>
            <w:r w:rsidRPr="00826F71">
              <w:t>Time Period Years</w:t>
            </w:r>
            <w:r>
              <w:t xml:space="preserve">  </w:t>
            </w:r>
            <w:r w:rsidRPr="007E190E">
              <w:rPr>
                <w:b w:val="0"/>
              </w:rPr>
              <w:fldChar w:fldCharType="begin">
                <w:ffData>
                  <w:name w:val="Text57"/>
                  <w:enabled/>
                  <w:calcOnExit w:val="0"/>
                  <w:textInput>
                    <w:maxLength w:val="4"/>
                  </w:textInput>
                </w:ffData>
              </w:fldChar>
            </w:r>
            <w:r w:rsidRPr="007E190E">
              <w:rPr>
                <w:b w:val="0"/>
              </w:rPr>
              <w:instrText xml:space="preserve"> FORMTEXT </w:instrText>
            </w:r>
            <w:r w:rsidRPr="007E190E">
              <w:rPr>
                <w:b w:val="0"/>
              </w:rPr>
            </w:r>
            <w:r w:rsidRPr="007E190E">
              <w:rPr>
                <w:b w:val="0"/>
              </w:rPr>
              <w:fldChar w:fldCharType="separate"/>
            </w:r>
            <w:r w:rsidR="00D95EC3">
              <w:rPr>
                <w:b w:val="0"/>
                <w:noProof/>
              </w:rPr>
              <w:t>10</w:t>
            </w:r>
            <w:r w:rsidRPr="007E190E">
              <w:rPr>
                <w:b w:val="0"/>
              </w:rPr>
              <w:fldChar w:fldCharType="end"/>
            </w:r>
          </w:p>
        </w:tc>
        <w:tc>
          <w:tcPr>
            <w:tcW w:w="6260" w:type="dxa"/>
            <w:gridSpan w:val="3"/>
            <w:tcBorders>
              <w:top w:val="single" w:sz="12" w:space="0" w:color="auto"/>
              <w:left w:val="single" w:sz="12" w:space="0" w:color="auto"/>
              <w:bottom w:val="single" w:sz="4" w:space="0" w:color="auto"/>
              <w:right w:val="single" w:sz="12" w:space="0" w:color="auto"/>
            </w:tcBorders>
            <w:shd w:val="clear" w:color="auto" w:fill="FFFFFF"/>
          </w:tcPr>
          <w:p w14:paraId="083A65A7" w14:textId="77777777" w:rsidR="001844B6" w:rsidRPr="00826F71" w:rsidRDefault="001844B6" w:rsidP="007E190E">
            <w:pPr>
              <w:pStyle w:val="IATableLabel"/>
              <w:jc w:val="center"/>
            </w:pPr>
            <w:r w:rsidRPr="00826F71">
              <w:t xml:space="preserve">Net </w:t>
            </w:r>
            <w:r w:rsidRPr="0075393B">
              <w:t>B</w:t>
            </w:r>
            <w:r w:rsidRPr="00826F71">
              <w:t>enefit (</w:t>
            </w:r>
            <w:r>
              <w:t>Present Value (</w:t>
            </w:r>
            <w:r w:rsidRPr="00826F71">
              <w:t>PV</w:t>
            </w:r>
            <w:r>
              <w:t>)</w:t>
            </w:r>
            <w:r w:rsidRPr="00826F71">
              <w:t>)</w:t>
            </w:r>
            <w:r>
              <w:t xml:space="preserve"> (£m)</w:t>
            </w:r>
          </w:p>
        </w:tc>
      </w:tr>
      <w:tr w:rsidR="001844B6" w:rsidRPr="007E190E" w14:paraId="28E6E975" w14:textId="77777777" w:rsidTr="007E190E">
        <w:trPr>
          <w:trHeight w:hRule="exact" w:val="340"/>
        </w:trPr>
        <w:tc>
          <w:tcPr>
            <w:tcW w:w="1265" w:type="dxa"/>
            <w:vMerge/>
            <w:shd w:val="clear" w:color="auto" w:fill="auto"/>
          </w:tcPr>
          <w:p w14:paraId="7DC7A7E1" w14:textId="77777777" w:rsidR="001844B6" w:rsidRPr="007E190E" w:rsidRDefault="001844B6" w:rsidP="007E190E">
            <w:pPr>
              <w:pStyle w:val="IATableNotes"/>
              <w:ind w:left="0"/>
              <w:rPr>
                <w:b/>
                <w:sz w:val="20"/>
              </w:rPr>
            </w:pPr>
          </w:p>
        </w:tc>
        <w:tc>
          <w:tcPr>
            <w:tcW w:w="1260" w:type="dxa"/>
            <w:vMerge/>
            <w:shd w:val="clear" w:color="auto" w:fill="auto"/>
          </w:tcPr>
          <w:p w14:paraId="6F8059DF" w14:textId="77777777" w:rsidR="001844B6" w:rsidRPr="007E190E" w:rsidRDefault="001844B6" w:rsidP="007E190E">
            <w:pPr>
              <w:pStyle w:val="IATableNotes"/>
              <w:ind w:left="0"/>
              <w:rPr>
                <w:b/>
                <w:sz w:val="20"/>
              </w:rPr>
            </w:pPr>
          </w:p>
        </w:tc>
        <w:tc>
          <w:tcPr>
            <w:tcW w:w="1440" w:type="dxa"/>
            <w:vMerge/>
            <w:tcBorders>
              <w:right w:val="single" w:sz="12" w:space="0" w:color="auto"/>
            </w:tcBorders>
            <w:shd w:val="clear" w:color="auto" w:fill="auto"/>
          </w:tcPr>
          <w:p w14:paraId="2A04B906" w14:textId="77777777" w:rsidR="001844B6" w:rsidRPr="007E190E" w:rsidRDefault="001844B6" w:rsidP="007E190E">
            <w:pPr>
              <w:pStyle w:val="IATableNotes"/>
              <w:ind w:left="0"/>
              <w:rPr>
                <w:b/>
                <w:sz w:val="20"/>
              </w:rPr>
            </w:pPr>
          </w:p>
        </w:tc>
        <w:tc>
          <w:tcPr>
            <w:tcW w:w="1800" w:type="dxa"/>
            <w:tcBorders>
              <w:top w:val="single" w:sz="4" w:space="0" w:color="auto"/>
              <w:left w:val="single" w:sz="12" w:space="0" w:color="auto"/>
              <w:bottom w:val="single" w:sz="12" w:space="0" w:color="auto"/>
              <w:right w:val="single" w:sz="4" w:space="0" w:color="auto"/>
            </w:tcBorders>
            <w:shd w:val="clear" w:color="auto" w:fill="auto"/>
          </w:tcPr>
          <w:p w14:paraId="123ADC25" w14:textId="6C9E3F94" w:rsidR="001844B6" w:rsidRPr="007E190E" w:rsidRDefault="001844B6" w:rsidP="005A3880">
            <w:pPr>
              <w:pStyle w:val="IATableLabel"/>
              <w:rPr>
                <w:bCs/>
              </w:rPr>
            </w:pPr>
            <w:r w:rsidRPr="00304C1D">
              <w:t>Low:</w:t>
            </w:r>
            <w:r w:rsidRPr="00826F71">
              <w:t xml:space="preserve"> </w:t>
            </w:r>
            <w:r w:rsidR="00BD13AB">
              <w:rPr>
                <w:rStyle w:val="PONBLowCharChar"/>
              </w:rPr>
              <w:t>£23.</w:t>
            </w:r>
            <w:r w:rsidR="000441E3">
              <w:rPr>
                <w:rStyle w:val="PONBLowCharChar"/>
              </w:rPr>
              <w:t>82</w:t>
            </w:r>
          </w:p>
        </w:tc>
        <w:tc>
          <w:tcPr>
            <w:tcW w:w="1827" w:type="dxa"/>
            <w:tcBorders>
              <w:top w:val="single" w:sz="4" w:space="0" w:color="auto"/>
              <w:left w:val="single" w:sz="4" w:space="0" w:color="auto"/>
              <w:bottom w:val="single" w:sz="12" w:space="0" w:color="auto"/>
              <w:right w:val="single" w:sz="12" w:space="0" w:color="auto"/>
            </w:tcBorders>
            <w:shd w:val="clear" w:color="auto" w:fill="auto"/>
          </w:tcPr>
          <w:p w14:paraId="771C3D6C" w14:textId="3E1CEE2B" w:rsidR="001844B6" w:rsidRPr="007E190E" w:rsidRDefault="001844B6" w:rsidP="005A3880">
            <w:pPr>
              <w:pStyle w:val="IATableLabel"/>
              <w:rPr>
                <w:rFonts w:cs="Arial"/>
                <w:bCs/>
                <w:szCs w:val="18"/>
              </w:rPr>
            </w:pPr>
            <w:r w:rsidRPr="00304C1D">
              <w:t>High:</w:t>
            </w:r>
            <w:r w:rsidRPr="00826F71">
              <w:t xml:space="preserve"> </w:t>
            </w:r>
            <w:r w:rsidR="00BD13AB">
              <w:rPr>
                <w:rStyle w:val="PONBHighChar"/>
              </w:rPr>
              <w:t>£6</w:t>
            </w:r>
            <w:r w:rsidR="000441E3">
              <w:rPr>
                <w:rStyle w:val="PONBHighChar"/>
              </w:rPr>
              <w:t>3.95</w:t>
            </w:r>
          </w:p>
        </w:tc>
        <w:tc>
          <w:tcPr>
            <w:tcW w:w="2633" w:type="dxa"/>
            <w:tcBorders>
              <w:top w:val="single" w:sz="12" w:space="0" w:color="auto"/>
              <w:left w:val="single" w:sz="12" w:space="0" w:color="auto"/>
              <w:bottom w:val="single" w:sz="12" w:space="0" w:color="auto"/>
              <w:right w:val="single" w:sz="12" w:space="0" w:color="auto"/>
            </w:tcBorders>
            <w:shd w:val="clear" w:color="auto" w:fill="FFFFFF"/>
          </w:tcPr>
          <w:p w14:paraId="116D4B1A" w14:textId="018CF396" w:rsidR="001844B6" w:rsidRPr="007E190E" w:rsidRDefault="001844B6" w:rsidP="005A3880">
            <w:pPr>
              <w:pStyle w:val="IATableLabel"/>
              <w:rPr>
                <w:szCs w:val="18"/>
              </w:rPr>
            </w:pPr>
            <w:r w:rsidRPr="00304C1D">
              <w:t xml:space="preserve">Best </w:t>
            </w:r>
            <w:r>
              <w:t>E</w:t>
            </w:r>
            <w:r w:rsidRPr="00304C1D">
              <w:t>stimate:</w:t>
            </w:r>
            <w:r w:rsidRPr="00826F71">
              <w:t xml:space="preserve"> </w:t>
            </w:r>
            <w:r w:rsidR="00BD13AB">
              <w:rPr>
                <w:rStyle w:val="PONBBestEstChar"/>
              </w:rPr>
              <w:t>£29.</w:t>
            </w:r>
            <w:r w:rsidR="000441E3">
              <w:rPr>
                <w:rStyle w:val="PONBBestEstChar"/>
              </w:rPr>
              <w:t>83</w:t>
            </w:r>
          </w:p>
        </w:tc>
      </w:tr>
    </w:tbl>
    <w:p w14:paraId="3D96EC25" w14:textId="77777777" w:rsidR="001844B6" w:rsidRDefault="001844B6" w:rsidP="005A3880">
      <w:pPr>
        <w:pStyle w:val="IASpace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1984"/>
        <w:gridCol w:w="1938"/>
        <w:gridCol w:w="785"/>
        <w:gridCol w:w="2848"/>
        <w:gridCol w:w="1765"/>
        <w:gridCol w:w="855"/>
      </w:tblGrid>
      <w:tr w:rsidR="001844B6" w:rsidRPr="007E190E" w14:paraId="4FD5C7C5" w14:textId="77777777" w:rsidTr="007E190E">
        <w:trPr>
          <w:trHeight w:hRule="exact" w:val="567"/>
        </w:trPr>
        <w:tc>
          <w:tcPr>
            <w:tcW w:w="1995" w:type="dxa"/>
            <w:shd w:val="clear" w:color="auto" w:fill="FFFFFF"/>
          </w:tcPr>
          <w:p w14:paraId="61EE1B96" w14:textId="77777777" w:rsidR="001844B6" w:rsidRPr="007E190E" w:rsidRDefault="001844B6" w:rsidP="005A3880">
            <w:pPr>
              <w:pStyle w:val="IATableLabel"/>
              <w:rPr>
                <w:sz w:val="24"/>
                <w:szCs w:val="24"/>
              </w:rPr>
            </w:pPr>
            <w:r w:rsidRPr="007E190E">
              <w:rPr>
                <w:sz w:val="24"/>
                <w:szCs w:val="24"/>
              </w:rPr>
              <w:t>COSTS (£m)</w:t>
            </w:r>
          </w:p>
        </w:tc>
        <w:tc>
          <w:tcPr>
            <w:tcW w:w="2739" w:type="dxa"/>
            <w:gridSpan w:val="2"/>
            <w:tcBorders>
              <w:top w:val="single" w:sz="12" w:space="0" w:color="auto"/>
              <w:bottom w:val="single" w:sz="6" w:space="0" w:color="auto"/>
            </w:tcBorders>
            <w:shd w:val="clear" w:color="auto" w:fill="auto"/>
          </w:tcPr>
          <w:p w14:paraId="06A522A9" w14:textId="77777777" w:rsidR="001844B6" w:rsidRPr="00826F71" w:rsidRDefault="001844B6" w:rsidP="007E190E">
            <w:pPr>
              <w:pStyle w:val="IATableLabel"/>
              <w:tabs>
                <w:tab w:val="right" w:pos="1800"/>
                <w:tab w:val="center" w:pos="2340"/>
              </w:tabs>
              <w:jc w:val="right"/>
            </w:pPr>
            <w:r w:rsidRPr="00826F71">
              <w:t xml:space="preserve">Total Transition </w:t>
            </w:r>
            <w:r>
              <w:br/>
            </w:r>
            <w:r>
              <w:tab/>
            </w:r>
            <w:r w:rsidRPr="007E190E">
              <w:rPr>
                <w:b w:val="0"/>
                <w:sz w:val="18"/>
                <w:szCs w:val="18"/>
              </w:rPr>
              <w:t>(Constant Price)</w:t>
            </w:r>
            <w:r>
              <w:tab/>
            </w:r>
            <w:r w:rsidRPr="007E190E">
              <w:rPr>
                <w:b w:val="0"/>
                <w:sz w:val="18"/>
                <w:szCs w:val="18"/>
              </w:rPr>
              <w:t>Yea</w:t>
            </w:r>
            <w:r w:rsidRPr="007E190E">
              <w:rPr>
                <w:b w:val="0"/>
                <w:bCs/>
                <w:sz w:val="18"/>
                <w:szCs w:val="18"/>
              </w:rPr>
              <w:t>r</w:t>
            </w:r>
            <w:r w:rsidRPr="007E190E">
              <w:rPr>
                <w:b w:val="0"/>
                <w:sz w:val="18"/>
                <w:szCs w:val="18"/>
              </w:rPr>
              <w:t>s</w:t>
            </w:r>
          </w:p>
          <w:p w14:paraId="082F66B8" w14:textId="77777777" w:rsidR="001844B6" w:rsidRPr="00826F71" w:rsidRDefault="001844B6" w:rsidP="007E190E">
            <w:pPr>
              <w:pStyle w:val="IATableLabel"/>
              <w:jc w:val="right"/>
            </w:pPr>
            <w:r>
              <w:br/>
            </w:r>
          </w:p>
        </w:tc>
        <w:tc>
          <w:tcPr>
            <w:tcW w:w="2865" w:type="dxa"/>
            <w:tcBorders>
              <w:bottom w:val="single" w:sz="6" w:space="0" w:color="auto"/>
              <w:right w:val="single" w:sz="12" w:space="0" w:color="auto"/>
            </w:tcBorders>
            <w:shd w:val="clear" w:color="auto" w:fill="auto"/>
          </w:tcPr>
          <w:p w14:paraId="1D845299" w14:textId="77777777" w:rsidR="001844B6" w:rsidRPr="007E190E" w:rsidRDefault="001844B6" w:rsidP="007E190E">
            <w:pPr>
              <w:pStyle w:val="IATableLabel"/>
              <w:jc w:val="right"/>
              <w:rPr>
                <w:rFonts w:cs="Arial"/>
                <w:bCs/>
              </w:rPr>
            </w:pPr>
            <w:r w:rsidRPr="00826F71">
              <w:t>Average Annual</w:t>
            </w:r>
            <w:r w:rsidRPr="000C031E">
              <w:t xml:space="preserve"> </w:t>
            </w:r>
            <w:r>
              <w:br/>
            </w:r>
            <w:r w:rsidRPr="007E190E">
              <w:rPr>
                <w:b w:val="0"/>
                <w:sz w:val="18"/>
                <w:szCs w:val="18"/>
              </w:rPr>
              <w:t xml:space="preserve">(excl. Transition) </w:t>
            </w:r>
            <w:r w:rsidRPr="007E190E">
              <w:rPr>
                <w:rFonts w:cs="Arial"/>
                <w:b w:val="0"/>
                <w:bCs/>
                <w:sz w:val="18"/>
                <w:szCs w:val="18"/>
              </w:rPr>
              <w:t>(Constant Price)</w:t>
            </w:r>
          </w:p>
        </w:tc>
        <w:tc>
          <w:tcPr>
            <w:tcW w:w="2636" w:type="dxa"/>
            <w:gridSpan w:val="2"/>
            <w:tcBorders>
              <w:top w:val="single" w:sz="12" w:space="0" w:color="auto"/>
              <w:left w:val="single" w:sz="12" w:space="0" w:color="auto"/>
              <w:bottom w:val="single" w:sz="6" w:space="0" w:color="auto"/>
            </w:tcBorders>
            <w:shd w:val="clear" w:color="auto" w:fill="auto"/>
          </w:tcPr>
          <w:p w14:paraId="7861826F" w14:textId="77777777" w:rsidR="001844B6" w:rsidRPr="00826F71" w:rsidRDefault="001844B6" w:rsidP="007E190E">
            <w:pPr>
              <w:pStyle w:val="IATableLabel"/>
              <w:jc w:val="right"/>
            </w:pPr>
            <w:r w:rsidRPr="00826F71">
              <w:t>Total Cost</w:t>
            </w:r>
            <w:r w:rsidRPr="007E190E">
              <w:rPr>
                <w:b w:val="0"/>
                <w:sz w:val="18"/>
                <w:szCs w:val="18"/>
              </w:rPr>
              <w:t xml:space="preserve"> </w:t>
            </w:r>
            <w:r w:rsidRPr="007E190E">
              <w:rPr>
                <w:b w:val="0"/>
                <w:sz w:val="18"/>
                <w:szCs w:val="18"/>
              </w:rPr>
              <w:br/>
              <w:t>(Present Value)</w:t>
            </w:r>
          </w:p>
        </w:tc>
      </w:tr>
      <w:tr w:rsidR="001844B6" w:rsidRPr="007E190E" w14:paraId="445EDC75" w14:textId="77777777" w:rsidTr="007E190E">
        <w:trPr>
          <w:trHeight w:hRule="exact" w:val="348"/>
        </w:trPr>
        <w:tc>
          <w:tcPr>
            <w:tcW w:w="1995" w:type="dxa"/>
            <w:tcBorders>
              <w:top w:val="single" w:sz="6" w:space="0" w:color="auto"/>
              <w:bottom w:val="single" w:sz="6" w:space="0" w:color="auto"/>
            </w:tcBorders>
            <w:shd w:val="clear" w:color="auto" w:fill="auto"/>
            <w:vAlign w:val="center"/>
          </w:tcPr>
          <w:p w14:paraId="575DBCB0" w14:textId="77777777" w:rsidR="001844B6" w:rsidRPr="00F63895" w:rsidRDefault="001844B6" w:rsidP="005A3880">
            <w:pPr>
              <w:pStyle w:val="IATableLabel"/>
            </w:pPr>
            <w:r w:rsidRPr="00F63895">
              <w:t xml:space="preserve">Low </w:t>
            </w:r>
          </w:p>
        </w:tc>
        <w:tc>
          <w:tcPr>
            <w:tcW w:w="1949" w:type="dxa"/>
            <w:tcBorders>
              <w:top w:val="single" w:sz="6" w:space="0" w:color="auto"/>
              <w:bottom w:val="single" w:sz="6" w:space="0" w:color="auto"/>
            </w:tcBorders>
            <w:shd w:val="clear" w:color="auto" w:fill="auto"/>
            <w:vAlign w:val="center"/>
          </w:tcPr>
          <w:p w14:paraId="421C89E6" w14:textId="77777777" w:rsidR="001844B6" w:rsidRPr="007E190E" w:rsidRDefault="001844B6" w:rsidP="005A3880">
            <w:pPr>
              <w:pStyle w:val="POTTCostsLow"/>
              <w:rPr>
                <w:sz w:val="20"/>
              </w:rPr>
            </w:pPr>
            <w:r w:rsidRPr="007E190E">
              <w:rPr>
                <w:sz w:val="20"/>
              </w:rPr>
              <w:fldChar w:fldCharType="begin">
                <w:ffData>
                  <w:name w:val="Text45"/>
                  <w:enabled/>
                  <w:calcOnExit w:val="0"/>
                  <w:textInput>
                    <w:default w:val="Optional"/>
                    <w:maxLength w:val="14"/>
                  </w:textInput>
                </w:ffData>
              </w:fldChar>
            </w:r>
            <w:r w:rsidRPr="007E190E">
              <w:rPr>
                <w:sz w:val="20"/>
              </w:rPr>
              <w:instrText xml:space="preserve"> FORMTEXT </w:instrText>
            </w:r>
            <w:r w:rsidRPr="007E190E">
              <w:rPr>
                <w:sz w:val="20"/>
              </w:rPr>
            </w:r>
            <w:r w:rsidRPr="007E190E">
              <w:rPr>
                <w:sz w:val="20"/>
              </w:rPr>
              <w:fldChar w:fldCharType="separate"/>
            </w:r>
            <w:r w:rsidR="00D95EC3">
              <w:rPr>
                <w:sz w:val="20"/>
              </w:rPr>
              <w:t>Negligible</w:t>
            </w:r>
            <w:r w:rsidRPr="007E190E">
              <w:rPr>
                <w:sz w:val="20"/>
              </w:rPr>
              <w:fldChar w:fldCharType="end"/>
            </w:r>
          </w:p>
        </w:tc>
        <w:tc>
          <w:tcPr>
            <w:tcW w:w="790" w:type="dxa"/>
            <w:vMerge w:val="restart"/>
            <w:tcBorders>
              <w:top w:val="single" w:sz="6" w:space="0" w:color="auto"/>
            </w:tcBorders>
            <w:shd w:val="clear" w:color="auto" w:fill="auto"/>
            <w:vAlign w:val="center"/>
          </w:tcPr>
          <w:p w14:paraId="5BE30DDA" w14:textId="77777777" w:rsidR="001844B6" w:rsidRPr="007E190E" w:rsidRDefault="001844B6" w:rsidP="005A3880">
            <w:pPr>
              <w:pStyle w:val="POTTCostsYear"/>
              <w:rPr>
                <w:sz w:val="20"/>
                <w:szCs w:val="20"/>
              </w:rPr>
            </w:pPr>
            <w:r w:rsidRPr="007E190E">
              <w:rPr>
                <w:sz w:val="20"/>
                <w:szCs w:val="20"/>
              </w:rPr>
              <w:fldChar w:fldCharType="begin">
                <w:ffData>
                  <w:name w:val="Text48"/>
                  <w:enabled/>
                  <w:calcOnExit w:val="0"/>
                  <w:textInput>
                    <w:maxLength w:val="3"/>
                  </w:textInput>
                </w:ffData>
              </w:fldChar>
            </w:r>
            <w:r w:rsidRPr="007E190E">
              <w:rPr>
                <w:sz w:val="20"/>
                <w:szCs w:val="20"/>
              </w:rPr>
              <w:instrText xml:space="preserve"> FORMTEXT </w:instrText>
            </w:r>
            <w:r w:rsidRPr="007E190E">
              <w:rPr>
                <w:sz w:val="20"/>
                <w:szCs w:val="20"/>
              </w:rPr>
            </w:r>
            <w:r w:rsidRPr="007E190E">
              <w:rPr>
                <w:sz w:val="20"/>
                <w:szCs w:val="20"/>
              </w:rPr>
              <w:fldChar w:fldCharType="separate"/>
            </w:r>
            <w:r w:rsidRPr="007E190E">
              <w:rPr>
                <w:noProof/>
                <w:sz w:val="20"/>
                <w:szCs w:val="20"/>
              </w:rPr>
              <w:t> </w:t>
            </w:r>
            <w:r w:rsidRPr="007E190E">
              <w:rPr>
                <w:noProof/>
                <w:sz w:val="20"/>
                <w:szCs w:val="20"/>
              </w:rPr>
              <w:t> </w:t>
            </w:r>
            <w:r w:rsidRPr="007E190E">
              <w:rPr>
                <w:noProof/>
                <w:sz w:val="20"/>
                <w:szCs w:val="20"/>
              </w:rPr>
              <w:t> </w:t>
            </w:r>
            <w:r w:rsidRPr="007E190E">
              <w:rPr>
                <w:sz w:val="20"/>
                <w:szCs w:val="20"/>
              </w:rPr>
              <w:fldChar w:fldCharType="end"/>
            </w:r>
          </w:p>
        </w:tc>
        <w:tc>
          <w:tcPr>
            <w:tcW w:w="2865" w:type="dxa"/>
            <w:tcBorders>
              <w:top w:val="single" w:sz="6" w:space="0" w:color="auto"/>
              <w:bottom w:val="single" w:sz="6" w:space="0" w:color="auto"/>
              <w:right w:val="single" w:sz="12" w:space="0" w:color="auto"/>
            </w:tcBorders>
            <w:shd w:val="clear" w:color="auto" w:fill="auto"/>
            <w:vAlign w:val="center"/>
          </w:tcPr>
          <w:p w14:paraId="3097411C" w14:textId="77777777" w:rsidR="001844B6" w:rsidRPr="007E190E" w:rsidRDefault="001844B6" w:rsidP="005A3880">
            <w:pPr>
              <w:pStyle w:val="POAACostsLow"/>
              <w:rPr>
                <w:sz w:val="20"/>
              </w:rPr>
            </w:pPr>
            <w:r w:rsidRPr="007E190E">
              <w:rPr>
                <w:sz w:val="20"/>
              </w:rPr>
              <w:fldChar w:fldCharType="begin">
                <w:ffData>
                  <w:name w:val="Text49"/>
                  <w:enabled/>
                  <w:calcOnExit w:val="0"/>
                  <w:textInput>
                    <w:default w:val="Optional"/>
                    <w:maxLength w:val="14"/>
                  </w:textInput>
                </w:ffData>
              </w:fldChar>
            </w:r>
            <w:r w:rsidRPr="007E190E">
              <w:rPr>
                <w:sz w:val="20"/>
              </w:rPr>
              <w:instrText xml:space="preserve"> FORMTEXT </w:instrText>
            </w:r>
            <w:r w:rsidRPr="007E190E">
              <w:rPr>
                <w:sz w:val="20"/>
              </w:rPr>
            </w:r>
            <w:r w:rsidRPr="007E190E">
              <w:rPr>
                <w:sz w:val="20"/>
              </w:rPr>
              <w:fldChar w:fldCharType="separate"/>
            </w:r>
            <w:r w:rsidR="00D95EC3">
              <w:rPr>
                <w:sz w:val="20"/>
              </w:rPr>
              <w:t>Negligible</w:t>
            </w:r>
            <w:r w:rsidRPr="007E190E">
              <w:rPr>
                <w:sz w:val="20"/>
              </w:rPr>
              <w:fldChar w:fldCharType="end"/>
            </w:r>
          </w:p>
        </w:tc>
        <w:tc>
          <w:tcPr>
            <w:tcW w:w="2636" w:type="dxa"/>
            <w:gridSpan w:val="2"/>
            <w:tcBorders>
              <w:top w:val="single" w:sz="6" w:space="0" w:color="auto"/>
              <w:left w:val="single" w:sz="12" w:space="0" w:color="auto"/>
              <w:bottom w:val="single" w:sz="6" w:space="0" w:color="auto"/>
            </w:tcBorders>
            <w:shd w:val="clear" w:color="auto" w:fill="auto"/>
            <w:vAlign w:val="center"/>
          </w:tcPr>
          <w:p w14:paraId="35A98BA4" w14:textId="77777777" w:rsidR="001844B6" w:rsidRPr="007E190E" w:rsidRDefault="001844B6" w:rsidP="005A3880">
            <w:pPr>
              <w:pStyle w:val="POTCCostsLow"/>
              <w:rPr>
                <w:sz w:val="20"/>
              </w:rPr>
            </w:pPr>
            <w:r w:rsidRPr="007E190E">
              <w:rPr>
                <w:sz w:val="20"/>
              </w:rPr>
              <w:fldChar w:fldCharType="begin">
                <w:ffData>
                  <w:name w:val="Text52"/>
                  <w:enabled/>
                  <w:calcOnExit w:val="0"/>
                  <w:textInput>
                    <w:default w:val="Optional"/>
                    <w:maxLength w:val="14"/>
                  </w:textInput>
                </w:ffData>
              </w:fldChar>
            </w:r>
            <w:r w:rsidRPr="007E190E">
              <w:rPr>
                <w:sz w:val="20"/>
              </w:rPr>
              <w:instrText xml:space="preserve"> FORMTEXT </w:instrText>
            </w:r>
            <w:r w:rsidRPr="007E190E">
              <w:rPr>
                <w:sz w:val="20"/>
              </w:rPr>
            </w:r>
            <w:r w:rsidRPr="007E190E">
              <w:rPr>
                <w:sz w:val="20"/>
              </w:rPr>
              <w:fldChar w:fldCharType="separate"/>
            </w:r>
            <w:r w:rsidR="00D95EC3">
              <w:rPr>
                <w:sz w:val="20"/>
              </w:rPr>
              <w:t>Negligible</w:t>
            </w:r>
            <w:r w:rsidRPr="007E190E">
              <w:rPr>
                <w:sz w:val="20"/>
              </w:rPr>
              <w:fldChar w:fldCharType="end"/>
            </w:r>
          </w:p>
        </w:tc>
      </w:tr>
      <w:tr w:rsidR="001844B6" w:rsidRPr="007E190E" w14:paraId="2887ED8A" w14:textId="77777777" w:rsidTr="007E190E">
        <w:trPr>
          <w:trHeight w:hRule="exact" w:val="348"/>
        </w:trPr>
        <w:tc>
          <w:tcPr>
            <w:tcW w:w="1995" w:type="dxa"/>
            <w:tcBorders>
              <w:top w:val="single" w:sz="6" w:space="0" w:color="auto"/>
              <w:bottom w:val="single" w:sz="12" w:space="0" w:color="auto"/>
            </w:tcBorders>
            <w:shd w:val="clear" w:color="auto" w:fill="auto"/>
            <w:vAlign w:val="center"/>
          </w:tcPr>
          <w:p w14:paraId="063C5218" w14:textId="77777777" w:rsidR="001844B6" w:rsidRPr="00F63895" w:rsidRDefault="001844B6" w:rsidP="005A3880">
            <w:pPr>
              <w:pStyle w:val="IATableLabel"/>
            </w:pPr>
            <w:r w:rsidRPr="00F63895">
              <w:t xml:space="preserve">High </w:t>
            </w:r>
          </w:p>
        </w:tc>
        <w:tc>
          <w:tcPr>
            <w:tcW w:w="1949" w:type="dxa"/>
            <w:tcBorders>
              <w:top w:val="single" w:sz="6" w:space="0" w:color="auto"/>
              <w:bottom w:val="single" w:sz="12" w:space="0" w:color="auto"/>
            </w:tcBorders>
            <w:shd w:val="clear" w:color="auto" w:fill="auto"/>
            <w:vAlign w:val="center"/>
          </w:tcPr>
          <w:p w14:paraId="5326112C" w14:textId="77777777" w:rsidR="001844B6" w:rsidRPr="007E190E" w:rsidRDefault="001844B6" w:rsidP="005A3880">
            <w:pPr>
              <w:pStyle w:val="POTTCostsHigh"/>
              <w:rPr>
                <w:sz w:val="20"/>
              </w:rPr>
            </w:pPr>
            <w:r w:rsidRPr="007E190E">
              <w:rPr>
                <w:sz w:val="20"/>
              </w:rPr>
              <w:fldChar w:fldCharType="begin">
                <w:ffData>
                  <w:name w:val="Text46"/>
                  <w:enabled/>
                  <w:calcOnExit w:val="0"/>
                  <w:textInput>
                    <w:default w:val="Optional"/>
                    <w:maxLength w:val="14"/>
                  </w:textInput>
                </w:ffData>
              </w:fldChar>
            </w:r>
            <w:r w:rsidRPr="007E190E">
              <w:rPr>
                <w:sz w:val="20"/>
              </w:rPr>
              <w:instrText xml:space="preserve"> FORMTEXT </w:instrText>
            </w:r>
            <w:r w:rsidRPr="007E190E">
              <w:rPr>
                <w:sz w:val="20"/>
              </w:rPr>
            </w:r>
            <w:r w:rsidRPr="007E190E">
              <w:rPr>
                <w:sz w:val="20"/>
              </w:rPr>
              <w:fldChar w:fldCharType="separate"/>
            </w:r>
            <w:r w:rsidR="00D95EC3">
              <w:rPr>
                <w:sz w:val="20"/>
              </w:rPr>
              <w:t>Negligible</w:t>
            </w:r>
            <w:r w:rsidRPr="007E190E">
              <w:rPr>
                <w:sz w:val="20"/>
              </w:rPr>
              <w:fldChar w:fldCharType="end"/>
            </w:r>
          </w:p>
        </w:tc>
        <w:tc>
          <w:tcPr>
            <w:tcW w:w="790" w:type="dxa"/>
            <w:vMerge/>
            <w:shd w:val="clear" w:color="auto" w:fill="FFFFFF"/>
            <w:vAlign w:val="center"/>
          </w:tcPr>
          <w:p w14:paraId="766DB67F" w14:textId="77777777" w:rsidR="001844B6" w:rsidRPr="007E190E" w:rsidRDefault="001844B6" w:rsidP="007E190E">
            <w:pPr>
              <w:pStyle w:val="IATableText"/>
              <w:jc w:val="right"/>
              <w:rPr>
                <w:sz w:val="20"/>
              </w:rPr>
            </w:pPr>
          </w:p>
        </w:tc>
        <w:tc>
          <w:tcPr>
            <w:tcW w:w="2865" w:type="dxa"/>
            <w:tcBorders>
              <w:top w:val="single" w:sz="6" w:space="0" w:color="auto"/>
              <w:bottom w:val="single" w:sz="12" w:space="0" w:color="auto"/>
              <w:right w:val="single" w:sz="12" w:space="0" w:color="auto"/>
            </w:tcBorders>
            <w:shd w:val="clear" w:color="auto" w:fill="auto"/>
            <w:vAlign w:val="center"/>
          </w:tcPr>
          <w:p w14:paraId="69FF2D74" w14:textId="77777777" w:rsidR="001844B6" w:rsidRPr="007E190E" w:rsidRDefault="001844B6" w:rsidP="005A3880">
            <w:pPr>
              <w:pStyle w:val="POAACostsHigh"/>
              <w:rPr>
                <w:sz w:val="20"/>
              </w:rPr>
            </w:pPr>
            <w:r w:rsidRPr="007E190E">
              <w:rPr>
                <w:sz w:val="20"/>
              </w:rPr>
              <w:fldChar w:fldCharType="begin">
                <w:ffData>
                  <w:name w:val="Text50"/>
                  <w:enabled/>
                  <w:calcOnExit w:val="0"/>
                  <w:textInput>
                    <w:default w:val="Optional"/>
                    <w:maxLength w:val="14"/>
                  </w:textInput>
                </w:ffData>
              </w:fldChar>
            </w:r>
            <w:r w:rsidRPr="007E190E">
              <w:rPr>
                <w:sz w:val="20"/>
              </w:rPr>
              <w:instrText xml:space="preserve"> FORMTEXT </w:instrText>
            </w:r>
            <w:r w:rsidRPr="007E190E">
              <w:rPr>
                <w:sz w:val="20"/>
              </w:rPr>
            </w:r>
            <w:r w:rsidRPr="007E190E">
              <w:rPr>
                <w:sz w:val="20"/>
              </w:rPr>
              <w:fldChar w:fldCharType="separate"/>
            </w:r>
            <w:r w:rsidR="00D95EC3">
              <w:rPr>
                <w:sz w:val="20"/>
              </w:rPr>
              <w:t>Negligible</w:t>
            </w:r>
            <w:r w:rsidRPr="007E190E">
              <w:rPr>
                <w:sz w:val="20"/>
              </w:rPr>
              <w:fldChar w:fldCharType="end"/>
            </w:r>
          </w:p>
        </w:tc>
        <w:tc>
          <w:tcPr>
            <w:tcW w:w="2636" w:type="dxa"/>
            <w:gridSpan w:val="2"/>
            <w:tcBorders>
              <w:top w:val="single" w:sz="6" w:space="0" w:color="auto"/>
              <w:left w:val="single" w:sz="12" w:space="0" w:color="auto"/>
              <w:bottom w:val="single" w:sz="12" w:space="0" w:color="auto"/>
            </w:tcBorders>
            <w:shd w:val="clear" w:color="auto" w:fill="auto"/>
            <w:vAlign w:val="center"/>
          </w:tcPr>
          <w:p w14:paraId="7D7FBD23" w14:textId="77777777" w:rsidR="001844B6" w:rsidRPr="007E190E" w:rsidRDefault="001844B6" w:rsidP="005A3880">
            <w:pPr>
              <w:pStyle w:val="POTCCostsHigh"/>
              <w:rPr>
                <w:sz w:val="20"/>
              </w:rPr>
            </w:pPr>
            <w:r w:rsidRPr="007E190E">
              <w:rPr>
                <w:sz w:val="20"/>
              </w:rPr>
              <w:fldChar w:fldCharType="begin">
                <w:ffData>
                  <w:name w:val="Text53"/>
                  <w:enabled/>
                  <w:calcOnExit w:val="0"/>
                  <w:textInput>
                    <w:default w:val="Optional"/>
                    <w:maxLength w:val="14"/>
                  </w:textInput>
                </w:ffData>
              </w:fldChar>
            </w:r>
            <w:r w:rsidRPr="007E190E">
              <w:rPr>
                <w:sz w:val="20"/>
              </w:rPr>
              <w:instrText xml:space="preserve"> FORMTEXT </w:instrText>
            </w:r>
            <w:r w:rsidRPr="007E190E">
              <w:rPr>
                <w:sz w:val="20"/>
              </w:rPr>
            </w:r>
            <w:r w:rsidRPr="007E190E">
              <w:rPr>
                <w:sz w:val="20"/>
              </w:rPr>
              <w:fldChar w:fldCharType="separate"/>
            </w:r>
            <w:r w:rsidR="00D95EC3">
              <w:rPr>
                <w:sz w:val="20"/>
              </w:rPr>
              <w:t>Negligible</w:t>
            </w:r>
            <w:r w:rsidRPr="007E190E">
              <w:rPr>
                <w:sz w:val="20"/>
              </w:rPr>
              <w:fldChar w:fldCharType="end"/>
            </w:r>
          </w:p>
        </w:tc>
      </w:tr>
      <w:tr w:rsidR="001844B6" w:rsidRPr="007E190E" w14:paraId="1E6D107A" w14:textId="77777777" w:rsidTr="007E190E">
        <w:trPr>
          <w:trHeight w:hRule="exact" w:val="348"/>
        </w:trPr>
        <w:tc>
          <w:tcPr>
            <w:tcW w:w="1995" w:type="dxa"/>
            <w:tcBorders>
              <w:top w:val="single" w:sz="12" w:space="0" w:color="auto"/>
              <w:bottom w:val="single" w:sz="12" w:space="0" w:color="auto"/>
              <w:right w:val="single" w:sz="12" w:space="0" w:color="auto"/>
            </w:tcBorders>
            <w:shd w:val="clear" w:color="auto" w:fill="FFFFFF"/>
            <w:vAlign w:val="center"/>
          </w:tcPr>
          <w:p w14:paraId="01B08A7F" w14:textId="77777777" w:rsidR="001844B6" w:rsidRPr="00F63895" w:rsidRDefault="001844B6" w:rsidP="005A3880">
            <w:pPr>
              <w:pStyle w:val="IATableLabel"/>
            </w:pPr>
            <w:r w:rsidRPr="00F63895">
              <w:t>Best Estimate</w:t>
            </w:r>
          </w:p>
          <w:p w14:paraId="6CBDE8ED" w14:textId="77777777" w:rsidR="001844B6" w:rsidRPr="007E190E" w:rsidRDefault="001844B6" w:rsidP="007E190E">
            <w:pPr>
              <w:pStyle w:val="IATableNotes"/>
              <w:spacing w:beforeLines="40" w:before="96"/>
              <w:ind w:left="0" w:right="-22"/>
              <w:jc w:val="center"/>
              <w:rPr>
                <w:rFonts w:cs="Arial"/>
                <w:b/>
                <w:sz w:val="20"/>
              </w:rPr>
            </w:pPr>
          </w:p>
        </w:tc>
        <w:tc>
          <w:tcPr>
            <w:tcW w:w="1949" w:type="dxa"/>
            <w:tcBorders>
              <w:top w:val="single" w:sz="12" w:space="0" w:color="auto"/>
              <w:left w:val="single" w:sz="12" w:space="0" w:color="auto"/>
              <w:bottom w:val="single" w:sz="12" w:space="0" w:color="auto"/>
              <w:right w:val="single" w:sz="12" w:space="0" w:color="auto"/>
            </w:tcBorders>
            <w:shd w:val="clear" w:color="auto" w:fill="FFFFFF"/>
            <w:vAlign w:val="center"/>
          </w:tcPr>
          <w:p w14:paraId="4C9DAE2E" w14:textId="77777777" w:rsidR="001844B6" w:rsidRPr="007E190E" w:rsidRDefault="001844B6" w:rsidP="005A3880">
            <w:pPr>
              <w:pStyle w:val="POTTCostsBest"/>
              <w:rPr>
                <w:sz w:val="20"/>
              </w:rPr>
            </w:pPr>
            <w:r w:rsidRPr="007E190E">
              <w:rPr>
                <w:sz w:val="20"/>
              </w:rPr>
              <w:fldChar w:fldCharType="begin">
                <w:ffData>
                  <w:name w:val="Text51"/>
                  <w:enabled/>
                  <w:calcOnExit w:val="0"/>
                  <w:textInput>
                    <w:maxLength w:val="14"/>
                  </w:textInput>
                </w:ffData>
              </w:fldChar>
            </w:r>
            <w:r w:rsidRPr="007E190E">
              <w:rPr>
                <w:sz w:val="20"/>
              </w:rPr>
              <w:instrText xml:space="preserve"> FORMTEXT </w:instrText>
            </w:r>
            <w:r w:rsidRPr="007E190E">
              <w:rPr>
                <w:sz w:val="20"/>
              </w:rPr>
            </w:r>
            <w:r w:rsidRPr="007E190E">
              <w:rPr>
                <w:sz w:val="20"/>
              </w:rPr>
              <w:fldChar w:fldCharType="separate"/>
            </w:r>
            <w:r w:rsidR="00D95EC3">
              <w:rPr>
                <w:noProof/>
                <w:sz w:val="20"/>
              </w:rPr>
              <w:t>Negligible</w:t>
            </w:r>
            <w:r w:rsidRPr="007E190E">
              <w:rPr>
                <w:sz w:val="20"/>
              </w:rPr>
              <w:fldChar w:fldCharType="end"/>
            </w:r>
          </w:p>
        </w:tc>
        <w:tc>
          <w:tcPr>
            <w:tcW w:w="790" w:type="dxa"/>
            <w:vMerge/>
            <w:tcBorders>
              <w:left w:val="single" w:sz="12" w:space="0" w:color="auto"/>
              <w:right w:val="single" w:sz="12" w:space="0" w:color="auto"/>
            </w:tcBorders>
            <w:shd w:val="clear" w:color="auto" w:fill="FFFFFF"/>
            <w:vAlign w:val="center"/>
          </w:tcPr>
          <w:p w14:paraId="583002A3" w14:textId="77777777" w:rsidR="001844B6" w:rsidRPr="007E190E" w:rsidRDefault="001844B6" w:rsidP="007E190E">
            <w:pPr>
              <w:pStyle w:val="IATableText"/>
              <w:jc w:val="right"/>
              <w:rPr>
                <w:sz w:val="20"/>
              </w:rPr>
            </w:pPr>
          </w:p>
        </w:tc>
        <w:tc>
          <w:tcPr>
            <w:tcW w:w="2865" w:type="dxa"/>
            <w:tcBorders>
              <w:top w:val="single" w:sz="12" w:space="0" w:color="auto"/>
              <w:left w:val="single" w:sz="12" w:space="0" w:color="auto"/>
              <w:bottom w:val="single" w:sz="12" w:space="0" w:color="auto"/>
              <w:right w:val="single" w:sz="12" w:space="0" w:color="auto"/>
            </w:tcBorders>
            <w:shd w:val="clear" w:color="auto" w:fill="FFFFFF"/>
            <w:vAlign w:val="center"/>
          </w:tcPr>
          <w:p w14:paraId="44E1FE95" w14:textId="77777777" w:rsidR="001844B6" w:rsidRPr="007E190E" w:rsidRDefault="001844B6" w:rsidP="005A3880">
            <w:pPr>
              <w:pStyle w:val="POAACostsBest"/>
              <w:rPr>
                <w:sz w:val="20"/>
              </w:rPr>
            </w:pPr>
            <w:r w:rsidRPr="007E190E">
              <w:rPr>
                <w:sz w:val="20"/>
              </w:rPr>
              <w:fldChar w:fldCharType="begin">
                <w:ffData>
                  <w:name w:val="Text51"/>
                  <w:enabled/>
                  <w:calcOnExit w:val="0"/>
                  <w:textInput>
                    <w:maxLength w:val="14"/>
                  </w:textInput>
                </w:ffData>
              </w:fldChar>
            </w:r>
            <w:r w:rsidRPr="007E190E">
              <w:rPr>
                <w:sz w:val="20"/>
              </w:rPr>
              <w:instrText xml:space="preserve"> FORMTEXT </w:instrText>
            </w:r>
            <w:r w:rsidRPr="007E190E">
              <w:rPr>
                <w:sz w:val="20"/>
              </w:rPr>
            </w:r>
            <w:r w:rsidRPr="007E190E">
              <w:rPr>
                <w:sz w:val="20"/>
              </w:rPr>
              <w:fldChar w:fldCharType="separate"/>
            </w:r>
            <w:r w:rsidR="00D95EC3">
              <w:rPr>
                <w:noProof/>
                <w:sz w:val="20"/>
              </w:rPr>
              <w:t>Negligible</w:t>
            </w:r>
            <w:r w:rsidRPr="007E190E">
              <w:rPr>
                <w:sz w:val="20"/>
              </w:rPr>
              <w:fldChar w:fldCharType="end"/>
            </w:r>
          </w:p>
        </w:tc>
        <w:tc>
          <w:tcPr>
            <w:tcW w:w="2636" w:type="dxa"/>
            <w:gridSpan w:val="2"/>
            <w:tcBorders>
              <w:top w:val="single" w:sz="12" w:space="0" w:color="auto"/>
              <w:left w:val="single" w:sz="12" w:space="0" w:color="auto"/>
              <w:bottom w:val="single" w:sz="12" w:space="0" w:color="auto"/>
            </w:tcBorders>
            <w:shd w:val="clear" w:color="auto" w:fill="FFFFFF"/>
            <w:vAlign w:val="center"/>
          </w:tcPr>
          <w:p w14:paraId="2CF06C07" w14:textId="77777777" w:rsidR="001844B6" w:rsidRPr="007E190E" w:rsidRDefault="001844B6" w:rsidP="005A3880">
            <w:pPr>
              <w:pStyle w:val="POTCCostsBest"/>
              <w:rPr>
                <w:sz w:val="20"/>
              </w:rPr>
            </w:pPr>
            <w:r w:rsidRPr="007E190E">
              <w:rPr>
                <w:sz w:val="20"/>
              </w:rPr>
              <w:fldChar w:fldCharType="begin">
                <w:ffData>
                  <w:name w:val="Text54"/>
                  <w:enabled/>
                  <w:calcOnExit w:val="0"/>
                  <w:textInput>
                    <w:maxLength w:val="14"/>
                  </w:textInput>
                </w:ffData>
              </w:fldChar>
            </w:r>
            <w:r w:rsidRPr="007E190E">
              <w:rPr>
                <w:sz w:val="20"/>
              </w:rPr>
              <w:instrText xml:space="preserve"> FORMTEXT </w:instrText>
            </w:r>
            <w:r w:rsidRPr="007E190E">
              <w:rPr>
                <w:sz w:val="20"/>
              </w:rPr>
            </w:r>
            <w:r w:rsidRPr="007E190E">
              <w:rPr>
                <w:sz w:val="20"/>
              </w:rPr>
              <w:fldChar w:fldCharType="separate"/>
            </w:r>
            <w:r w:rsidR="00D95EC3">
              <w:rPr>
                <w:noProof/>
                <w:sz w:val="20"/>
              </w:rPr>
              <w:t>Negligible</w:t>
            </w:r>
            <w:r w:rsidRPr="007E190E">
              <w:rPr>
                <w:sz w:val="20"/>
              </w:rPr>
              <w:fldChar w:fldCharType="end"/>
            </w:r>
          </w:p>
        </w:tc>
      </w:tr>
      <w:tr w:rsidR="001844B6" w:rsidRPr="00826F71" w14:paraId="0BB2970E" w14:textId="77777777" w:rsidTr="007E190E">
        <w:trPr>
          <w:trHeight w:hRule="exact" w:val="1701"/>
        </w:trPr>
        <w:tc>
          <w:tcPr>
            <w:tcW w:w="10235" w:type="dxa"/>
            <w:gridSpan w:val="6"/>
            <w:tcBorders>
              <w:bottom w:val="single" w:sz="6" w:space="0" w:color="auto"/>
            </w:tcBorders>
            <w:shd w:val="clear" w:color="auto" w:fill="auto"/>
          </w:tcPr>
          <w:p w14:paraId="591DDA2E" w14:textId="77777777" w:rsidR="001844B6" w:rsidRPr="007E190E" w:rsidRDefault="001844B6" w:rsidP="005A3880">
            <w:pPr>
              <w:pStyle w:val="IAPOQ1"/>
              <w:rPr>
                <w:szCs w:val="22"/>
              </w:rPr>
            </w:pPr>
            <w:r w:rsidRPr="00544292">
              <w:t xml:space="preserve">Description and scale of </w:t>
            </w:r>
            <w:r w:rsidRPr="00826F71">
              <w:t>key monetised costs</w:t>
            </w:r>
            <w:r w:rsidRPr="00544292">
              <w:t xml:space="preserve"> by ‘main affected groups’ </w:t>
            </w:r>
          </w:p>
          <w:p w14:paraId="694809F3" w14:textId="77777777" w:rsidR="001844B6" w:rsidRPr="00826F71" w:rsidRDefault="001844B6" w:rsidP="005A3880">
            <w:pPr>
              <w:pStyle w:val="IAPOA1"/>
            </w:pPr>
            <w:r w:rsidRPr="00D337D1">
              <w:fldChar w:fldCharType="begin">
                <w:ffData>
                  <w:name w:val="Text62"/>
                  <w:enabled/>
                  <w:calcOnExit w:val="0"/>
                  <w:textInput>
                    <w:default w:val="Maximum of 5 lines"/>
                    <w:maxLength w:val="500"/>
                  </w:textInput>
                </w:ffData>
              </w:fldChar>
            </w:r>
            <w:r w:rsidRPr="00D337D1">
              <w:instrText xml:space="preserve"> FORMTEXT </w:instrText>
            </w:r>
            <w:r w:rsidRPr="00D337D1">
              <w:fldChar w:fldCharType="separate"/>
            </w:r>
            <w:r w:rsidR="00D95EC3">
              <w:t> </w:t>
            </w:r>
            <w:r w:rsidR="00D95EC3">
              <w:t> </w:t>
            </w:r>
            <w:r w:rsidR="00D95EC3">
              <w:t> </w:t>
            </w:r>
            <w:r w:rsidR="00D95EC3">
              <w:t> </w:t>
            </w:r>
            <w:r w:rsidR="00D95EC3">
              <w:t> </w:t>
            </w:r>
            <w:r w:rsidRPr="00D337D1">
              <w:fldChar w:fldCharType="end"/>
            </w:r>
          </w:p>
        </w:tc>
      </w:tr>
      <w:tr w:rsidR="001844B6" w:rsidRPr="00826F71" w14:paraId="55DDCCD2" w14:textId="77777777" w:rsidTr="007E190E">
        <w:trPr>
          <w:trHeight w:hRule="exact" w:val="1701"/>
        </w:trPr>
        <w:tc>
          <w:tcPr>
            <w:tcW w:w="10235" w:type="dxa"/>
            <w:gridSpan w:val="6"/>
            <w:tcBorders>
              <w:top w:val="single" w:sz="6" w:space="0" w:color="auto"/>
              <w:bottom w:val="single" w:sz="12" w:space="0" w:color="auto"/>
            </w:tcBorders>
            <w:shd w:val="clear" w:color="auto" w:fill="auto"/>
          </w:tcPr>
          <w:p w14:paraId="5D59BD84" w14:textId="77777777" w:rsidR="001844B6" w:rsidRPr="007E190E" w:rsidRDefault="001844B6" w:rsidP="005A3880">
            <w:pPr>
              <w:pStyle w:val="IAPOQ2"/>
              <w:rPr>
                <w:szCs w:val="22"/>
              </w:rPr>
            </w:pPr>
            <w:r w:rsidRPr="00544292">
              <w:t>Other</w:t>
            </w:r>
            <w:r w:rsidRPr="00826F71">
              <w:t xml:space="preserve"> key non-monetised costs</w:t>
            </w:r>
            <w:r w:rsidRPr="00544292">
              <w:t xml:space="preserve"> by ‘main affected groups’ </w:t>
            </w:r>
          </w:p>
          <w:p w14:paraId="56C84B17" w14:textId="77777777" w:rsidR="00D95EC3" w:rsidRPr="00D95EC3" w:rsidRDefault="001844B6" w:rsidP="00D95EC3">
            <w:pPr>
              <w:pStyle w:val="IAPOA2"/>
              <w:rPr>
                <w:szCs w:val="22"/>
              </w:rPr>
            </w:pPr>
            <w:r w:rsidRPr="007E190E">
              <w:rPr>
                <w:szCs w:val="22"/>
              </w:rPr>
              <w:fldChar w:fldCharType="begin">
                <w:ffData>
                  <w:name w:val="Text62"/>
                  <w:enabled/>
                  <w:calcOnExit w:val="0"/>
                  <w:textInput>
                    <w:default w:val="Maximum of 5 lines"/>
                    <w:maxLength w:val="500"/>
                  </w:textInput>
                </w:ffData>
              </w:fldChar>
            </w:r>
            <w:r w:rsidRPr="007E190E">
              <w:rPr>
                <w:szCs w:val="22"/>
              </w:rPr>
              <w:instrText xml:space="preserve"> FORMTEXT </w:instrText>
            </w:r>
            <w:r w:rsidRPr="007E190E">
              <w:rPr>
                <w:szCs w:val="22"/>
              </w:rPr>
            </w:r>
            <w:r w:rsidRPr="007E190E">
              <w:rPr>
                <w:szCs w:val="22"/>
              </w:rPr>
              <w:fldChar w:fldCharType="separate"/>
            </w:r>
            <w:r w:rsidR="00D95EC3" w:rsidRPr="00D95EC3">
              <w:rPr>
                <w:szCs w:val="22"/>
              </w:rPr>
              <w:t>Transitional costs: Set-up costs of IT upgrade to enable improved archiving system - Expected to be negligible; Creation of review mechanism to ensure the simplification is maintained.</w:t>
            </w:r>
          </w:p>
          <w:p w14:paraId="5CF59EE6" w14:textId="77777777" w:rsidR="001844B6" w:rsidRPr="007E190E" w:rsidRDefault="00D95EC3" w:rsidP="00D95EC3">
            <w:pPr>
              <w:pStyle w:val="IAPOA2"/>
              <w:rPr>
                <w:szCs w:val="22"/>
              </w:rPr>
            </w:pPr>
            <w:r w:rsidRPr="00D95EC3">
              <w:rPr>
                <w:szCs w:val="22"/>
              </w:rPr>
              <w:t xml:space="preserve">On-going costs: Negligible expense of facilitating review committee meetings; Maintenance of archiving system as part of departmental-wide operation </w:t>
            </w:r>
            <w:r w:rsidR="001844B6" w:rsidRPr="007E190E">
              <w:rPr>
                <w:szCs w:val="22"/>
              </w:rPr>
              <w:fldChar w:fldCharType="end"/>
            </w:r>
          </w:p>
        </w:tc>
      </w:tr>
      <w:tr w:rsidR="001844B6" w:rsidRPr="007E190E" w14:paraId="54B08137" w14:textId="77777777" w:rsidTr="007E190E">
        <w:trPr>
          <w:trHeight w:hRule="exact" w:val="567"/>
        </w:trPr>
        <w:tc>
          <w:tcPr>
            <w:tcW w:w="1995" w:type="dxa"/>
            <w:shd w:val="clear" w:color="auto" w:fill="FFFFFF"/>
          </w:tcPr>
          <w:p w14:paraId="39078A60" w14:textId="77777777" w:rsidR="001844B6" w:rsidRPr="007E190E" w:rsidRDefault="001844B6" w:rsidP="005A3880">
            <w:pPr>
              <w:pStyle w:val="IATableLabel"/>
              <w:rPr>
                <w:sz w:val="24"/>
                <w:szCs w:val="24"/>
              </w:rPr>
            </w:pPr>
            <w:r w:rsidRPr="007E190E">
              <w:rPr>
                <w:sz w:val="24"/>
                <w:szCs w:val="24"/>
              </w:rPr>
              <w:t>BENEFITS (£m)</w:t>
            </w:r>
          </w:p>
        </w:tc>
        <w:tc>
          <w:tcPr>
            <w:tcW w:w="2739" w:type="dxa"/>
            <w:gridSpan w:val="2"/>
            <w:tcBorders>
              <w:top w:val="single" w:sz="12" w:space="0" w:color="auto"/>
              <w:bottom w:val="single" w:sz="6" w:space="0" w:color="auto"/>
            </w:tcBorders>
            <w:shd w:val="clear" w:color="auto" w:fill="auto"/>
          </w:tcPr>
          <w:p w14:paraId="715468E7" w14:textId="77777777" w:rsidR="001844B6" w:rsidRPr="00826F71" w:rsidRDefault="001844B6" w:rsidP="007E190E">
            <w:pPr>
              <w:pStyle w:val="IATableLabel"/>
              <w:tabs>
                <w:tab w:val="right" w:pos="1797"/>
                <w:tab w:val="center" w:pos="2340"/>
              </w:tabs>
              <w:jc w:val="right"/>
            </w:pPr>
            <w:r w:rsidRPr="00826F71">
              <w:t xml:space="preserve">Total Transition </w:t>
            </w:r>
            <w:r>
              <w:br/>
            </w:r>
            <w:r>
              <w:tab/>
            </w:r>
            <w:r w:rsidRPr="007E190E">
              <w:rPr>
                <w:b w:val="0"/>
                <w:sz w:val="18"/>
                <w:szCs w:val="18"/>
              </w:rPr>
              <w:t>(Constant Price)</w:t>
            </w:r>
            <w:r>
              <w:tab/>
            </w:r>
            <w:r w:rsidRPr="007E190E">
              <w:rPr>
                <w:b w:val="0"/>
                <w:sz w:val="18"/>
                <w:szCs w:val="18"/>
              </w:rPr>
              <w:t>Yea</w:t>
            </w:r>
            <w:r w:rsidRPr="007E190E">
              <w:rPr>
                <w:b w:val="0"/>
                <w:bCs/>
                <w:sz w:val="18"/>
                <w:szCs w:val="18"/>
              </w:rPr>
              <w:t>r</w:t>
            </w:r>
            <w:r w:rsidRPr="007E190E">
              <w:rPr>
                <w:b w:val="0"/>
                <w:sz w:val="18"/>
                <w:szCs w:val="18"/>
              </w:rPr>
              <w:t>s</w:t>
            </w:r>
          </w:p>
          <w:p w14:paraId="4E495290" w14:textId="77777777" w:rsidR="001844B6" w:rsidRPr="00826F71" w:rsidRDefault="001844B6" w:rsidP="007E190E">
            <w:pPr>
              <w:pStyle w:val="IATableLabel"/>
              <w:jc w:val="right"/>
            </w:pPr>
            <w:r>
              <w:br/>
            </w:r>
          </w:p>
        </w:tc>
        <w:tc>
          <w:tcPr>
            <w:tcW w:w="2865" w:type="dxa"/>
            <w:tcBorders>
              <w:bottom w:val="single" w:sz="6" w:space="0" w:color="auto"/>
              <w:right w:val="single" w:sz="12" w:space="0" w:color="auto"/>
            </w:tcBorders>
            <w:shd w:val="clear" w:color="auto" w:fill="auto"/>
          </w:tcPr>
          <w:p w14:paraId="6DF146D6" w14:textId="77777777" w:rsidR="001844B6" w:rsidRPr="007E190E" w:rsidRDefault="001844B6" w:rsidP="007E190E">
            <w:pPr>
              <w:pStyle w:val="IATableLabel"/>
              <w:jc w:val="right"/>
              <w:rPr>
                <w:rFonts w:cs="Arial"/>
                <w:bCs/>
              </w:rPr>
            </w:pPr>
            <w:r w:rsidRPr="00826F71">
              <w:t>Average Annual</w:t>
            </w:r>
            <w:r w:rsidRPr="000C031E">
              <w:t xml:space="preserve"> </w:t>
            </w:r>
            <w:r>
              <w:br/>
            </w:r>
            <w:r w:rsidRPr="007E190E">
              <w:rPr>
                <w:b w:val="0"/>
                <w:sz w:val="18"/>
                <w:szCs w:val="18"/>
              </w:rPr>
              <w:t xml:space="preserve">(excl. Transition) </w:t>
            </w:r>
            <w:r w:rsidRPr="007E190E">
              <w:rPr>
                <w:rFonts w:cs="Arial"/>
                <w:b w:val="0"/>
                <w:bCs/>
                <w:sz w:val="18"/>
                <w:szCs w:val="18"/>
              </w:rPr>
              <w:t>(Constant Price)</w:t>
            </w:r>
          </w:p>
        </w:tc>
        <w:tc>
          <w:tcPr>
            <w:tcW w:w="2636" w:type="dxa"/>
            <w:gridSpan w:val="2"/>
            <w:tcBorders>
              <w:top w:val="single" w:sz="12" w:space="0" w:color="auto"/>
              <w:left w:val="single" w:sz="12" w:space="0" w:color="auto"/>
              <w:bottom w:val="single" w:sz="6" w:space="0" w:color="auto"/>
            </w:tcBorders>
            <w:shd w:val="clear" w:color="auto" w:fill="auto"/>
          </w:tcPr>
          <w:p w14:paraId="5C37687E" w14:textId="77777777" w:rsidR="001844B6" w:rsidRPr="00826F71" w:rsidRDefault="001844B6" w:rsidP="007E190E">
            <w:pPr>
              <w:pStyle w:val="IATableLabel"/>
              <w:jc w:val="right"/>
            </w:pPr>
            <w:r w:rsidRPr="00826F71">
              <w:t xml:space="preserve">Total </w:t>
            </w:r>
            <w:r>
              <w:t>Benefit</w:t>
            </w:r>
            <w:r w:rsidRPr="007E190E">
              <w:rPr>
                <w:b w:val="0"/>
                <w:sz w:val="18"/>
                <w:szCs w:val="18"/>
              </w:rPr>
              <w:t xml:space="preserve"> </w:t>
            </w:r>
            <w:r w:rsidRPr="007E190E">
              <w:rPr>
                <w:b w:val="0"/>
                <w:sz w:val="18"/>
                <w:szCs w:val="18"/>
              </w:rPr>
              <w:br/>
              <w:t>(Present Value)</w:t>
            </w:r>
          </w:p>
        </w:tc>
      </w:tr>
      <w:tr w:rsidR="001844B6" w:rsidRPr="007E190E" w14:paraId="75F86DC8" w14:textId="77777777" w:rsidTr="007E190E">
        <w:trPr>
          <w:trHeight w:hRule="exact" w:val="348"/>
        </w:trPr>
        <w:tc>
          <w:tcPr>
            <w:tcW w:w="1995" w:type="dxa"/>
            <w:tcBorders>
              <w:top w:val="single" w:sz="6" w:space="0" w:color="auto"/>
              <w:bottom w:val="single" w:sz="6" w:space="0" w:color="auto"/>
            </w:tcBorders>
            <w:shd w:val="clear" w:color="auto" w:fill="auto"/>
            <w:vAlign w:val="center"/>
          </w:tcPr>
          <w:p w14:paraId="1259F3D9" w14:textId="77777777" w:rsidR="001844B6" w:rsidRPr="00826F71" w:rsidRDefault="001844B6" w:rsidP="005A3880">
            <w:pPr>
              <w:pStyle w:val="IATableLabel"/>
            </w:pPr>
            <w:r w:rsidRPr="00826F71">
              <w:t xml:space="preserve">Low </w:t>
            </w:r>
          </w:p>
        </w:tc>
        <w:tc>
          <w:tcPr>
            <w:tcW w:w="1949" w:type="dxa"/>
            <w:tcBorders>
              <w:top w:val="single" w:sz="6" w:space="0" w:color="auto"/>
              <w:bottom w:val="single" w:sz="6" w:space="0" w:color="auto"/>
            </w:tcBorders>
            <w:shd w:val="clear" w:color="auto" w:fill="auto"/>
            <w:vAlign w:val="center"/>
          </w:tcPr>
          <w:p w14:paraId="1FEC8FA5" w14:textId="77777777" w:rsidR="001844B6" w:rsidRPr="007E190E" w:rsidRDefault="001844B6" w:rsidP="005A3880">
            <w:pPr>
              <w:pStyle w:val="POTTBenLow"/>
              <w:rPr>
                <w:sz w:val="20"/>
              </w:rPr>
            </w:pPr>
            <w:r w:rsidRPr="007E190E">
              <w:rPr>
                <w:sz w:val="20"/>
              </w:rPr>
              <w:fldChar w:fldCharType="begin">
                <w:ffData>
                  <w:name w:val=""/>
                  <w:enabled/>
                  <w:calcOnExit w:val="0"/>
                  <w:textInput>
                    <w:default w:val="Optional"/>
                    <w:maxLength w:val="14"/>
                  </w:textInput>
                </w:ffData>
              </w:fldChar>
            </w:r>
            <w:r w:rsidRPr="007E190E">
              <w:rPr>
                <w:sz w:val="20"/>
              </w:rPr>
              <w:instrText xml:space="preserve"> FORMTEXT </w:instrText>
            </w:r>
            <w:r w:rsidRPr="007E190E">
              <w:rPr>
                <w:sz w:val="20"/>
              </w:rPr>
            </w:r>
            <w:r w:rsidRPr="007E190E">
              <w:rPr>
                <w:sz w:val="20"/>
              </w:rPr>
              <w:fldChar w:fldCharType="separate"/>
            </w:r>
            <w:r w:rsidR="00D95EC3">
              <w:rPr>
                <w:sz w:val="20"/>
              </w:rPr>
              <w:t>0</w:t>
            </w:r>
            <w:r w:rsidRPr="007E190E">
              <w:rPr>
                <w:sz w:val="20"/>
              </w:rPr>
              <w:fldChar w:fldCharType="end"/>
            </w:r>
          </w:p>
        </w:tc>
        <w:tc>
          <w:tcPr>
            <w:tcW w:w="790" w:type="dxa"/>
            <w:vMerge w:val="restart"/>
            <w:tcBorders>
              <w:top w:val="single" w:sz="6" w:space="0" w:color="auto"/>
            </w:tcBorders>
            <w:shd w:val="clear" w:color="auto" w:fill="auto"/>
            <w:vAlign w:val="center"/>
          </w:tcPr>
          <w:p w14:paraId="514F6F2D" w14:textId="77777777" w:rsidR="001844B6" w:rsidRPr="007E190E" w:rsidRDefault="001844B6" w:rsidP="007E190E">
            <w:pPr>
              <w:pStyle w:val="IATableText"/>
              <w:jc w:val="center"/>
              <w:rPr>
                <w:sz w:val="20"/>
              </w:rPr>
            </w:pPr>
            <w:r w:rsidRPr="007E190E">
              <w:rPr>
                <w:sz w:val="20"/>
              </w:rPr>
              <w:fldChar w:fldCharType="begin">
                <w:ffData>
                  <w:name w:val="Text48"/>
                  <w:enabled/>
                  <w:calcOnExit w:val="0"/>
                  <w:textInput>
                    <w:maxLength w:val="3"/>
                  </w:textInput>
                </w:ffData>
              </w:fldChar>
            </w:r>
            <w:r w:rsidRPr="007E190E">
              <w:rPr>
                <w:sz w:val="20"/>
              </w:rPr>
              <w:instrText xml:space="preserve"> FORMTEXT </w:instrText>
            </w:r>
            <w:r w:rsidRPr="007E190E">
              <w:rPr>
                <w:sz w:val="20"/>
              </w:rPr>
            </w:r>
            <w:r w:rsidRPr="007E190E">
              <w:rPr>
                <w:sz w:val="20"/>
              </w:rPr>
              <w:fldChar w:fldCharType="separate"/>
            </w:r>
            <w:r w:rsidRPr="007E190E">
              <w:rPr>
                <w:noProof/>
                <w:sz w:val="20"/>
              </w:rPr>
              <w:t> </w:t>
            </w:r>
            <w:r w:rsidRPr="007E190E">
              <w:rPr>
                <w:noProof/>
                <w:sz w:val="20"/>
              </w:rPr>
              <w:t> </w:t>
            </w:r>
            <w:r w:rsidRPr="007E190E">
              <w:rPr>
                <w:noProof/>
                <w:sz w:val="20"/>
              </w:rPr>
              <w:t> </w:t>
            </w:r>
            <w:r w:rsidRPr="007E190E">
              <w:rPr>
                <w:sz w:val="20"/>
              </w:rPr>
              <w:fldChar w:fldCharType="end"/>
            </w:r>
          </w:p>
        </w:tc>
        <w:tc>
          <w:tcPr>
            <w:tcW w:w="2865" w:type="dxa"/>
            <w:tcBorders>
              <w:top w:val="single" w:sz="6" w:space="0" w:color="auto"/>
              <w:bottom w:val="single" w:sz="6" w:space="0" w:color="auto"/>
              <w:right w:val="single" w:sz="12" w:space="0" w:color="auto"/>
            </w:tcBorders>
            <w:shd w:val="clear" w:color="auto" w:fill="auto"/>
            <w:vAlign w:val="center"/>
          </w:tcPr>
          <w:p w14:paraId="6F690110" w14:textId="18B6ACDB" w:rsidR="001844B6" w:rsidRPr="007E190E" w:rsidRDefault="00BD13AB" w:rsidP="004004FF">
            <w:pPr>
              <w:pStyle w:val="POAABenLow"/>
              <w:jc w:val="center"/>
              <w:rPr>
                <w:sz w:val="20"/>
              </w:rPr>
            </w:pPr>
            <w:r>
              <w:rPr>
                <w:sz w:val="20"/>
              </w:rPr>
              <w:t>£2.88</w:t>
            </w:r>
            <w:r w:rsidR="001844B6" w:rsidRPr="007E190E">
              <w:rPr>
                <w:sz w:val="20"/>
              </w:rPr>
              <w:fldChar w:fldCharType="begin">
                <w:ffData>
                  <w:name w:val=""/>
                  <w:enabled/>
                  <w:calcOnExit w:val="0"/>
                  <w:textInput>
                    <w:default w:val="Optional"/>
                    <w:maxLength w:val="14"/>
                  </w:textInput>
                </w:ffData>
              </w:fldChar>
            </w:r>
            <w:r w:rsidR="001844B6" w:rsidRPr="007E190E">
              <w:rPr>
                <w:sz w:val="20"/>
              </w:rPr>
              <w:instrText xml:space="preserve"> FORMTEXT </w:instrText>
            </w:r>
            <w:r w:rsidR="001844B6" w:rsidRPr="007E190E">
              <w:rPr>
                <w:sz w:val="20"/>
              </w:rPr>
            </w:r>
            <w:r w:rsidR="001844B6" w:rsidRPr="007E190E">
              <w:rPr>
                <w:sz w:val="20"/>
              </w:rPr>
              <w:fldChar w:fldCharType="separate"/>
            </w:r>
            <w:r w:rsidR="00D95EC3">
              <w:rPr>
                <w:sz w:val="20"/>
              </w:rPr>
              <w:t> </w:t>
            </w:r>
            <w:r w:rsidR="00D95EC3">
              <w:rPr>
                <w:sz w:val="20"/>
              </w:rPr>
              <w:t> </w:t>
            </w:r>
            <w:r w:rsidR="00D95EC3">
              <w:rPr>
                <w:sz w:val="20"/>
              </w:rPr>
              <w:t> </w:t>
            </w:r>
            <w:r w:rsidR="00D95EC3">
              <w:rPr>
                <w:sz w:val="20"/>
              </w:rPr>
              <w:t> </w:t>
            </w:r>
            <w:r w:rsidR="00D95EC3">
              <w:rPr>
                <w:sz w:val="20"/>
              </w:rPr>
              <w:t> </w:t>
            </w:r>
            <w:r w:rsidR="001844B6" w:rsidRPr="007E190E">
              <w:rPr>
                <w:sz w:val="20"/>
              </w:rPr>
              <w:fldChar w:fldCharType="end"/>
            </w:r>
          </w:p>
        </w:tc>
        <w:tc>
          <w:tcPr>
            <w:tcW w:w="2636" w:type="dxa"/>
            <w:gridSpan w:val="2"/>
            <w:tcBorders>
              <w:top w:val="single" w:sz="6" w:space="0" w:color="auto"/>
              <w:left w:val="single" w:sz="12" w:space="0" w:color="auto"/>
              <w:bottom w:val="single" w:sz="6" w:space="0" w:color="auto"/>
            </w:tcBorders>
            <w:shd w:val="clear" w:color="auto" w:fill="auto"/>
            <w:vAlign w:val="center"/>
          </w:tcPr>
          <w:p w14:paraId="2A5ABC59" w14:textId="086C299E" w:rsidR="001844B6" w:rsidRPr="007E190E" w:rsidRDefault="00BD13AB" w:rsidP="004004FF">
            <w:pPr>
              <w:pStyle w:val="POTBBenLow"/>
              <w:jc w:val="center"/>
              <w:rPr>
                <w:sz w:val="20"/>
              </w:rPr>
            </w:pPr>
            <w:r>
              <w:rPr>
                <w:sz w:val="20"/>
              </w:rPr>
              <w:t>£23.</w:t>
            </w:r>
            <w:r w:rsidR="000441E3">
              <w:rPr>
                <w:sz w:val="20"/>
              </w:rPr>
              <w:t>82</w:t>
            </w:r>
            <w:r w:rsidR="001844B6" w:rsidRPr="007E190E">
              <w:rPr>
                <w:sz w:val="20"/>
              </w:rPr>
              <w:fldChar w:fldCharType="begin">
                <w:ffData>
                  <w:name w:val=""/>
                  <w:enabled/>
                  <w:calcOnExit w:val="0"/>
                  <w:textInput>
                    <w:default w:val="Optional"/>
                    <w:maxLength w:val="14"/>
                  </w:textInput>
                </w:ffData>
              </w:fldChar>
            </w:r>
            <w:r w:rsidR="001844B6" w:rsidRPr="007E190E">
              <w:rPr>
                <w:sz w:val="20"/>
              </w:rPr>
              <w:instrText xml:space="preserve"> FORMTEXT </w:instrText>
            </w:r>
            <w:r w:rsidR="001844B6" w:rsidRPr="007E190E">
              <w:rPr>
                <w:sz w:val="20"/>
              </w:rPr>
            </w:r>
            <w:r w:rsidR="001844B6" w:rsidRPr="007E190E">
              <w:rPr>
                <w:sz w:val="20"/>
              </w:rPr>
              <w:fldChar w:fldCharType="separate"/>
            </w:r>
            <w:r w:rsidR="00D95EC3">
              <w:rPr>
                <w:sz w:val="20"/>
              </w:rPr>
              <w:t> </w:t>
            </w:r>
            <w:r w:rsidR="00D95EC3">
              <w:rPr>
                <w:sz w:val="20"/>
              </w:rPr>
              <w:t> </w:t>
            </w:r>
            <w:r w:rsidR="00D95EC3">
              <w:rPr>
                <w:sz w:val="20"/>
              </w:rPr>
              <w:t> </w:t>
            </w:r>
            <w:r w:rsidR="00D95EC3">
              <w:rPr>
                <w:sz w:val="20"/>
              </w:rPr>
              <w:t> </w:t>
            </w:r>
            <w:r w:rsidR="00D95EC3">
              <w:rPr>
                <w:sz w:val="20"/>
              </w:rPr>
              <w:t> </w:t>
            </w:r>
            <w:r w:rsidR="001844B6" w:rsidRPr="007E190E">
              <w:rPr>
                <w:sz w:val="20"/>
              </w:rPr>
              <w:fldChar w:fldCharType="end"/>
            </w:r>
          </w:p>
        </w:tc>
      </w:tr>
      <w:tr w:rsidR="001844B6" w:rsidRPr="007E190E" w14:paraId="6688799F" w14:textId="77777777" w:rsidTr="007E190E">
        <w:trPr>
          <w:trHeight w:hRule="exact" w:val="348"/>
        </w:trPr>
        <w:tc>
          <w:tcPr>
            <w:tcW w:w="1995" w:type="dxa"/>
            <w:tcBorders>
              <w:top w:val="single" w:sz="6" w:space="0" w:color="auto"/>
              <w:bottom w:val="single" w:sz="12" w:space="0" w:color="auto"/>
            </w:tcBorders>
            <w:shd w:val="clear" w:color="auto" w:fill="auto"/>
            <w:vAlign w:val="center"/>
          </w:tcPr>
          <w:p w14:paraId="56988E7C" w14:textId="77777777" w:rsidR="001844B6" w:rsidRPr="00826F71" w:rsidRDefault="001844B6" w:rsidP="005A3880">
            <w:pPr>
              <w:pStyle w:val="IATableLabel"/>
            </w:pPr>
            <w:r w:rsidRPr="00826F71">
              <w:t xml:space="preserve">High </w:t>
            </w:r>
          </w:p>
        </w:tc>
        <w:tc>
          <w:tcPr>
            <w:tcW w:w="1949" w:type="dxa"/>
            <w:tcBorders>
              <w:top w:val="single" w:sz="6" w:space="0" w:color="auto"/>
              <w:bottom w:val="single" w:sz="12" w:space="0" w:color="auto"/>
            </w:tcBorders>
            <w:shd w:val="clear" w:color="auto" w:fill="auto"/>
            <w:vAlign w:val="center"/>
          </w:tcPr>
          <w:p w14:paraId="359F1C90" w14:textId="77777777" w:rsidR="001844B6" w:rsidRPr="007E190E" w:rsidRDefault="001844B6" w:rsidP="005A3880">
            <w:pPr>
              <w:pStyle w:val="POTTBenHigh"/>
              <w:rPr>
                <w:sz w:val="20"/>
              </w:rPr>
            </w:pPr>
            <w:r w:rsidRPr="007E190E">
              <w:rPr>
                <w:sz w:val="20"/>
              </w:rPr>
              <w:fldChar w:fldCharType="begin">
                <w:ffData>
                  <w:name w:val=""/>
                  <w:enabled/>
                  <w:calcOnExit w:val="0"/>
                  <w:textInput>
                    <w:default w:val="Optional"/>
                    <w:maxLength w:val="14"/>
                  </w:textInput>
                </w:ffData>
              </w:fldChar>
            </w:r>
            <w:r w:rsidRPr="007E190E">
              <w:rPr>
                <w:sz w:val="20"/>
              </w:rPr>
              <w:instrText xml:space="preserve"> FORMTEXT </w:instrText>
            </w:r>
            <w:r w:rsidRPr="007E190E">
              <w:rPr>
                <w:sz w:val="20"/>
              </w:rPr>
            </w:r>
            <w:r w:rsidRPr="007E190E">
              <w:rPr>
                <w:sz w:val="20"/>
              </w:rPr>
              <w:fldChar w:fldCharType="separate"/>
            </w:r>
            <w:r w:rsidR="00D95EC3">
              <w:rPr>
                <w:sz w:val="20"/>
              </w:rPr>
              <w:t>0</w:t>
            </w:r>
            <w:r w:rsidRPr="007E190E">
              <w:rPr>
                <w:sz w:val="20"/>
              </w:rPr>
              <w:fldChar w:fldCharType="end"/>
            </w:r>
          </w:p>
        </w:tc>
        <w:tc>
          <w:tcPr>
            <w:tcW w:w="790" w:type="dxa"/>
            <w:vMerge/>
            <w:shd w:val="clear" w:color="auto" w:fill="FFFFFF"/>
            <w:vAlign w:val="center"/>
          </w:tcPr>
          <w:p w14:paraId="3417A145" w14:textId="77777777" w:rsidR="001844B6" w:rsidRPr="007E190E" w:rsidRDefault="001844B6" w:rsidP="007E190E">
            <w:pPr>
              <w:pStyle w:val="IATableText"/>
              <w:jc w:val="right"/>
              <w:rPr>
                <w:sz w:val="20"/>
              </w:rPr>
            </w:pPr>
          </w:p>
        </w:tc>
        <w:tc>
          <w:tcPr>
            <w:tcW w:w="2865" w:type="dxa"/>
            <w:tcBorders>
              <w:top w:val="single" w:sz="6" w:space="0" w:color="auto"/>
              <w:bottom w:val="single" w:sz="12" w:space="0" w:color="auto"/>
              <w:right w:val="single" w:sz="12" w:space="0" w:color="auto"/>
            </w:tcBorders>
            <w:shd w:val="clear" w:color="auto" w:fill="auto"/>
            <w:vAlign w:val="center"/>
          </w:tcPr>
          <w:p w14:paraId="0992AF8F" w14:textId="0F2D7975" w:rsidR="001844B6" w:rsidRPr="007E190E" w:rsidRDefault="00BD13AB" w:rsidP="004004FF">
            <w:pPr>
              <w:pStyle w:val="POAABenHigh"/>
              <w:jc w:val="center"/>
              <w:rPr>
                <w:sz w:val="20"/>
              </w:rPr>
            </w:pPr>
            <w:r>
              <w:rPr>
                <w:sz w:val="20"/>
              </w:rPr>
              <w:t>£7.72</w:t>
            </w:r>
            <w:r w:rsidR="001844B6" w:rsidRPr="007E190E">
              <w:rPr>
                <w:sz w:val="20"/>
              </w:rPr>
              <w:fldChar w:fldCharType="begin">
                <w:ffData>
                  <w:name w:val=""/>
                  <w:enabled/>
                  <w:calcOnExit w:val="0"/>
                  <w:textInput>
                    <w:default w:val="Optional"/>
                    <w:maxLength w:val="14"/>
                  </w:textInput>
                </w:ffData>
              </w:fldChar>
            </w:r>
            <w:r w:rsidR="001844B6" w:rsidRPr="007E190E">
              <w:rPr>
                <w:sz w:val="20"/>
              </w:rPr>
              <w:instrText xml:space="preserve"> FORMTEXT </w:instrText>
            </w:r>
            <w:r w:rsidR="001844B6" w:rsidRPr="007E190E">
              <w:rPr>
                <w:sz w:val="20"/>
              </w:rPr>
            </w:r>
            <w:r w:rsidR="001844B6" w:rsidRPr="007E190E">
              <w:rPr>
                <w:sz w:val="20"/>
              </w:rPr>
              <w:fldChar w:fldCharType="separate"/>
            </w:r>
            <w:r w:rsidR="00D95EC3">
              <w:rPr>
                <w:sz w:val="20"/>
              </w:rPr>
              <w:t> </w:t>
            </w:r>
            <w:r w:rsidR="00D95EC3">
              <w:rPr>
                <w:sz w:val="20"/>
              </w:rPr>
              <w:t> </w:t>
            </w:r>
            <w:r w:rsidR="00D95EC3">
              <w:rPr>
                <w:sz w:val="20"/>
              </w:rPr>
              <w:t> </w:t>
            </w:r>
            <w:r w:rsidR="00D95EC3">
              <w:rPr>
                <w:sz w:val="20"/>
              </w:rPr>
              <w:t> </w:t>
            </w:r>
            <w:r w:rsidR="00D95EC3">
              <w:rPr>
                <w:sz w:val="20"/>
              </w:rPr>
              <w:t> </w:t>
            </w:r>
            <w:r w:rsidR="001844B6" w:rsidRPr="007E190E">
              <w:rPr>
                <w:sz w:val="20"/>
              </w:rPr>
              <w:fldChar w:fldCharType="end"/>
            </w:r>
          </w:p>
        </w:tc>
        <w:tc>
          <w:tcPr>
            <w:tcW w:w="2636" w:type="dxa"/>
            <w:gridSpan w:val="2"/>
            <w:tcBorders>
              <w:top w:val="single" w:sz="6" w:space="0" w:color="auto"/>
              <w:left w:val="single" w:sz="12" w:space="0" w:color="auto"/>
              <w:bottom w:val="single" w:sz="12" w:space="0" w:color="auto"/>
            </w:tcBorders>
            <w:shd w:val="clear" w:color="auto" w:fill="auto"/>
            <w:vAlign w:val="center"/>
          </w:tcPr>
          <w:p w14:paraId="5B65AC1B" w14:textId="3C4A9E8A" w:rsidR="001844B6" w:rsidRPr="007E190E" w:rsidRDefault="00BD13AB" w:rsidP="004004FF">
            <w:pPr>
              <w:pStyle w:val="POTBBenHigh"/>
              <w:jc w:val="left"/>
              <w:rPr>
                <w:sz w:val="20"/>
              </w:rPr>
            </w:pPr>
            <w:r>
              <w:rPr>
                <w:sz w:val="20"/>
              </w:rPr>
              <w:t xml:space="preserve">             £6</w:t>
            </w:r>
            <w:r w:rsidR="000441E3">
              <w:rPr>
                <w:sz w:val="20"/>
              </w:rPr>
              <w:t>3.95</w:t>
            </w:r>
          </w:p>
        </w:tc>
      </w:tr>
      <w:tr w:rsidR="001844B6" w:rsidRPr="007E190E" w14:paraId="15DA917E" w14:textId="77777777" w:rsidTr="007E190E">
        <w:trPr>
          <w:trHeight w:hRule="exact" w:val="348"/>
        </w:trPr>
        <w:tc>
          <w:tcPr>
            <w:tcW w:w="1995" w:type="dxa"/>
            <w:tcBorders>
              <w:top w:val="single" w:sz="12" w:space="0" w:color="auto"/>
              <w:bottom w:val="single" w:sz="12" w:space="0" w:color="auto"/>
              <w:right w:val="single" w:sz="12" w:space="0" w:color="auto"/>
            </w:tcBorders>
            <w:shd w:val="clear" w:color="auto" w:fill="FFFFFF"/>
            <w:vAlign w:val="center"/>
          </w:tcPr>
          <w:p w14:paraId="1CAEC598" w14:textId="77777777" w:rsidR="001844B6" w:rsidRPr="00826F71" w:rsidRDefault="001844B6" w:rsidP="005A3880">
            <w:pPr>
              <w:pStyle w:val="IATableLabel"/>
            </w:pPr>
            <w:r w:rsidRPr="00826F71">
              <w:t xml:space="preserve">Best </w:t>
            </w:r>
            <w:r>
              <w:t>E</w:t>
            </w:r>
            <w:r w:rsidRPr="00826F71">
              <w:t>stimate</w:t>
            </w:r>
          </w:p>
          <w:p w14:paraId="77DF2338" w14:textId="77777777" w:rsidR="001844B6" w:rsidRPr="007E190E" w:rsidRDefault="001844B6" w:rsidP="007E190E">
            <w:pPr>
              <w:pStyle w:val="IATableNotes"/>
              <w:spacing w:beforeLines="40" w:before="96"/>
              <w:ind w:left="0" w:right="-22"/>
              <w:jc w:val="center"/>
              <w:rPr>
                <w:rFonts w:cs="Arial"/>
                <w:b/>
                <w:sz w:val="20"/>
              </w:rPr>
            </w:pPr>
          </w:p>
        </w:tc>
        <w:tc>
          <w:tcPr>
            <w:tcW w:w="1949" w:type="dxa"/>
            <w:tcBorders>
              <w:top w:val="single" w:sz="12" w:space="0" w:color="auto"/>
              <w:left w:val="single" w:sz="12" w:space="0" w:color="auto"/>
              <w:bottom w:val="single" w:sz="12" w:space="0" w:color="auto"/>
              <w:right w:val="single" w:sz="12" w:space="0" w:color="auto"/>
            </w:tcBorders>
            <w:shd w:val="clear" w:color="auto" w:fill="FFFFFF"/>
            <w:vAlign w:val="center"/>
          </w:tcPr>
          <w:p w14:paraId="465714BA" w14:textId="77777777" w:rsidR="001844B6" w:rsidRPr="007E190E" w:rsidRDefault="001844B6" w:rsidP="005A3880">
            <w:pPr>
              <w:pStyle w:val="POTTBenBest"/>
              <w:rPr>
                <w:sz w:val="20"/>
              </w:rPr>
            </w:pPr>
            <w:r w:rsidRPr="007E190E">
              <w:rPr>
                <w:sz w:val="20"/>
              </w:rPr>
              <w:fldChar w:fldCharType="begin">
                <w:ffData>
                  <w:name w:val=""/>
                  <w:enabled/>
                  <w:calcOnExit w:val="0"/>
                  <w:textInput>
                    <w:maxLength w:val="14"/>
                  </w:textInput>
                </w:ffData>
              </w:fldChar>
            </w:r>
            <w:r w:rsidRPr="007E190E">
              <w:rPr>
                <w:sz w:val="20"/>
              </w:rPr>
              <w:instrText xml:space="preserve"> FORMTEXT </w:instrText>
            </w:r>
            <w:r w:rsidRPr="007E190E">
              <w:rPr>
                <w:sz w:val="20"/>
              </w:rPr>
            </w:r>
            <w:r w:rsidRPr="007E190E">
              <w:rPr>
                <w:sz w:val="20"/>
              </w:rPr>
              <w:fldChar w:fldCharType="separate"/>
            </w:r>
            <w:r w:rsidR="00D95EC3">
              <w:rPr>
                <w:noProof/>
                <w:sz w:val="20"/>
              </w:rPr>
              <w:t>0</w:t>
            </w:r>
            <w:r w:rsidRPr="007E190E">
              <w:rPr>
                <w:sz w:val="20"/>
              </w:rPr>
              <w:fldChar w:fldCharType="end"/>
            </w:r>
          </w:p>
        </w:tc>
        <w:tc>
          <w:tcPr>
            <w:tcW w:w="790" w:type="dxa"/>
            <w:vMerge/>
            <w:tcBorders>
              <w:left w:val="single" w:sz="12" w:space="0" w:color="auto"/>
              <w:right w:val="single" w:sz="12" w:space="0" w:color="auto"/>
            </w:tcBorders>
            <w:shd w:val="clear" w:color="auto" w:fill="FFFFFF"/>
            <w:vAlign w:val="center"/>
          </w:tcPr>
          <w:p w14:paraId="15C3074E" w14:textId="77777777" w:rsidR="001844B6" w:rsidRPr="007E190E" w:rsidRDefault="001844B6" w:rsidP="007E190E">
            <w:pPr>
              <w:pStyle w:val="IATableText"/>
              <w:jc w:val="right"/>
              <w:rPr>
                <w:sz w:val="20"/>
              </w:rPr>
            </w:pPr>
          </w:p>
        </w:tc>
        <w:tc>
          <w:tcPr>
            <w:tcW w:w="2865" w:type="dxa"/>
            <w:tcBorders>
              <w:top w:val="single" w:sz="12" w:space="0" w:color="auto"/>
              <w:left w:val="single" w:sz="12" w:space="0" w:color="auto"/>
              <w:bottom w:val="single" w:sz="12" w:space="0" w:color="auto"/>
              <w:right w:val="single" w:sz="12" w:space="0" w:color="auto"/>
            </w:tcBorders>
            <w:shd w:val="clear" w:color="auto" w:fill="FFFFFF"/>
            <w:vAlign w:val="center"/>
          </w:tcPr>
          <w:p w14:paraId="75FBE5BE" w14:textId="48B96CC8" w:rsidR="001844B6" w:rsidRPr="007E190E" w:rsidRDefault="00BD13AB" w:rsidP="004004FF">
            <w:pPr>
              <w:pStyle w:val="POAABenBest"/>
              <w:jc w:val="center"/>
              <w:rPr>
                <w:sz w:val="20"/>
              </w:rPr>
            </w:pPr>
            <w:r>
              <w:rPr>
                <w:sz w:val="20"/>
              </w:rPr>
              <w:t>£3.60</w:t>
            </w:r>
            <w:r w:rsidR="001844B6" w:rsidRPr="007E190E">
              <w:rPr>
                <w:sz w:val="20"/>
              </w:rPr>
              <w:fldChar w:fldCharType="begin">
                <w:ffData>
                  <w:name w:val=""/>
                  <w:enabled/>
                  <w:calcOnExit w:val="0"/>
                  <w:textInput>
                    <w:maxLength w:val="14"/>
                  </w:textInput>
                </w:ffData>
              </w:fldChar>
            </w:r>
            <w:r w:rsidR="001844B6" w:rsidRPr="007E190E">
              <w:rPr>
                <w:sz w:val="20"/>
              </w:rPr>
              <w:instrText xml:space="preserve"> FORMTEXT </w:instrText>
            </w:r>
            <w:r w:rsidR="001844B6" w:rsidRPr="007E190E">
              <w:rPr>
                <w:sz w:val="20"/>
              </w:rPr>
            </w:r>
            <w:r w:rsidR="001844B6" w:rsidRPr="007E190E">
              <w:rPr>
                <w:sz w:val="20"/>
              </w:rPr>
              <w:fldChar w:fldCharType="separate"/>
            </w:r>
            <w:r w:rsidR="001844B6" w:rsidRPr="007E190E">
              <w:rPr>
                <w:noProof/>
                <w:sz w:val="20"/>
              </w:rPr>
              <w:t> </w:t>
            </w:r>
            <w:r w:rsidR="001844B6" w:rsidRPr="007E190E">
              <w:rPr>
                <w:noProof/>
                <w:sz w:val="20"/>
              </w:rPr>
              <w:t> </w:t>
            </w:r>
            <w:r w:rsidR="001844B6" w:rsidRPr="007E190E">
              <w:rPr>
                <w:noProof/>
                <w:sz w:val="20"/>
              </w:rPr>
              <w:t> </w:t>
            </w:r>
            <w:r w:rsidR="001844B6" w:rsidRPr="007E190E">
              <w:rPr>
                <w:noProof/>
                <w:sz w:val="20"/>
              </w:rPr>
              <w:t> </w:t>
            </w:r>
            <w:r w:rsidR="001844B6" w:rsidRPr="007E190E">
              <w:rPr>
                <w:noProof/>
                <w:sz w:val="20"/>
              </w:rPr>
              <w:t> </w:t>
            </w:r>
            <w:r w:rsidR="001844B6" w:rsidRPr="007E190E">
              <w:rPr>
                <w:sz w:val="20"/>
              </w:rPr>
              <w:fldChar w:fldCharType="end"/>
            </w:r>
          </w:p>
        </w:tc>
        <w:tc>
          <w:tcPr>
            <w:tcW w:w="2636" w:type="dxa"/>
            <w:gridSpan w:val="2"/>
            <w:tcBorders>
              <w:top w:val="single" w:sz="12" w:space="0" w:color="auto"/>
              <w:left w:val="single" w:sz="12" w:space="0" w:color="auto"/>
              <w:bottom w:val="single" w:sz="12" w:space="0" w:color="auto"/>
            </w:tcBorders>
            <w:shd w:val="clear" w:color="auto" w:fill="FFFFFF"/>
            <w:vAlign w:val="center"/>
          </w:tcPr>
          <w:p w14:paraId="5BA9A2E2" w14:textId="3C1FA3BD" w:rsidR="001844B6" w:rsidRPr="007E190E" w:rsidRDefault="00BD13AB" w:rsidP="004004FF">
            <w:pPr>
              <w:pStyle w:val="POTBBenBest"/>
              <w:jc w:val="center"/>
              <w:rPr>
                <w:sz w:val="20"/>
              </w:rPr>
            </w:pPr>
            <w:r>
              <w:rPr>
                <w:sz w:val="20"/>
              </w:rPr>
              <w:t>£29.</w:t>
            </w:r>
            <w:r w:rsidR="000441E3">
              <w:rPr>
                <w:sz w:val="20"/>
              </w:rPr>
              <w:t>83</w:t>
            </w:r>
            <w:r w:rsidR="001844B6" w:rsidRPr="007E190E">
              <w:rPr>
                <w:sz w:val="20"/>
              </w:rPr>
              <w:fldChar w:fldCharType="begin">
                <w:ffData>
                  <w:name w:val=""/>
                  <w:enabled/>
                  <w:calcOnExit w:val="0"/>
                  <w:textInput>
                    <w:maxLength w:val="14"/>
                  </w:textInput>
                </w:ffData>
              </w:fldChar>
            </w:r>
            <w:r w:rsidR="001844B6" w:rsidRPr="007E190E">
              <w:rPr>
                <w:sz w:val="20"/>
              </w:rPr>
              <w:instrText xml:space="preserve"> FORMTEXT </w:instrText>
            </w:r>
            <w:r w:rsidR="001844B6" w:rsidRPr="007E190E">
              <w:rPr>
                <w:sz w:val="20"/>
              </w:rPr>
            </w:r>
            <w:r w:rsidR="001844B6" w:rsidRPr="007E190E">
              <w:rPr>
                <w:sz w:val="20"/>
              </w:rPr>
              <w:fldChar w:fldCharType="separate"/>
            </w:r>
            <w:r w:rsidR="001844B6" w:rsidRPr="007E190E">
              <w:rPr>
                <w:noProof/>
                <w:sz w:val="20"/>
              </w:rPr>
              <w:t> </w:t>
            </w:r>
            <w:r w:rsidR="001844B6" w:rsidRPr="007E190E">
              <w:rPr>
                <w:noProof/>
                <w:sz w:val="20"/>
              </w:rPr>
              <w:t> </w:t>
            </w:r>
            <w:r w:rsidR="001844B6" w:rsidRPr="007E190E">
              <w:rPr>
                <w:noProof/>
                <w:sz w:val="20"/>
              </w:rPr>
              <w:t> </w:t>
            </w:r>
            <w:r w:rsidR="001844B6" w:rsidRPr="007E190E">
              <w:rPr>
                <w:noProof/>
                <w:sz w:val="20"/>
              </w:rPr>
              <w:t> </w:t>
            </w:r>
            <w:r w:rsidR="001844B6" w:rsidRPr="007E190E">
              <w:rPr>
                <w:noProof/>
                <w:sz w:val="20"/>
              </w:rPr>
              <w:t> </w:t>
            </w:r>
            <w:r w:rsidR="001844B6" w:rsidRPr="007E190E">
              <w:rPr>
                <w:sz w:val="20"/>
              </w:rPr>
              <w:fldChar w:fldCharType="end"/>
            </w:r>
          </w:p>
        </w:tc>
      </w:tr>
      <w:tr w:rsidR="001844B6" w:rsidRPr="00826F71" w14:paraId="0F5B3F1D" w14:textId="77777777" w:rsidTr="007E190E">
        <w:trPr>
          <w:trHeight w:hRule="exact" w:val="1701"/>
        </w:trPr>
        <w:tc>
          <w:tcPr>
            <w:tcW w:w="10235" w:type="dxa"/>
            <w:gridSpan w:val="6"/>
            <w:shd w:val="clear" w:color="auto" w:fill="auto"/>
          </w:tcPr>
          <w:p w14:paraId="7D0C5CFF" w14:textId="77777777" w:rsidR="001844B6" w:rsidRPr="007E190E" w:rsidRDefault="001844B6" w:rsidP="005A3880">
            <w:pPr>
              <w:pStyle w:val="IPPOQ3"/>
              <w:rPr>
                <w:szCs w:val="22"/>
              </w:rPr>
            </w:pPr>
            <w:r w:rsidRPr="00544292">
              <w:t xml:space="preserve">Description and scale of </w:t>
            </w:r>
            <w:r w:rsidRPr="00826F71">
              <w:t xml:space="preserve">key monetised </w:t>
            </w:r>
            <w:r>
              <w:t>benefits</w:t>
            </w:r>
            <w:r w:rsidRPr="00544292">
              <w:t xml:space="preserve"> by ‘main affected groups’ </w:t>
            </w:r>
          </w:p>
          <w:p w14:paraId="5E5894C0" w14:textId="77777777" w:rsidR="00D95EC3" w:rsidRDefault="001844B6" w:rsidP="00D95EC3">
            <w:pPr>
              <w:pStyle w:val="IAPOA3"/>
            </w:pPr>
            <w:r w:rsidRPr="00D337D1">
              <w:fldChar w:fldCharType="begin">
                <w:ffData>
                  <w:name w:val=""/>
                  <w:enabled/>
                  <w:calcOnExit w:val="0"/>
                  <w:textInput>
                    <w:default w:val="Maximum of 5 lines"/>
                    <w:maxLength w:val="500"/>
                  </w:textInput>
                </w:ffData>
              </w:fldChar>
            </w:r>
            <w:r w:rsidRPr="00D337D1">
              <w:instrText xml:space="preserve"> FORMTEXT </w:instrText>
            </w:r>
            <w:r w:rsidRPr="00D337D1">
              <w:fldChar w:fldCharType="separate"/>
            </w:r>
            <w:r w:rsidR="00D95EC3">
              <w:t>Transitional Benefits: None identified</w:t>
            </w:r>
          </w:p>
          <w:p w14:paraId="074F7C2B" w14:textId="56B32F72" w:rsidR="00B52147" w:rsidRPr="00826F71" w:rsidRDefault="00D95EC3" w:rsidP="00B52147">
            <w:pPr>
              <w:pStyle w:val="IAPOA3"/>
            </w:pPr>
            <w:r>
              <w:t>On-going benefits: Reduced number of judicial reviews – annual savings £0.24 million – HMCTS; Reduced number of appeals in the First Tier and Upper Tribunals, annual savings £1.21 million – HMCTS; Time savings in judiciary reading/writing judgments following more easily navigated immigration rules – annual savings £2.1</w:t>
            </w:r>
            <w:r w:rsidR="005E104E">
              <w:t>4</w:t>
            </w:r>
            <w:r>
              <w:t xml:space="preserve"> million</w:t>
            </w:r>
            <w:r w:rsidR="001844B6" w:rsidRPr="00D337D1">
              <w:fldChar w:fldCharType="end"/>
            </w:r>
            <w:r w:rsidR="00F73F3B">
              <w:t>. We seek evidence from practitioners</w:t>
            </w:r>
            <w:r w:rsidR="00956F6A">
              <w:t>/other consultees</w:t>
            </w:r>
            <w:r w:rsidR="00F73F3B">
              <w:t xml:space="preserve"> on cost savings for applicants. </w:t>
            </w:r>
          </w:p>
        </w:tc>
      </w:tr>
      <w:tr w:rsidR="001844B6" w:rsidRPr="00826F71" w14:paraId="39A5C51C" w14:textId="77777777" w:rsidTr="007E190E">
        <w:trPr>
          <w:trHeight w:hRule="exact" w:val="1701"/>
        </w:trPr>
        <w:tc>
          <w:tcPr>
            <w:tcW w:w="10235" w:type="dxa"/>
            <w:gridSpan w:val="6"/>
            <w:shd w:val="clear" w:color="auto" w:fill="auto"/>
          </w:tcPr>
          <w:p w14:paraId="3A90E592" w14:textId="77777777" w:rsidR="001844B6" w:rsidRPr="007E190E" w:rsidRDefault="001844B6" w:rsidP="005A3880">
            <w:pPr>
              <w:pStyle w:val="IAPOQ4"/>
              <w:rPr>
                <w:szCs w:val="22"/>
              </w:rPr>
            </w:pPr>
            <w:r w:rsidRPr="00544292">
              <w:t>Other</w:t>
            </w:r>
            <w:r w:rsidRPr="00826F71">
              <w:t xml:space="preserve"> key non-monetised </w:t>
            </w:r>
            <w:r>
              <w:t>benefits</w:t>
            </w:r>
            <w:r w:rsidRPr="00544292">
              <w:t xml:space="preserve"> by ‘main affected groups’ </w:t>
            </w:r>
          </w:p>
          <w:p w14:paraId="6DAA4F01" w14:textId="1B54DF7C" w:rsidR="001844B6" w:rsidRPr="00826F71" w:rsidRDefault="001844B6" w:rsidP="00DD1505">
            <w:pPr>
              <w:pStyle w:val="IAPOA4"/>
            </w:pPr>
            <w:r w:rsidRPr="00D337D1">
              <w:fldChar w:fldCharType="begin">
                <w:ffData>
                  <w:name w:val=""/>
                  <w:enabled/>
                  <w:calcOnExit w:val="0"/>
                  <w:textInput>
                    <w:default w:val="Maximum of 5 lines"/>
                    <w:maxLength w:val="500"/>
                  </w:textInput>
                </w:ffData>
              </w:fldChar>
            </w:r>
            <w:r w:rsidRPr="00D337D1">
              <w:instrText xml:space="preserve"> FORMTEXT </w:instrText>
            </w:r>
            <w:r w:rsidRPr="00D337D1">
              <w:fldChar w:fldCharType="separate"/>
            </w:r>
            <w:r w:rsidR="00D95EC3">
              <w:t xml:space="preserve">Increased confidence in the legal system; </w:t>
            </w:r>
            <w:r w:rsidR="00DD1505">
              <w:t>S</w:t>
            </w:r>
            <w:r w:rsidR="00D95EC3">
              <w:t>avings in court hearing times</w:t>
            </w:r>
            <w:r w:rsidR="00A042E6">
              <w:t xml:space="preserve">; Home Office staff time savings from reduced case work </w:t>
            </w:r>
            <w:r w:rsidR="00DC53FC">
              <w:t xml:space="preserve">and </w:t>
            </w:r>
            <w:r w:rsidR="00A042E6">
              <w:t>prep</w:t>
            </w:r>
            <w:r w:rsidR="00DD1505">
              <w:t xml:space="preserve">aration/attendance at </w:t>
            </w:r>
            <w:r w:rsidR="00DC53FC">
              <w:t>hearings</w:t>
            </w:r>
            <w:r w:rsidR="00DD1505">
              <w:t xml:space="preserve">; </w:t>
            </w:r>
            <w:r w:rsidR="00D95EC3">
              <w:t>Reduced number of administrative reviews.</w:t>
            </w:r>
            <w:r w:rsidRPr="00D337D1">
              <w:fldChar w:fldCharType="end"/>
            </w:r>
          </w:p>
        </w:tc>
      </w:tr>
      <w:tr w:rsidR="001844B6" w:rsidRPr="00826F71" w14:paraId="72F739BE" w14:textId="77777777" w:rsidTr="007E190E">
        <w:trPr>
          <w:trHeight w:hRule="exact" w:val="346"/>
        </w:trPr>
        <w:tc>
          <w:tcPr>
            <w:tcW w:w="9375" w:type="dxa"/>
            <w:gridSpan w:val="5"/>
            <w:tcBorders>
              <w:top w:val="single" w:sz="6" w:space="0" w:color="auto"/>
              <w:bottom w:val="nil"/>
            </w:tcBorders>
            <w:shd w:val="clear" w:color="auto" w:fill="auto"/>
          </w:tcPr>
          <w:p w14:paraId="2787A4CE" w14:textId="77777777" w:rsidR="001844B6" w:rsidRDefault="001844B6" w:rsidP="007E190E">
            <w:pPr>
              <w:pStyle w:val="IATableLabel"/>
              <w:tabs>
                <w:tab w:val="left" w:pos="7655"/>
              </w:tabs>
            </w:pPr>
            <w:r w:rsidRPr="00F1653E">
              <w:rPr>
                <w:rStyle w:val="IAPOQ5Char"/>
              </w:rPr>
              <w:t>Key assumptions/sensitivities/risks</w:t>
            </w:r>
            <w:r>
              <w:tab/>
              <w:t>Discount rate (%)</w:t>
            </w:r>
          </w:p>
          <w:p w14:paraId="19CA4050" w14:textId="77777777" w:rsidR="001844B6" w:rsidRPr="00455895" w:rsidRDefault="001844B6" w:rsidP="005A3880">
            <w:pPr>
              <w:pStyle w:val="IATableLabel"/>
            </w:pPr>
          </w:p>
        </w:tc>
        <w:tc>
          <w:tcPr>
            <w:tcW w:w="860" w:type="dxa"/>
            <w:tcBorders>
              <w:top w:val="single" w:sz="6" w:space="0" w:color="auto"/>
              <w:bottom w:val="single" w:sz="4" w:space="0" w:color="auto"/>
            </w:tcBorders>
            <w:shd w:val="clear" w:color="auto" w:fill="auto"/>
          </w:tcPr>
          <w:p w14:paraId="7F120FDB" w14:textId="77777777" w:rsidR="001844B6" w:rsidRPr="007E6CF8" w:rsidRDefault="001844B6" w:rsidP="005A3880">
            <w:pPr>
              <w:pStyle w:val="IAPODisRate"/>
            </w:pPr>
            <w:r w:rsidRPr="00D337D1">
              <w:fldChar w:fldCharType="begin">
                <w:ffData>
                  <w:name w:val=""/>
                  <w:enabled/>
                  <w:calcOnExit w:val="0"/>
                  <w:textInput>
                    <w:maxLength w:val="5"/>
                  </w:textInput>
                </w:ffData>
              </w:fldChar>
            </w:r>
            <w:r w:rsidRPr="00D337D1">
              <w:instrText xml:space="preserve"> FORMTEXT </w:instrText>
            </w:r>
            <w:r w:rsidRPr="00D337D1">
              <w:fldChar w:fldCharType="separate"/>
            </w:r>
            <w:r w:rsidR="00D95EC3">
              <w:rPr>
                <w:noProof/>
              </w:rPr>
              <w:t>3.5</w:t>
            </w:r>
            <w:r w:rsidRPr="00D337D1">
              <w:fldChar w:fldCharType="end"/>
            </w:r>
          </w:p>
        </w:tc>
      </w:tr>
      <w:tr w:rsidR="001844B6" w:rsidRPr="007E190E" w14:paraId="216983BC" w14:textId="77777777" w:rsidTr="004004FF">
        <w:trPr>
          <w:trHeight w:hRule="exact" w:val="1648"/>
        </w:trPr>
        <w:tc>
          <w:tcPr>
            <w:tcW w:w="10235" w:type="dxa"/>
            <w:gridSpan w:val="6"/>
            <w:tcBorders>
              <w:top w:val="nil"/>
              <w:bottom w:val="single" w:sz="12" w:space="0" w:color="auto"/>
            </w:tcBorders>
            <w:shd w:val="clear" w:color="auto" w:fill="auto"/>
          </w:tcPr>
          <w:p w14:paraId="116F3187" w14:textId="77777777" w:rsidR="00D95EC3" w:rsidRDefault="001844B6" w:rsidP="00D95EC3">
            <w:pPr>
              <w:pStyle w:val="IAPOA5"/>
            </w:pPr>
            <w:r>
              <w:fldChar w:fldCharType="begin">
                <w:ffData>
                  <w:name w:val=""/>
                  <w:enabled/>
                  <w:calcOnExit w:val="0"/>
                  <w:textInput>
                    <w:default w:val="Maximum of 5 lines"/>
                    <w:maxLength w:val="500"/>
                  </w:textInput>
                </w:ffData>
              </w:fldChar>
            </w:r>
            <w:r>
              <w:instrText xml:space="preserve"> FORMTEXT </w:instrText>
            </w:r>
            <w:r>
              <w:fldChar w:fldCharType="separate"/>
            </w:r>
            <w:r w:rsidR="00D95EC3">
              <w:t>1.</w:t>
            </w:r>
            <w:r w:rsidR="00D95EC3">
              <w:tab/>
              <w:t xml:space="preserve">Appeals restricted to human rights appeals. </w:t>
            </w:r>
          </w:p>
          <w:p w14:paraId="71CBB320" w14:textId="6410BF77" w:rsidR="00D95EC3" w:rsidRDefault="00D95EC3" w:rsidP="00D95EC3">
            <w:pPr>
              <w:pStyle w:val="IAPOA5"/>
            </w:pPr>
            <w:r>
              <w:t>2.</w:t>
            </w:r>
            <w:r>
              <w:tab/>
              <w:t xml:space="preserve">Time savings </w:t>
            </w:r>
            <w:r w:rsidR="00F73F3B">
              <w:t xml:space="preserve">currently </w:t>
            </w:r>
            <w:r>
              <w:t>based only on one group [HMCTS] – judiciary reading/writing time.</w:t>
            </w:r>
          </w:p>
          <w:p w14:paraId="2EA3BD79" w14:textId="77777777" w:rsidR="00D95EC3" w:rsidRDefault="00D95EC3" w:rsidP="00D95EC3">
            <w:pPr>
              <w:pStyle w:val="IAPOA5"/>
            </w:pPr>
            <w:r>
              <w:t>3.</w:t>
            </w:r>
            <w:r>
              <w:tab/>
              <w:t>Administrative review fees set on a cost recovery basis</w:t>
            </w:r>
          </w:p>
          <w:p w14:paraId="5AA8A5B2" w14:textId="20B14BCF" w:rsidR="00D95EC3" w:rsidRDefault="00D95EC3" w:rsidP="00D95EC3">
            <w:pPr>
              <w:pStyle w:val="IAPOA5"/>
            </w:pPr>
            <w:r>
              <w:t>4.</w:t>
            </w:r>
            <w:r>
              <w:tab/>
              <w:t xml:space="preserve">Uncertainty as to numbers of administrative reviews and judicial reviews in the system from 2019 </w:t>
            </w:r>
            <w:r w:rsidR="00AC2E9F">
              <w:t xml:space="preserve">         </w:t>
            </w:r>
            <w:r>
              <w:t>onward due to the large anticipated volume of EU national applications</w:t>
            </w:r>
          </w:p>
          <w:p w14:paraId="12E9763B" w14:textId="14BB93BD" w:rsidR="001844B6" w:rsidRPr="00544292" w:rsidRDefault="00D95EC3" w:rsidP="00D95EC3">
            <w:pPr>
              <w:pStyle w:val="IAPOA5"/>
            </w:pPr>
            <w:r>
              <w:t xml:space="preserve">5. </w:t>
            </w:r>
            <w:r w:rsidR="00AC2E9F">
              <w:t xml:space="preserve">       </w:t>
            </w:r>
            <w:r>
              <w:t>Archiving utilises existing technology</w:t>
            </w:r>
            <w:r w:rsidR="001844B6">
              <w:fldChar w:fldCharType="end"/>
            </w:r>
          </w:p>
        </w:tc>
      </w:tr>
    </w:tbl>
    <w:p w14:paraId="67EF9604" w14:textId="77777777" w:rsidR="001844B6" w:rsidRDefault="001844B6" w:rsidP="005A3880">
      <w:pPr>
        <w:pStyle w:val="IASpacer"/>
      </w:pPr>
    </w:p>
    <w:p w14:paraId="6D5B05AC" w14:textId="39E29021" w:rsidR="001844B6" w:rsidRDefault="00F63895" w:rsidP="005A3880">
      <w:pPr>
        <w:pStyle w:val="IAHeadLabel"/>
        <w:spacing w:before="50"/>
      </w:pPr>
      <w:r>
        <w:t xml:space="preserve">BUSINESS </w:t>
      </w:r>
      <w:r w:rsidR="001844B6">
        <w:t xml:space="preserve">ASSESSMENT (Option </w:t>
      </w:r>
      <w:r w:rsidR="00765259">
        <w:fldChar w:fldCharType="begin"/>
      </w:r>
      <w:r w:rsidR="00765259">
        <w:instrText xml:space="preserve"> SEQ BA </w:instrText>
      </w:r>
      <w:r w:rsidR="00765259">
        <w:fldChar w:fldCharType="separate"/>
      </w:r>
      <w:r w:rsidR="00505584">
        <w:rPr>
          <w:noProof/>
        </w:rPr>
        <w:t>1</w:t>
      </w:r>
      <w:r w:rsidR="00765259">
        <w:rPr>
          <w:noProof/>
        </w:rPr>
        <w:fldChar w:fldCharType="end"/>
      </w:r>
      <w:r w:rsidR="001844B6">
        <w:t>)</w:t>
      </w:r>
    </w:p>
    <w:tbl>
      <w:tblPr>
        <w:tblW w:w="5000" w:type="pct"/>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844"/>
        <w:gridCol w:w="1839"/>
        <w:gridCol w:w="1698"/>
        <w:gridCol w:w="4814"/>
      </w:tblGrid>
      <w:tr w:rsidR="00FD4195" w:rsidRPr="000E02BE" w14:paraId="6B6280F5" w14:textId="77777777" w:rsidTr="00FD4195">
        <w:trPr>
          <w:trHeight w:hRule="exact" w:val="384"/>
        </w:trPr>
        <w:tc>
          <w:tcPr>
            <w:tcW w:w="5392" w:type="dxa"/>
            <w:gridSpan w:val="3"/>
            <w:tcBorders>
              <w:top w:val="single" w:sz="4" w:space="0" w:color="auto"/>
              <w:bottom w:val="nil"/>
              <w:right w:val="single" w:sz="4" w:space="0" w:color="auto"/>
            </w:tcBorders>
          </w:tcPr>
          <w:p w14:paraId="57F578BD" w14:textId="77777777" w:rsidR="00FD4195" w:rsidRPr="000E02BE" w:rsidRDefault="00FD4195" w:rsidP="005A3880">
            <w:pPr>
              <w:pStyle w:val="IATableLabel"/>
            </w:pPr>
            <w:r w:rsidRPr="000E02BE">
              <w:t xml:space="preserve">Direct impact on </w:t>
            </w:r>
            <w:r>
              <w:t>business (Equivalent Annual) £m</w:t>
            </w:r>
            <w:r w:rsidRPr="000E02BE">
              <w:t xml:space="preserve">: </w:t>
            </w:r>
          </w:p>
        </w:tc>
        <w:tc>
          <w:tcPr>
            <w:tcW w:w="4823" w:type="dxa"/>
            <w:vMerge w:val="restart"/>
            <w:tcBorders>
              <w:top w:val="single" w:sz="4" w:space="0" w:color="auto"/>
              <w:left w:val="single" w:sz="4" w:space="0" w:color="auto"/>
              <w:right w:val="single" w:sz="4" w:space="0" w:color="auto"/>
            </w:tcBorders>
          </w:tcPr>
          <w:p w14:paraId="7F25E22B" w14:textId="77777777" w:rsidR="00FD4195" w:rsidRPr="000E02BE" w:rsidRDefault="00FD4195" w:rsidP="00C96388">
            <w:pPr>
              <w:pStyle w:val="IATableLabel"/>
            </w:pPr>
            <w:r>
              <w:t>Score for Business Impact Target (qualifying provisions only)</w:t>
            </w:r>
            <w:r w:rsidR="00C96388">
              <w:t xml:space="preserve"> £m:</w:t>
            </w:r>
          </w:p>
        </w:tc>
      </w:tr>
      <w:tr w:rsidR="00FD4195" w:rsidRPr="00E75380" w14:paraId="515274DA" w14:textId="77777777" w:rsidTr="001B1210">
        <w:trPr>
          <w:trHeight w:hRule="exact" w:val="340"/>
        </w:trPr>
        <w:tc>
          <w:tcPr>
            <w:tcW w:w="1848" w:type="dxa"/>
            <w:vMerge w:val="restart"/>
            <w:tcBorders>
              <w:top w:val="nil"/>
              <w:right w:val="single" w:sz="4" w:space="0" w:color="auto"/>
            </w:tcBorders>
            <w:shd w:val="clear" w:color="auto" w:fill="FFFFFF"/>
          </w:tcPr>
          <w:p w14:paraId="3CFA223A" w14:textId="77777777" w:rsidR="00FD4195" w:rsidRPr="00F63895" w:rsidRDefault="00FD4195" w:rsidP="005A3880">
            <w:pPr>
              <w:pStyle w:val="IATableLabel"/>
            </w:pPr>
            <w:r w:rsidRPr="00F63895">
              <w:t xml:space="preserve">Costs: </w:t>
            </w:r>
            <w:r w:rsidRPr="00F63895">
              <w:rPr>
                <w:rStyle w:val="IAPODICostChar"/>
                <w:sz w:val="20"/>
                <w:szCs w:val="20"/>
              </w:rPr>
              <w:fldChar w:fldCharType="begin">
                <w:ffData>
                  <w:name w:val="Text67"/>
                  <w:enabled/>
                  <w:calcOnExit w:val="0"/>
                  <w:textInput>
                    <w:maxLength w:val="9"/>
                  </w:textInput>
                </w:ffData>
              </w:fldChar>
            </w:r>
            <w:r w:rsidRPr="00F63895">
              <w:rPr>
                <w:rStyle w:val="IAPODICostChar"/>
                <w:sz w:val="20"/>
                <w:szCs w:val="20"/>
              </w:rPr>
              <w:instrText xml:space="preserve"> FORMTEXT </w:instrText>
            </w:r>
            <w:r w:rsidRPr="00F63895">
              <w:rPr>
                <w:rStyle w:val="IAPODICostChar"/>
                <w:sz w:val="20"/>
                <w:szCs w:val="20"/>
              </w:rPr>
            </w:r>
            <w:r w:rsidRPr="00F63895">
              <w:rPr>
                <w:rStyle w:val="IAPODICostChar"/>
                <w:sz w:val="20"/>
                <w:szCs w:val="20"/>
              </w:rPr>
              <w:fldChar w:fldCharType="separate"/>
            </w:r>
            <w:r w:rsidRPr="00F63895">
              <w:rPr>
                <w:rStyle w:val="IAPODICostChar"/>
                <w:noProof/>
                <w:sz w:val="20"/>
                <w:szCs w:val="20"/>
              </w:rPr>
              <w:t> </w:t>
            </w:r>
            <w:r w:rsidRPr="00F63895">
              <w:rPr>
                <w:rStyle w:val="IAPODICostChar"/>
                <w:noProof/>
                <w:sz w:val="20"/>
                <w:szCs w:val="20"/>
              </w:rPr>
              <w:t> </w:t>
            </w:r>
            <w:r w:rsidRPr="00F63895">
              <w:rPr>
                <w:rStyle w:val="IAPODICostChar"/>
                <w:noProof/>
                <w:sz w:val="20"/>
                <w:szCs w:val="20"/>
              </w:rPr>
              <w:t> </w:t>
            </w:r>
            <w:r w:rsidRPr="00F63895">
              <w:rPr>
                <w:rStyle w:val="IAPODICostChar"/>
                <w:noProof/>
                <w:sz w:val="20"/>
                <w:szCs w:val="20"/>
              </w:rPr>
              <w:t> </w:t>
            </w:r>
            <w:r w:rsidRPr="00F63895">
              <w:rPr>
                <w:rStyle w:val="IAPODICostChar"/>
                <w:noProof/>
                <w:sz w:val="20"/>
                <w:szCs w:val="20"/>
              </w:rPr>
              <w:t> </w:t>
            </w:r>
            <w:r w:rsidRPr="00F63895">
              <w:rPr>
                <w:rStyle w:val="IAPODICostChar"/>
                <w:sz w:val="20"/>
                <w:szCs w:val="20"/>
              </w:rPr>
              <w:fldChar w:fldCharType="end"/>
            </w:r>
          </w:p>
        </w:tc>
        <w:tc>
          <w:tcPr>
            <w:tcW w:w="1843" w:type="dxa"/>
            <w:vMerge w:val="restart"/>
            <w:tcBorders>
              <w:top w:val="nil"/>
              <w:right w:val="single" w:sz="4" w:space="0" w:color="auto"/>
            </w:tcBorders>
            <w:shd w:val="clear" w:color="auto" w:fill="FFFFFF"/>
          </w:tcPr>
          <w:p w14:paraId="62FFE236" w14:textId="77777777" w:rsidR="00FD4195" w:rsidRPr="00F63895" w:rsidRDefault="00FD4195" w:rsidP="005A3880">
            <w:pPr>
              <w:pStyle w:val="IATableLabel"/>
            </w:pPr>
            <w:r w:rsidRPr="00F63895">
              <w:t xml:space="preserve">Benefits: </w:t>
            </w:r>
            <w:r w:rsidRPr="00F63895">
              <w:rPr>
                <w:rStyle w:val="IAPODIBenChar"/>
                <w:sz w:val="20"/>
                <w:szCs w:val="20"/>
              </w:rPr>
              <w:fldChar w:fldCharType="begin">
                <w:ffData>
                  <w:name w:val="Text68"/>
                  <w:enabled/>
                  <w:calcOnExit w:val="0"/>
                  <w:textInput>
                    <w:maxLength w:val="9"/>
                  </w:textInput>
                </w:ffData>
              </w:fldChar>
            </w:r>
            <w:r w:rsidRPr="00F63895">
              <w:rPr>
                <w:rStyle w:val="IAPODIBenChar"/>
                <w:sz w:val="20"/>
                <w:szCs w:val="20"/>
              </w:rPr>
              <w:instrText xml:space="preserve"> FORMTEXT </w:instrText>
            </w:r>
            <w:r w:rsidRPr="00F63895">
              <w:rPr>
                <w:rStyle w:val="IAPODIBenChar"/>
                <w:sz w:val="20"/>
                <w:szCs w:val="20"/>
              </w:rPr>
            </w:r>
            <w:r w:rsidRPr="00F63895">
              <w:rPr>
                <w:rStyle w:val="IAPODIBenChar"/>
                <w:sz w:val="20"/>
                <w:szCs w:val="20"/>
              </w:rPr>
              <w:fldChar w:fldCharType="separate"/>
            </w:r>
            <w:r w:rsidRPr="00F63895">
              <w:rPr>
                <w:rStyle w:val="IAPODIBenChar"/>
                <w:noProof/>
                <w:sz w:val="20"/>
                <w:szCs w:val="20"/>
              </w:rPr>
              <w:t> </w:t>
            </w:r>
            <w:r w:rsidRPr="00F63895">
              <w:rPr>
                <w:rStyle w:val="IAPODIBenChar"/>
                <w:noProof/>
                <w:sz w:val="20"/>
                <w:szCs w:val="20"/>
              </w:rPr>
              <w:t> </w:t>
            </w:r>
            <w:r w:rsidRPr="00F63895">
              <w:rPr>
                <w:rStyle w:val="IAPODIBenChar"/>
                <w:noProof/>
                <w:sz w:val="20"/>
                <w:szCs w:val="20"/>
              </w:rPr>
              <w:t> </w:t>
            </w:r>
            <w:r w:rsidRPr="00F63895">
              <w:rPr>
                <w:rStyle w:val="IAPODIBenChar"/>
                <w:noProof/>
                <w:sz w:val="20"/>
                <w:szCs w:val="20"/>
              </w:rPr>
              <w:t> </w:t>
            </w:r>
            <w:r w:rsidRPr="00F63895">
              <w:rPr>
                <w:rStyle w:val="IAPODIBenChar"/>
                <w:noProof/>
                <w:sz w:val="20"/>
                <w:szCs w:val="20"/>
              </w:rPr>
              <w:t> </w:t>
            </w:r>
            <w:r w:rsidRPr="00F63895">
              <w:rPr>
                <w:rStyle w:val="IAPODIBenChar"/>
                <w:sz w:val="20"/>
                <w:szCs w:val="20"/>
              </w:rPr>
              <w:fldChar w:fldCharType="end"/>
            </w:r>
          </w:p>
        </w:tc>
        <w:tc>
          <w:tcPr>
            <w:tcW w:w="1701" w:type="dxa"/>
            <w:vMerge w:val="restart"/>
            <w:tcBorders>
              <w:top w:val="nil"/>
              <w:right w:val="single" w:sz="4" w:space="0" w:color="auto"/>
            </w:tcBorders>
            <w:shd w:val="clear" w:color="auto" w:fill="FFFFFF"/>
          </w:tcPr>
          <w:p w14:paraId="0D9614FA" w14:textId="77777777" w:rsidR="00FD4195" w:rsidRPr="00F63895" w:rsidRDefault="00FD4195" w:rsidP="005A3880">
            <w:pPr>
              <w:pStyle w:val="IATableLabel"/>
            </w:pPr>
            <w:r w:rsidRPr="00F63895">
              <w:t xml:space="preserve">Net: </w:t>
            </w:r>
            <w:r w:rsidRPr="00F63895">
              <w:rPr>
                <w:rStyle w:val="IAPODINetChar"/>
                <w:sz w:val="20"/>
                <w:szCs w:val="20"/>
              </w:rPr>
              <w:fldChar w:fldCharType="begin">
                <w:ffData>
                  <w:name w:val="Text69"/>
                  <w:enabled/>
                  <w:calcOnExit w:val="0"/>
                  <w:textInput>
                    <w:maxLength w:val="9"/>
                  </w:textInput>
                </w:ffData>
              </w:fldChar>
            </w:r>
            <w:r w:rsidRPr="00F63895">
              <w:rPr>
                <w:rStyle w:val="IAPODINetChar"/>
                <w:sz w:val="20"/>
                <w:szCs w:val="20"/>
              </w:rPr>
              <w:instrText xml:space="preserve"> FORMTEXT </w:instrText>
            </w:r>
            <w:r w:rsidRPr="00F63895">
              <w:rPr>
                <w:rStyle w:val="IAPODINetChar"/>
                <w:sz w:val="20"/>
                <w:szCs w:val="20"/>
              </w:rPr>
            </w:r>
            <w:r w:rsidRPr="00F63895">
              <w:rPr>
                <w:rStyle w:val="IAPODINetChar"/>
                <w:sz w:val="20"/>
                <w:szCs w:val="20"/>
              </w:rPr>
              <w:fldChar w:fldCharType="separate"/>
            </w:r>
            <w:r w:rsidRPr="00F63895">
              <w:rPr>
                <w:rStyle w:val="IAPODINetChar"/>
                <w:noProof/>
                <w:sz w:val="20"/>
                <w:szCs w:val="20"/>
              </w:rPr>
              <w:t> </w:t>
            </w:r>
            <w:r w:rsidRPr="00F63895">
              <w:rPr>
                <w:rStyle w:val="IAPODINetChar"/>
                <w:noProof/>
                <w:sz w:val="20"/>
                <w:szCs w:val="20"/>
              </w:rPr>
              <w:t> </w:t>
            </w:r>
            <w:r w:rsidRPr="00F63895">
              <w:rPr>
                <w:rStyle w:val="IAPODINetChar"/>
                <w:noProof/>
                <w:sz w:val="20"/>
                <w:szCs w:val="20"/>
              </w:rPr>
              <w:t> </w:t>
            </w:r>
            <w:r w:rsidRPr="00F63895">
              <w:rPr>
                <w:rStyle w:val="IAPODINetChar"/>
                <w:noProof/>
                <w:sz w:val="20"/>
                <w:szCs w:val="20"/>
              </w:rPr>
              <w:t> </w:t>
            </w:r>
            <w:r w:rsidRPr="00F63895">
              <w:rPr>
                <w:rStyle w:val="IAPODINetChar"/>
                <w:noProof/>
                <w:sz w:val="20"/>
                <w:szCs w:val="20"/>
              </w:rPr>
              <w:t> </w:t>
            </w:r>
            <w:r w:rsidRPr="00F63895">
              <w:rPr>
                <w:rStyle w:val="IAPODINetChar"/>
                <w:sz w:val="20"/>
                <w:szCs w:val="20"/>
              </w:rPr>
              <w:fldChar w:fldCharType="end"/>
            </w:r>
          </w:p>
        </w:tc>
        <w:tc>
          <w:tcPr>
            <w:tcW w:w="4823" w:type="dxa"/>
            <w:vMerge/>
            <w:tcBorders>
              <w:left w:val="single" w:sz="4" w:space="0" w:color="auto"/>
              <w:bottom w:val="single" w:sz="4" w:space="0" w:color="auto"/>
              <w:right w:val="single" w:sz="4" w:space="0" w:color="auto"/>
            </w:tcBorders>
            <w:shd w:val="clear" w:color="auto" w:fill="FFFFFF"/>
          </w:tcPr>
          <w:p w14:paraId="51AF68C0" w14:textId="77777777" w:rsidR="00FD4195" w:rsidRPr="00F63895" w:rsidRDefault="00FD4195" w:rsidP="005A3880">
            <w:pPr>
              <w:pStyle w:val="IAPODIMQ"/>
            </w:pPr>
          </w:p>
        </w:tc>
      </w:tr>
      <w:tr w:rsidR="00FD4195" w:rsidRPr="00E75380" w14:paraId="790F0DBC" w14:textId="77777777" w:rsidTr="001B1210">
        <w:trPr>
          <w:trHeight w:hRule="exact" w:val="340"/>
        </w:trPr>
        <w:tc>
          <w:tcPr>
            <w:tcW w:w="1848" w:type="dxa"/>
            <w:vMerge/>
            <w:tcBorders>
              <w:bottom w:val="single" w:sz="4" w:space="0" w:color="auto"/>
              <w:right w:val="single" w:sz="4" w:space="0" w:color="auto"/>
            </w:tcBorders>
            <w:shd w:val="clear" w:color="auto" w:fill="FFFFFF"/>
          </w:tcPr>
          <w:p w14:paraId="6359A6A3" w14:textId="77777777" w:rsidR="00FD4195" w:rsidRPr="00F63895" w:rsidRDefault="00FD4195" w:rsidP="005A3880">
            <w:pPr>
              <w:pStyle w:val="IATableLabel"/>
            </w:pPr>
          </w:p>
        </w:tc>
        <w:tc>
          <w:tcPr>
            <w:tcW w:w="1843" w:type="dxa"/>
            <w:vMerge/>
            <w:tcBorders>
              <w:bottom w:val="single" w:sz="4" w:space="0" w:color="auto"/>
              <w:right w:val="single" w:sz="4" w:space="0" w:color="auto"/>
            </w:tcBorders>
            <w:shd w:val="clear" w:color="auto" w:fill="FFFFFF"/>
          </w:tcPr>
          <w:p w14:paraId="015A9415" w14:textId="77777777" w:rsidR="00FD4195" w:rsidRPr="00F63895" w:rsidRDefault="00FD4195" w:rsidP="005A3880">
            <w:pPr>
              <w:pStyle w:val="IATableLabel"/>
            </w:pPr>
          </w:p>
        </w:tc>
        <w:tc>
          <w:tcPr>
            <w:tcW w:w="1701" w:type="dxa"/>
            <w:vMerge/>
            <w:tcBorders>
              <w:bottom w:val="single" w:sz="4" w:space="0" w:color="auto"/>
              <w:right w:val="single" w:sz="4" w:space="0" w:color="auto"/>
            </w:tcBorders>
            <w:shd w:val="clear" w:color="auto" w:fill="FFFFFF"/>
          </w:tcPr>
          <w:p w14:paraId="0AEFAD71" w14:textId="77777777" w:rsidR="00FD4195" w:rsidRPr="00F63895" w:rsidRDefault="00FD4195" w:rsidP="005A3880">
            <w:pPr>
              <w:pStyle w:val="IATableLabel"/>
            </w:pPr>
          </w:p>
        </w:tc>
        <w:tc>
          <w:tcPr>
            <w:tcW w:w="4823" w:type="dxa"/>
            <w:tcBorders>
              <w:top w:val="nil"/>
              <w:left w:val="single" w:sz="4" w:space="0" w:color="auto"/>
              <w:bottom w:val="single" w:sz="4" w:space="0" w:color="auto"/>
              <w:right w:val="single" w:sz="4" w:space="0" w:color="auto"/>
            </w:tcBorders>
            <w:shd w:val="clear" w:color="auto" w:fill="FFFFFF"/>
          </w:tcPr>
          <w:p w14:paraId="27DD8A4A" w14:textId="77777777" w:rsidR="00FD4195" w:rsidRPr="00F63895" w:rsidRDefault="00D41FA2" w:rsidP="005A3880">
            <w:pPr>
              <w:pStyle w:val="IAPODIMQ"/>
            </w:pPr>
            <w:r>
              <w:fldChar w:fldCharType="begin">
                <w:ffData>
                  <w:name w:val="Text71"/>
                  <w:enabled/>
                  <w:calcOnExit w:val="0"/>
                  <w:textInput/>
                </w:ffData>
              </w:fldChar>
            </w:r>
            <w:bookmarkStart w:id="3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bl>
    <w:p w14:paraId="518EED7A" w14:textId="77777777" w:rsidR="00854B58" w:rsidRDefault="00854B58" w:rsidP="005A3880">
      <w:pPr>
        <w:sectPr w:rsidR="00854B58" w:rsidSect="00F1328C">
          <w:footnotePr>
            <w:numRestart w:val="eachSect"/>
          </w:footnotePr>
          <w:pgSz w:w="11907" w:h="16840" w:code="9"/>
          <w:pgMar w:top="680" w:right="851" w:bottom="680" w:left="851" w:header="284" w:footer="284" w:gutter="0"/>
          <w:cols w:space="708"/>
          <w:docGrid w:linePitch="360"/>
        </w:sectPr>
      </w:pPr>
    </w:p>
    <w:p w14:paraId="7339536F" w14:textId="3B714BC4" w:rsidR="00D95EC3" w:rsidRDefault="00D95EC3" w:rsidP="00D95EC3">
      <w:pPr>
        <w:pStyle w:val="Heading1"/>
        <w:spacing w:before="0"/>
      </w:pPr>
      <w:bookmarkStart w:id="38" w:name="EvidenceHead"/>
      <w:r>
        <w:lastRenderedPageBreak/>
        <w:t>Summary: Analysis &amp; Evidence</w:t>
      </w:r>
      <w:r>
        <w:tab/>
      </w:r>
      <w:r w:rsidRPr="00E3545D">
        <w:rPr>
          <w:rFonts w:ascii="Arial" w:hAnsi="Arial"/>
          <w:b w:val="0"/>
          <w:bCs w:val="0"/>
        </w:rPr>
        <w:t xml:space="preserve">Policy Option </w:t>
      </w:r>
      <w:r>
        <w:rPr>
          <w:rFonts w:ascii="Arial" w:hAnsi="Arial"/>
          <w:b w:val="0"/>
          <w:bCs w:val="0"/>
        </w:rPr>
        <w:fldChar w:fldCharType="begin"/>
      </w:r>
      <w:r>
        <w:rPr>
          <w:rFonts w:ascii="Arial" w:hAnsi="Arial"/>
          <w:b w:val="0"/>
          <w:bCs w:val="0"/>
        </w:rPr>
        <w:instrText xml:space="preserve"> SEQ Policy </w:instrText>
      </w:r>
      <w:r>
        <w:rPr>
          <w:rFonts w:ascii="Arial" w:hAnsi="Arial"/>
          <w:b w:val="0"/>
          <w:bCs w:val="0"/>
        </w:rPr>
        <w:fldChar w:fldCharType="separate"/>
      </w:r>
      <w:r w:rsidR="00505584">
        <w:rPr>
          <w:rFonts w:ascii="Arial" w:hAnsi="Arial"/>
          <w:b w:val="0"/>
          <w:bCs w:val="0"/>
          <w:noProof/>
        </w:rPr>
        <w:t>2</w:t>
      </w:r>
      <w:r>
        <w:rPr>
          <w:rFonts w:ascii="Arial" w:hAnsi="Arial"/>
          <w:b w:val="0"/>
          <w:bCs w:val="0"/>
        </w:rPr>
        <w:fldChar w:fldCharType="end"/>
      </w:r>
    </w:p>
    <w:p w14:paraId="7942BBA9" w14:textId="77777777" w:rsidR="00D95EC3" w:rsidRDefault="00D95EC3" w:rsidP="00D95EC3">
      <w:pPr>
        <w:pStyle w:val="IAHeadLabel"/>
        <w:spacing w:before="50"/>
      </w:pPr>
      <w:r w:rsidRPr="00892576">
        <w:t xml:space="preserve">Description: </w:t>
      </w:r>
      <w:r w:rsidRPr="006B70AF">
        <w:t xml:space="preserve"> </w:t>
      </w:r>
      <w:bookmarkStart w:id="39" w:name="Text70"/>
      <w:r>
        <w:rPr>
          <w:rStyle w:val="IAPODescriptionCharChar"/>
        </w:rPr>
        <w:fldChar w:fldCharType="begin">
          <w:ffData>
            <w:name w:val="Text70"/>
            <w:enabled/>
            <w:calcOnExit w:val="0"/>
            <w:textInput>
              <w:maxLength w:val="230"/>
            </w:textInput>
          </w:ffData>
        </w:fldChar>
      </w:r>
      <w:r>
        <w:rPr>
          <w:rStyle w:val="IAPODescriptionCharChar"/>
        </w:rPr>
        <w:instrText xml:space="preserve"> FORMTEXT </w:instrText>
      </w:r>
      <w:r>
        <w:rPr>
          <w:rStyle w:val="IAPODescriptionCharChar"/>
        </w:rPr>
      </w:r>
      <w:r>
        <w:rPr>
          <w:rStyle w:val="IAPODescriptionCharChar"/>
        </w:rPr>
        <w:fldChar w:fldCharType="separate"/>
      </w:r>
      <w:r>
        <w:rPr>
          <w:rStyle w:val="IAPODescriptionCharChar"/>
          <w:noProof/>
        </w:rPr>
        <w:t>Selected Reform</w:t>
      </w:r>
      <w:r>
        <w:rPr>
          <w:rStyle w:val="IAPODescriptionCharChar"/>
        </w:rPr>
        <w:fldChar w:fldCharType="end"/>
      </w:r>
      <w:bookmarkEnd w:id="39"/>
    </w:p>
    <w:p w14:paraId="102649CB" w14:textId="77777777" w:rsidR="00D95EC3" w:rsidRDefault="00D95EC3" w:rsidP="00D95EC3">
      <w:pPr>
        <w:pStyle w:val="IAHeadLabel"/>
        <w:spacing w:before="50"/>
      </w:pPr>
      <w:r>
        <w:t>FULL ECONOMIC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60"/>
        <w:gridCol w:w="1255"/>
        <w:gridCol w:w="1434"/>
        <w:gridCol w:w="1793"/>
        <w:gridCol w:w="1820"/>
        <w:gridCol w:w="2623"/>
      </w:tblGrid>
      <w:tr w:rsidR="00D95EC3" w:rsidRPr="00AC2EE9" w14:paraId="33A7E70A" w14:textId="77777777" w:rsidTr="00D95EC3">
        <w:trPr>
          <w:trHeight w:hRule="exact" w:val="312"/>
        </w:trPr>
        <w:tc>
          <w:tcPr>
            <w:tcW w:w="1265" w:type="dxa"/>
            <w:vMerge w:val="restart"/>
            <w:shd w:val="clear" w:color="auto" w:fill="auto"/>
          </w:tcPr>
          <w:p w14:paraId="27E9ACEA" w14:textId="77777777" w:rsidR="00D95EC3" w:rsidRPr="005B3CFD" w:rsidRDefault="00D95EC3" w:rsidP="00D95EC3">
            <w:pPr>
              <w:pStyle w:val="POPBY"/>
              <w:spacing w:before="0" w:after="0"/>
              <w:ind w:left="0" w:right="0"/>
              <w:rPr>
                <w:rFonts w:eastAsia="Times New Roman"/>
                <w:b w:val="0"/>
                <w:color w:val="auto"/>
                <w:spacing w:val="0"/>
                <w:sz w:val="24"/>
                <w:szCs w:val="24"/>
                <w:lang w:eastAsia="en-US"/>
              </w:rPr>
            </w:pPr>
            <w:r w:rsidRPr="005B3CFD">
              <w:rPr>
                <w:rFonts w:eastAsia="Times New Roman"/>
                <w:b w:val="0"/>
                <w:color w:val="auto"/>
                <w:spacing w:val="0"/>
                <w:sz w:val="24"/>
                <w:szCs w:val="24"/>
                <w:lang w:eastAsia="en-US"/>
              </w:rPr>
              <w:t xml:space="preserve">Price Base Year  </w:t>
            </w:r>
            <w:r w:rsidRPr="005B3CFD">
              <w:rPr>
                <w:rFonts w:eastAsia="Times New Roman"/>
                <w:color w:val="auto"/>
                <w:spacing w:val="0"/>
                <w:sz w:val="24"/>
                <w:szCs w:val="24"/>
                <w:lang w:eastAsia="en-US"/>
              </w:rPr>
              <w:fldChar w:fldCharType="begin">
                <w:ffData>
                  <w:name w:val="Text55"/>
                  <w:enabled/>
                  <w:calcOnExit w:val="0"/>
                  <w:textInput>
                    <w:maxLength w:val="4"/>
                  </w:textInput>
                </w:ffData>
              </w:fldChar>
            </w:r>
            <w:r w:rsidRPr="005B3CFD">
              <w:rPr>
                <w:rFonts w:eastAsia="Times New Roman"/>
                <w:color w:val="auto"/>
                <w:spacing w:val="0"/>
                <w:sz w:val="24"/>
                <w:szCs w:val="24"/>
                <w:lang w:eastAsia="en-US"/>
              </w:rPr>
              <w:instrText xml:space="preserve"> FORMTEXT </w:instrText>
            </w:r>
            <w:r w:rsidRPr="005B3CFD">
              <w:rPr>
                <w:rFonts w:eastAsia="Times New Roman"/>
                <w:color w:val="auto"/>
                <w:spacing w:val="0"/>
                <w:sz w:val="24"/>
                <w:szCs w:val="24"/>
                <w:lang w:eastAsia="en-US"/>
              </w:rPr>
            </w:r>
            <w:r w:rsidRPr="005B3CFD">
              <w:rPr>
                <w:rFonts w:eastAsia="Times New Roman"/>
                <w:color w:val="auto"/>
                <w:spacing w:val="0"/>
                <w:sz w:val="24"/>
                <w:szCs w:val="24"/>
                <w:lang w:eastAsia="en-US"/>
              </w:rPr>
              <w:fldChar w:fldCharType="separate"/>
            </w:r>
            <w:r>
              <w:rPr>
                <w:rFonts w:eastAsia="Times New Roman"/>
                <w:noProof/>
                <w:color w:val="auto"/>
                <w:spacing w:val="0"/>
                <w:sz w:val="24"/>
                <w:szCs w:val="24"/>
                <w:lang w:eastAsia="en-US"/>
              </w:rPr>
              <w:t>2017</w:t>
            </w:r>
            <w:r w:rsidRPr="005B3CFD">
              <w:rPr>
                <w:rFonts w:eastAsia="Times New Roman"/>
                <w:color w:val="auto"/>
                <w:spacing w:val="0"/>
                <w:sz w:val="24"/>
                <w:szCs w:val="24"/>
                <w:lang w:eastAsia="en-US"/>
              </w:rPr>
              <w:fldChar w:fldCharType="end"/>
            </w:r>
          </w:p>
        </w:tc>
        <w:tc>
          <w:tcPr>
            <w:tcW w:w="1260" w:type="dxa"/>
            <w:vMerge w:val="restart"/>
            <w:shd w:val="clear" w:color="auto" w:fill="auto"/>
          </w:tcPr>
          <w:p w14:paraId="4A9B6160" w14:textId="77777777" w:rsidR="00D95EC3" w:rsidRPr="005B3CFD" w:rsidRDefault="00D95EC3" w:rsidP="00D95EC3">
            <w:pPr>
              <w:pStyle w:val="POPVBY"/>
              <w:spacing w:before="0" w:after="0"/>
              <w:ind w:left="0" w:right="0"/>
              <w:rPr>
                <w:rFonts w:eastAsia="Times New Roman"/>
                <w:b w:val="0"/>
                <w:color w:val="auto"/>
                <w:spacing w:val="0"/>
                <w:sz w:val="24"/>
                <w:szCs w:val="24"/>
                <w:lang w:eastAsia="en-US"/>
              </w:rPr>
            </w:pPr>
            <w:r w:rsidRPr="005B3CFD">
              <w:rPr>
                <w:rFonts w:eastAsia="Times New Roman"/>
                <w:b w:val="0"/>
                <w:color w:val="auto"/>
                <w:spacing w:val="0"/>
                <w:sz w:val="24"/>
                <w:szCs w:val="24"/>
                <w:lang w:eastAsia="en-US"/>
              </w:rPr>
              <w:t xml:space="preserve">PV Base Year  </w:t>
            </w:r>
            <w:r w:rsidRPr="005B3CFD">
              <w:rPr>
                <w:rFonts w:eastAsia="Times New Roman"/>
                <w:color w:val="auto"/>
                <w:spacing w:val="0"/>
                <w:sz w:val="24"/>
                <w:szCs w:val="24"/>
                <w:lang w:eastAsia="en-US"/>
              </w:rPr>
              <w:fldChar w:fldCharType="begin">
                <w:ffData>
                  <w:name w:val="Text56"/>
                  <w:enabled/>
                  <w:calcOnExit w:val="0"/>
                  <w:textInput>
                    <w:maxLength w:val="4"/>
                  </w:textInput>
                </w:ffData>
              </w:fldChar>
            </w:r>
            <w:r w:rsidRPr="005B3CFD">
              <w:rPr>
                <w:rFonts w:eastAsia="Times New Roman"/>
                <w:color w:val="auto"/>
                <w:spacing w:val="0"/>
                <w:sz w:val="24"/>
                <w:szCs w:val="24"/>
                <w:lang w:eastAsia="en-US"/>
              </w:rPr>
              <w:instrText xml:space="preserve"> FORMTEXT </w:instrText>
            </w:r>
            <w:r w:rsidRPr="005B3CFD">
              <w:rPr>
                <w:rFonts w:eastAsia="Times New Roman"/>
                <w:color w:val="auto"/>
                <w:spacing w:val="0"/>
                <w:sz w:val="24"/>
                <w:szCs w:val="24"/>
                <w:lang w:eastAsia="en-US"/>
              </w:rPr>
            </w:r>
            <w:r w:rsidRPr="005B3CFD">
              <w:rPr>
                <w:rFonts w:eastAsia="Times New Roman"/>
                <w:color w:val="auto"/>
                <w:spacing w:val="0"/>
                <w:sz w:val="24"/>
                <w:szCs w:val="24"/>
                <w:lang w:eastAsia="en-US"/>
              </w:rPr>
              <w:fldChar w:fldCharType="separate"/>
            </w:r>
            <w:r>
              <w:rPr>
                <w:rFonts w:eastAsia="Times New Roman"/>
                <w:noProof/>
                <w:color w:val="auto"/>
                <w:spacing w:val="0"/>
                <w:sz w:val="24"/>
                <w:szCs w:val="24"/>
                <w:lang w:eastAsia="en-US"/>
              </w:rPr>
              <w:t>2017</w:t>
            </w:r>
            <w:r w:rsidRPr="005B3CFD">
              <w:rPr>
                <w:rFonts w:eastAsia="Times New Roman"/>
                <w:color w:val="auto"/>
                <w:spacing w:val="0"/>
                <w:sz w:val="24"/>
                <w:szCs w:val="24"/>
                <w:lang w:eastAsia="en-US"/>
              </w:rPr>
              <w:fldChar w:fldCharType="end"/>
            </w:r>
          </w:p>
        </w:tc>
        <w:tc>
          <w:tcPr>
            <w:tcW w:w="1440" w:type="dxa"/>
            <w:vMerge w:val="restart"/>
            <w:tcBorders>
              <w:right w:val="single" w:sz="12" w:space="0" w:color="auto"/>
            </w:tcBorders>
            <w:shd w:val="clear" w:color="auto" w:fill="auto"/>
          </w:tcPr>
          <w:p w14:paraId="45F38DF2" w14:textId="77777777" w:rsidR="00D95EC3" w:rsidRPr="005B3CFD" w:rsidRDefault="00D95EC3" w:rsidP="00D95EC3">
            <w:pPr>
              <w:pStyle w:val="POTPY"/>
              <w:spacing w:before="0" w:after="0"/>
              <w:ind w:left="0" w:right="0"/>
              <w:rPr>
                <w:b w:val="0"/>
                <w:color w:val="008080"/>
                <w:spacing w:val="0"/>
                <w:sz w:val="22"/>
                <w:szCs w:val="24"/>
              </w:rPr>
            </w:pPr>
            <w:r w:rsidRPr="005B3CFD">
              <w:rPr>
                <w:b w:val="0"/>
                <w:color w:val="008080"/>
                <w:spacing w:val="0"/>
                <w:sz w:val="22"/>
                <w:szCs w:val="24"/>
              </w:rPr>
              <w:t xml:space="preserve">Time Period Years  </w:t>
            </w:r>
            <w:r w:rsidRPr="005B3CFD">
              <w:rPr>
                <w:color w:val="008080"/>
                <w:spacing w:val="0"/>
                <w:sz w:val="22"/>
                <w:szCs w:val="24"/>
              </w:rPr>
              <w:fldChar w:fldCharType="begin">
                <w:ffData>
                  <w:name w:val="Text57"/>
                  <w:enabled/>
                  <w:calcOnExit w:val="0"/>
                  <w:textInput>
                    <w:maxLength w:val="4"/>
                  </w:textInput>
                </w:ffData>
              </w:fldChar>
            </w:r>
            <w:r w:rsidRPr="005B3CFD">
              <w:rPr>
                <w:color w:val="008080"/>
                <w:spacing w:val="0"/>
                <w:sz w:val="22"/>
                <w:szCs w:val="24"/>
              </w:rPr>
              <w:instrText xml:space="preserve"> FORMTEXT </w:instrText>
            </w:r>
            <w:r w:rsidRPr="005B3CFD">
              <w:rPr>
                <w:color w:val="008080"/>
                <w:spacing w:val="0"/>
                <w:sz w:val="22"/>
                <w:szCs w:val="24"/>
              </w:rPr>
            </w:r>
            <w:r w:rsidRPr="005B3CFD">
              <w:rPr>
                <w:color w:val="008080"/>
                <w:spacing w:val="0"/>
                <w:sz w:val="22"/>
                <w:szCs w:val="24"/>
              </w:rPr>
              <w:fldChar w:fldCharType="separate"/>
            </w:r>
            <w:r>
              <w:rPr>
                <w:noProof/>
                <w:color w:val="008080"/>
                <w:spacing w:val="0"/>
                <w:sz w:val="22"/>
                <w:szCs w:val="24"/>
              </w:rPr>
              <w:t>10</w:t>
            </w:r>
            <w:r w:rsidRPr="005B3CFD">
              <w:rPr>
                <w:color w:val="008080"/>
                <w:spacing w:val="0"/>
                <w:sz w:val="22"/>
                <w:szCs w:val="24"/>
              </w:rPr>
              <w:fldChar w:fldCharType="end"/>
            </w:r>
          </w:p>
        </w:tc>
        <w:tc>
          <w:tcPr>
            <w:tcW w:w="6260" w:type="dxa"/>
            <w:gridSpan w:val="3"/>
            <w:tcBorders>
              <w:top w:val="single" w:sz="12" w:space="0" w:color="auto"/>
              <w:left w:val="single" w:sz="12" w:space="0" w:color="auto"/>
              <w:bottom w:val="single" w:sz="4" w:space="0" w:color="auto"/>
              <w:right w:val="single" w:sz="12" w:space="0" w:color="auto"/>
            </w:tcBorders>
            <w:shd w:val="clear" w:color="auto" w:fill="FFFFFF"/>
          </w:tcPr>
          <w:p w14:paraId="2B99503C" w14:textId="77777777" w:rsidR="00D95EC3" w:rsidRPr="00826F71" w:rsidRDefault="00D95EC3" w:rsidP="00D95EC3">
            <w:pPr>
              <w:pStyle w:val="IATableLabel"/>
              <w:jc w:val="center"/>
            </w:pPr>
            <w:r w:rsidRPr="00826F71">
              <w:t xml:space="preserve">Net </w:t>
            </w:r>
            <w:r w:rsidRPr="0075393B">
              <w:t>B</w:t>
            </w:r>
            <w:r w:rsidRPr="00826F71">
              <w:t>enefit (</w:t>
            </w:r>
            <w:r>
              <w:t>Present Value (</w:t>
            </w:r>
            <w:r w:rsidRPr="00826F71">
              <w:t>PV</w:t>
            </w:r>
            <w:r>
              <w:t>)</w:t>
            </w:r>
            <w:r w:rsidRPr="00826F71">
              <w:t>)</w:t>
            </w:r>
            <w:r>
              <w:t xml:space="preserve"> (£m)</w:t>
            </w:r>
          </w:p>
        </w:tc>
      </w:tr>
      <w:tr w:rsidR="00D95EC3" w:rsidRPr="00AC2EE9" w14:paraId="697A7D48" w14:textId="77777777" w:rsidTr="00D95EC3">
        <w:trPr>
          <w:trHeight w:hRule="exact" w:val="340"/>
        </w:trPr>
        <w:tc>
          <w:tcPr>
            <w:tcW w:w="1265" w:type="dxa"/>
            <w:vMerge/>
            <w:shd w:val="clear" w:color="auto" w:fill="auto"/>
          </w:tcPr>
          <w:p w14:paraId="4B572AEC" w14:textId="77777777" w:rsidR="00D95EC3" w:rsidRPr="00AC2EE9" w:rsidRDefault="00D95EC3" w:rsidP="00D95EC3">
            <w:pPr>
              <w:pStyle w:val="IATableNotes"/>
              <w:spacing w:before="0" w:after="0"/>
              <w:ind w:left="0" w:right="0"/>
              <w:rPr>
                <w:rFonts w:eastAsia="Times New Roman"/>
                <w:b/>
                <w:sz w:val="20"/>
                <w:szCs w:val="24"/>
                <w:lang w:eastAsia="en-US"/>
              </w:rPr>
            </w:pPr>
          </w:p>
        </w:tc>
        <w:tc>
          <w:tcPr>
            <w:tcW w:w="1260" w:type="dxa"/>
            <w:vMerge/>
            <w:shd w:val="clear" w:color="auto" w:fill="auto"/>
          </w:tcPr>
          <w:p w14:paraId="6A1673BA" w14:textId="77777777" w:rsidR="00D95EC3" w:rsidRPr="00AC2EE9" w:rsidRDefault="00D95EC3" w:rsidP="00D95EC3">
            <w:pPr>
              <w:pStyle w:val="IATableNotes"/>
              <w:spacing w:before="0" w:after="0"/>
              <w:ind w:left="0" w:right="0"/>
              <w:rPr>
                <w:rFonts w:eastAsia="Times New Roman"/>
                <w:b/>
                <w:sz w:val="20"/>
                <w:szCs w:val="24"/>
                <w:lang w:eastAsia="en-US"/>
              </w:rPr>
            </w:pPr>
          </w:p>
        </w:tc>
        <w:tc>
          <w:tcPr>
            <w:tcW w:w="1440" w:type="dxa"/>
            <w:vMerge/>
            <w:tcBorders>
              <w:right w:val="single" w:sz="12" w:space="0" w:color="auto"/>
            </w:tcBorders>
            <w:shd w:val="clear" w:color="auto" w:fill="auto"/>
          </w:tcPr>
          <w:p w14:paraId="7A629829" w14:textId="77777777" w:rsidR="00D95EC3" w:rsidRPr="00AC2EE9" w:rsidRDefault="00D95EC3" w:rsidP="00D95EC3">
            <w:pPr>
              <w:pStyle w:val="IATableNotes"/>
              <w:spacing w:before="0" w:after="0"/>
              <w:ind w:left="0" w:right="0"/>
              <w:rPr>
                <w:rFonts w:eastAsia="Times New Roman"/>
                <w:b/>
                <w:sz w:val="20"/>
                <w:szCs w:val="24"/>
                <w:lang w:eastAsia="en-US"/>
              </w:rPr>
            </w:pPr>
          </w:p>
        </w:tc>
        <w:tc>
          <w:tcPr>
            <w:tcW w:w="1800" w:type="dxa"/>
            <w:tcBorders>
              <w:top w:val="single" w:sz="4" w:space="0" w:color="auto"/>
              <w:left w:val="single" w:sz="12" w:space="0" w:color="auto"/>
              <w:bottom w:val="single" w:sz="12" w:space="0" w:color="auto"/>
              <w:right w:val="single" w:sz="4" w:space="0" w:color="auto"/>
            </w:tcBorders>
            <w:shd w:val="clear" w:color="auto" w:fill="auto"/>
          </w:tcPr>
          <w:p w14:paraId="337444D2" w14:textId="5BB9A981" w:rsidR="00D95EC3" w:rsidRPr="007E190E" w:rsidRDefault="00D95EC3" w:rsidP="00D95EC3">
            <w:pPr>
              <w:pStyle w:val="IATableLabel"/>
              <w:rPr>
                <w:bCs/>
              </w:rPr>
            </w:pPr>
            <w:r w:rsidRPr="00304C1D">
              <w:t>Low:</w:t>
            </w:r>
            <w:r w:rsidRPr="00826F71">
              <w:t xml:space="preserve"> </w:t>
            </w:r>
            <w:r w:rsidR="00BD13AB">
              <w:rPr>
                <w:rStyle w:val="PONBLowCharChar"/>
              </w:rPr>
              <w:t>£</w:t>
            </w:r>
            <w:r w:rsidR="00DC0DDC">
              <w:rPr>
                <w:rStyle w:val="PONBLowCharChar"/>
              </w:rPr>
              <w:t>9.81</w:t>
            </w:r>
          </w:p>
        </w:tc>
        <w:tc>
          <w:tcPr>
            <w:tcW w:w="1827" w:type="dxa"/>
            <w:tcBorders>
              <w:top w:val="single" w:sz="4" w:space="0" w:color="auto"/>
              <w:left w:val="single" w:sz="4" w:space="0" w:color="auto"/>
              <w:bottom w:val="single" w:sz="12" w:space="0" w:color="auto"/>
              <w:right w:val="single" w:sz="12" w:space="0" w:color="auto"/>
            </w:tcBorders>
            <w:shd w:val="clear" w:color="auto" w:fill="auto"/>
          </w:tcPr>
          <w:p w14:paraId="0E8103BC" w14:textId="69F51509" w:rsidR="00D95EC3" w:rsidRPr="007E190E" w:rsidRDefault="00D95EC3" w:rsidP="00D95EC3">
            <w:pPr>
              <w:pStyle w:val="IATableLabel"/>
              <w:rPr>
                <w:rFonts w:cs="Arial"/>
                <w:bCs/>
                <w:szCs w:val="18"/>
              </w:rPr>
            </w:pPr>
            <w:r w:rsidRPr="00304C1D">
              <w:t>High:</w:t>
            </w:r>
            <w:r w:rsidRPr="00826F71">
              <w:t xml:space="preserve"> </w:t>
            </w:r>
            <w:r w:rsidR="00BD13AB">
              <w:rPr>
                <w:rStyle w:val="PONBHighChar"/>
              </w:rPr>
              <w:t>£30.</w:t>
            </w:r>
            <w:r w:rsidR="00DC0DDC">
              <w:rPr>
                <w:rStyle w:val="PONBHighChar"/>
              </w:rPr>
              <w:t>19</w:t>
            </w:r>
          </w:p>
        </w:tc>
        <w:tc>
          <w:tcPr>
            <w:tcW w:w="2633" w:type="dxa"/>
            <w:tcBorders>
              <w:top w:val="single" w:sz="12" w:space="0" w:color="auto"/>
              <w:left w:val="single" w:sz="12" w:space="0" w:color="auto"/>
              <w:bottom w:val="single" w:sz="12" w:space="0" w:color="auto"/>
              <w:right w:val="single" w:sz="12" w:space="0" w:color="auto"/>
            </w:tcBorders>
            <w:shd w:val="clear" w:color="auto" w:fill="FFFFFF"/>
          </w:tcPr>
          <w:p w14:paraId="0678F5CD" w14:textId="2C5EEFBE" w:rsidR="00D95EC3" w:rsidRPr="007E190E" w:rsidRDefault="00D95EC3" w:rsidP="00D95EC3">
            <w:pPr>
              <w:pStyle w:val="IATableLabel"/>
              <w:rPr>
                <w:szCs w:val="18"/>
              </w:rPr>
            </w:pPr>
            <w:r w:rsidRPr="00304C1D">
              <w:t xml:space="preserve">Best </w:t>
            </w:r>
            <w:r>
              <w:t>E</w:t>
            </w:r>
            <w:r w:rsidRPr="00304C1D">
              <w:t>stimate:</w:t>
            </w:r>
            <w:r w:rsidRPr="00826F71">
              <w:t xml:space="preserve"> </w:t>
            </w:r>
            <w:r w:rsidR="00BD13AB">
              <w:rPr>
                <w:rStyle w:val="PONBBestEstChar"/>
              </w:rPr>
              <w:t>£1</w:t>
            </w:r>
            <w:r w:rsidR="00DC0DDC">
              <w:rPr>
                <w:rStyle w:val="PONBBestEstChar"/>
              </w:rPr>
              <w:t>3.66</w:t>
            </w:r>
          </w:p>
        </w:tc>
      </w:tr>
    </w:tbl>
    <w:p w14:paraId="1B251BC2" w14:textId="77777777" w:rsidR="00D95EC3" w:rsidRDefault="00D95EC3" w:rsidP="00D95EC3">
      <w:pPr>
        <w:pStyle w:val="IASpace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1984"/>
        <w:gridCol w:w="1938"/>
        <w:gridCol w:w="785"/>
        <w:gridCol w:w="2848"/>
        <w:gridCol w:w="1765"/>
        <w:gridCol w:w="855"/>
      </w:tblGrid>
      <w:tr w:rsidR="00D95EC3" w:rsidRPr="00AC2EE9" w14:paraId="1F0BFBFC" w14:textId="77777777" w:rsidTr="00D95EC3">
        <w:trPr>
          <w:trHeight w:hRule="exact" w:val="567"/>
        </w:trPr>
        <w:tc>
          <w:tcPr>
            <w:tcW w:w="1995" w:type="dxa"/>
            <w:shd w:val="clear" w:color="auto" w:fill="FFFFFF"/>
          </w:tcPr>
          <w:p w14:paraId="79A6AAD4" w14:textId="77777777" w:rsidR="00D95EC3" w:rsidRPr="007E190E" w:rsidRDefault="00D95EC3" w:rsidP="00D95EC3">
            <w:pPr>
              <w:pStyle w:val="IATableLabel"/>
              <w:rPr>
                <w:sz w:val="24"/>
                <w:szCs w:val="24"/>
              </w:rPr>
            </w:pPr>
            <w:r w:rsidRPr="007E190E">
              <w:rPr>
                <w:sz w:val="24"/>
                <w:szCs w:val="24"/>
              </w:rPr>
              <w:t>COSTS (£m)</w:t>
            </w:r>
          </w:p>
        </w:tc>
        <w:tc>
          <w:tcPr>
            <w:tcW w:w="2739" w:type="dxa"/>
            <w:gridSpan w:val="2"/>
            <w:tcBorders>
              <w:top w:val="single" w:sz="12" w:space="0" w:color="auto"/>
              <w:bottom w:val="single" w:sz="6" w:space="0" w:color="auto"/>
            </w:tcBorders>
            <w:shd w:val="clear" w:color="auto" w:fill="auto"/>
          </w:tcPr>
          <w:p w14:paraId="09F4808E" w14:textId="77777777" w:rsidR="00D95EC3" w:rsidRPr="00826F71" w:rsidRDefault="00D95EC3" w:rsidP="00D95EC3">
            <w:pPr>
              <w:pStyle w:val="IATableLabel"/>
              <w:tabs>
                <w:tab w:val="right" w:pos="1800"/>
                <w:tab w:val="center" w:pos="2340"/>
              </w:tabs>
              <w:jc w:val="right"/>
            </w:pPr>
            <w:r w:rsidRPr="00826F71">
              <w:t xml:space="preserve">Total Transition </w:t>
            </w:r>
            <w:r>
              <w:br/>
            </w:r>
            <w:r>
              <w:tab/>
            </w:r>
            <w:r w:rsidRPr="007E190E">
              <w:rPr>
                <w:b w:val="0"/>
                <w:sz w:val="18"/>
                <w:szCs w:val="18"/>
              </w:rPr>
              <w:t>(Constant Price)</w:t>
            </w:r>
            <w:r>
              <w:tab/>
            </w:r>
            <w:r w:rsidRPr="007E190E">
              <w:rPr>
                <w:b w:val="0"/>
                <w:sz w:val="18"/>
                <w:szCs w:val="18"/>
              </w:rPr>
              <w:t>Yea</w:t>
            </w:r>
            <w:r w:rsidRPr="007E190E">
              <w:rPr>
                <w:b w:val="0"/>
                <w:bCs/>
                <w:sz w:val="18"/>
                <w:szCs w:val="18"/>
              </w:rPr>
              <w:t>r</w:t>
            </w:r>
            <w:r w:rsidRPr="007E190E">
              <w:rPr>
                <w:b w:val="0"/>
                <w:sz w:val="18"/>
                <w:szCs w:val="18"/>
              </w:rPr>
              <w:t>s</w:t>
            </w:r>
          </w:p>
          <w:p w14:paraId="03F46CAE" w14:textId="77777777" w:rsidR="00D95EC3" w:rsidRPr="00826F71" w:rsidRDefault="00D95EC3" w:rsidP="00D95EC3">
            <w:pPr>
              <w:pStyle w:val="IATableLabel"/>
              <w:jc w:val="right"/>
            </w:pPr>
            <w:r>
              <w:br/>
            </w:r>
          </w:p>
        </w:tc>
        <w:tc>
          <w:tcPr>
            <w:tcW w:w="2865" w:type="dxa"/>
            <w:tcBorders>
              <w:bottom w:val="single" w:sz="6" w:space="0" w:color="auto"/>
              <w:right w:val="single" w:sz="12" w:space="0" w:color="auto"/>
            </w:tcBorders>
            <w:shd w:val="clear" w:color="auto" w:fill="auto"/>
          </w:tcPr>
          <w:p w14:paraId="52F9FF50" w14:textId="77777777" w:rsidR="00D95EC3" w:rsidRPr="007E190E" w:rsidRDefault="00D95EC3" w:rsidP="00D95EC3">
            <w:pPr>
              <w:pStyle w:val="IATableLabel"/>
              <w:jc w:val="right"/>
              <w:rPr>
                <w:rFonts w:cs="Arial"/>
                <w:bCs/>
              </w:rPr>
            </w:pPr>
            <w:r w:rsidRPr="00826F71">
              <w:t>Average Annual</w:t>
            </w:r>
            <w:r w:rsidRPr="000C031E">
              <w:t xml:space="preserve"> </w:t>
            </w:r>
            <w:r>
              <w:br/>
            </w:r>
            <w:r w:rsidRPr="007E190E">
              <w:rPr>
                <w:b w:val="0"/>
                <w:sz w:val="18"/>
                <w:szCs w:val="18"/>
              </w:rPr>
              <w:t xml:space="preserve">(excl. Transition) </w:t>
            </w:r>
            <w:r w:rsidRPr="007E190E">
              <w:rPr>
                <w:rFonts w:cs="Arial"/>
                <w:b w:val="0"/>
                <w:bCs/>
                <w:sz w:val="18"/>
                <w:szCs w:val="18"/>
              </w:rPr>
              <w:t>(Constant Price)</w:t>
            </w:r>
          </w:p>
        </w:tc>
        <w:tc>
          <w:tcPr>
            <w:tcW w:w="2636" w:type="dxa"/>
            <w:gridSpan w:val="2"/>
            <w:tcBorders>
              <w:top w:val="single" w:sz="12" w:space="0" w:color="auto"/>
              <w:left w:val="single" w:sz="12" w:space="0" w:color="auto"/>
              <w:bottom w:val="single" w:sz="6" w:space="0" w:color="auto"/>
            </w:tcBorders>
            <w:shd w:val="clear" w:color="auto" w:fill="auto"/>
          </w:tcPr>
          <w:p w14:paraId="5BC4916D" w14:textId="77777777" w:rsidR="00D95EC3" w:rsidRPr="00826F71" w:rsidRDefault="00D95EC3" w:rsidP="00D95EC3">
            <w:pPr>
              <w:pStyle w:val="IATableLabel"/>
              <w:jc w:val="right"/>
            </w:pPr>
            <w:r w:rsidRPr="00826F71">
              <w:t>Total Cost</w:t>
            </w:r>
            <w:r w:rsidRPr="007E190E">
              <w:rPr>
                <w:b w:val="0"/>
                <w:sz w:val="18"/>
                <w:szCs w:val="18"/>
              </w:rPr>
              <w:t xml:space="preserve"> </w:t>
            </w:r>
            <w:r w:rsidRPr="007E190E">
              <w:rPr>
                <w:b w:val="0"/>
                <w:sz w:val="18"/>
                <w:szCs w:val="18"/>
              </w:rPr>
              <w:br/>
              <w:t>(Present Value)</w:t>
            </w:r>
          </w:p>
        </w:tc>
      </w:tr>
      <w:tr w:rsidR="00D95EC3" w:rsidRPr="00AC2EE9" w14:paraId="74ACFA19" w14:textId="77777777" w:rsidTr="00D95EC3">
        <w:trPr>
          <w:trHeight w:hRule="exact" w:val="348"/>
        </w:trPr>
        <w:tc>
          <w:tcPr>
            <w:tcW w:w="1995" w:type="dxa"/>
            <w:tcBorders>
              <w:top w:val="single" w:sz="6" w:space="0" w:color="auto"/>
              <w:bottom w:val="single" w:sz="6" w:space="0" w:color="auto"/>
            </w:tcBorders>
            <w:shd w:val="clear" w:color="auto" w:fill="auto"/>
            <w:vAlign w:val="center"/>
          </w:tcPr>
          <w:p w14:paraId="29CEAFEA" w14:textId="77777777" w:rsidR="00D95EC3" w:rsidRPr="00F63895" w:rsidRDefault="00D95EC3" w:rsidP="00D95EC3">
            <w:pPr>
              <w:pStyle w:val="IATableLabel"/>
            </w:pPr>
            <w:r w:rsidRPr="00F63895">
              <w:t xml:space="preserve">Low </w:t>
            </w:r>
          </w:p>
        </w:tc>
        <w:tc>
          <w:tcPr>
            <w:tcW w:w="1949" w:type="dxa"/>
            <w:tcBorders>
              <w:top w:val="single" w:sz="6" w:space="0" w:color="auto"/>
              <w:bottom w:val="single" w:sz="6" w:space="0" w:color="auto"/>
            </w:tcBorders>
            <w:shd w:val="clear" w:color="auto" w:fill="auto"/>
            <w:vAlign w:val="center"/>
          </w:tcPr>
          <w:p w14:paraId="793F74C7" w14:textId="77777777" w:rsidR="00D95EC3" w:rsidRPr="00AC2EE9" w:rsidRDefault="00D95EC3" w:rsidP="003C675B">
            <w:pPr>
              <w:pStyle w:val="POTTCostsLow"/>
              <w:ind w:left="0" w:right="57"/>
              <w:jc w:val="center"/>
              <w:rPr>
                <w:rFonts w:eastAsia="Times New Roman"/>
                <w:sz w:val="20"/>
              </w:rPr>
            </w:pPr>
            <w:r w:rsidRPr="00AC2EE9">
              <w:rPr>
                <w:rFonts w:eastAsia="Times New Roman"/>
                <w:sz w:val="20"/>
              </w:rPr>
              <w:fldChar w:fldCharType="begin">
                <w:ffData>
                  <w:name w:val="Text45"/>
                  <w:enabled/>
                  <w:calcOnExit w:val="0"/>
                  <w:textInput>
                    <w:default w:val="Optional"/>
                    <w:maxLength w:val="14"/>
                  </w:textInput>
                </w:ffData>
              </w:fldChar>
            </w:r>
            <w:r w:rsidRPr="00AC2EE9">
              <w:rPr>
                <w:rFonts w:eastAsia="Times New Roman"/>
                <w:sz w:val="20"/>
              </w:rPr>
              <w:instrText xml:space="preserve"> FORMTEXT </w:instrText>
            </w:r>
            <w:r w:rsidRPr="00AC2EE9">
              <w:rPr>
                <w:rFonts w:eastAsia="Times New Roman"/>
                <w:sz w:val="20"/>
              </w:rPr>
            </w:r>
            <w:r w:rsidRPr="00AC2EE9">
              <w:rPr>
                <w:rFonts w:eastAsia="Times New Roman"/>
                <w:sz w:val="20"/>
              </w:rPr>
              <w:fldChar w:fldCharType="separate"/>
            </w:r>
            <w:r>
              <w:rPr>
                <w:rFonts w:eastAsia="Times New Roman"/>
                <w:sz w:val="20"/>
              </w:rPr>
              <w:t>Negligible</w:t>
            </w:r>
            <w:r w:rsidRPr="00AC2EE9">
              <w:rPr>
                <w:rFonts w:eastAsia="Times New Roman"/>
                <w:sz w:val="20"/>
              </w:rPr>
              <w:fldChar w:fldCharType="end"/>
            </w:r>
          </w:p>
        </w:tc>
        <w:tc>
          <w:tcPr>
            <w:tcW w:w="790" w:type="dxa"/>
            <w:vMerge w:val="restart"/>
            <w:tcBorders>
              <w:top w:val="single" w:sz="6" w:space="0" w:color="auto"/>
            </w:tcBorders>
            <w:shd w:val="clear" w:color="auto" w:fill="auto"/>
            <w:vAlign w:val="center"/>
          </w:tcPr>
          <w:p w14:paraId="126FEF28" w14:textId="77777777" w:rsidR="00D95EC3" w:rsidRPr="007E190E" w:rsidRDefault="00D95EC3" w:rsidP="00A92BFF">
            <w:pPr>
              <w:pStyle w:val="POTTCostsYear"/>
              <w:numPr>
                <w:ilvl w:val="0"/>
                <w:numId w:val="1"/>
              </w:numPr>
              <w:jc w:val="left"/>
              <w:rPr>
                <w:sz w:val="20"/>
                <w:szCs w:val="20"/>
              </w:rPr>
            </w:pPr>
            <w:r w:rsidRPr="007E190E">
              <w:rPr>
                <w:sz w:val="20"/>
                <w:szCs w:val="20"/>
              </w:rPr>
              <w:fldChar w:fldCharType="begin">
                <w:ffData>
                  <w:name w:val="Text48"/>
                  <w:enabled/>
                  <w:calcOnExit w:val="0"/>
                  <w:textInput>
                    <w:maxLength w:val="3"/>
                  </w:textInput>
                </w:ffData>
              </w:fldChar>
            </w:r>
            <w:r w:rsidRPr="007E190E">
              <w:rPr>
                <w:sz w:val="20"/>
                <w:szCs w:val="20"/>
              </w:rPr>
              <w:instrText xml:space="preserve"> FORMTEXT </w:instrText>
            </w:r>
            <w:r w:rsidRPr="007E190E">
              <w:rPr>
                <w:sz w:val="20"/>
                <w:szCs w:val="20"/>
              </w:rPr>
            </w:r>
            <w:r w:rsidRPr="007E190E">
              <w:rPr>
                <w:sz w:val="20"/>
                <w:szCs w:val="20"/>
              </w:rPr>
              <w:fldChar w:fldCharType="separate"/>
            </w:r>
            <w:r>
              <w:rPr>
                <w:noProof/>
                <w:sz w:val="20"/>
                <w:szCs w:val="20"/>
              </w:rPr>
              <w:t> </w:t>
            </w:r>
            <w:r>
              <w:rPr>
                <w:noProof/>
                <w:sz w:val="20"/>
                <w:szCs w:val="20"/>
              </w:rPr>
              <w:t> </w:t>
            </w:r>
            <w:r>
              <w:rPr>
                <w:noProof/>
                <w:sz w:val="20"/>
                <w:szCs w:val="20"/>
              </w:rPr>
              <w:t> </w:t>
            </w:r>
            <w:r w:rsidRPr="007E190E">
              <w:rPr>
                <w:sz w:val="20"/>
                <w:szCs w:val="20"/>
              </w:rPr>
              <w:fldChar w:fldCharType="end"/>
            </w:r>
          </w:p>
        </w:tc>
        <w:tc>
          <w:tcPr>
            <w:tcW w:w="2865" w:type="dxa"/>
            <w:tcBorders>
              <w:top w:val="single" w:sz="6" w:space="0" w:color="auto"/>
              <w:bottom w:val="single" w:sz="6" w:space="0" w:color="auto"/>
              <w:right w:val="single" w:sz="12" w:space="0" w:color="auto"/>
            </w:tcBorders>
            <w:shd w:val="clear" w:color="auto" w:fill="auto"/>
            <w:vAlign w:val="center"/>
          </w:tcPr>
          <w:p w14:paraId="6B36848E" w14:textId="77777777" w:rsidR="00D95EC3" w:rsidRPr="00AC2EE9" w:rsidRDefault="00D95EC3" w:rsidP="003C675B">
            <w:pPr>
              <w:pStyle w:val="POAACostsLow"/>
              <w:spacing w:before="0" w:after="0"/>
              <w:ind w:left="0" w:right="0"/>
              <w:jc w:val="center"/>
              <w:rPr>
                <w:rFonts w:eastAsia="Times New Roman"/>
                <w:spacing w:val="0"/>
                <w:sz w:val="20"/>
                <w:szCs w:val="24"/>
                <w:lang w:eastAsia="en-US"/>
              </w:rPr>
            </w:pPr>
            <w:r w:rsidRPr="00AC2EE9">
              <w:rPr>
                <w:rFonts w:eastAsia="Times New Roman"/>
                <w:spacing w:val="0"/>
                <w:sz w:val="20"/>
                <w:szCs w:val="24"/>
                <w:lang w:eastAsia="en-US"/>
              </w:rPr>
              <w:fldChar w:fldCharType="begin">
                <w:ffData>
                  <w:name w:val="Text49"/>
                  <w:enabled/>
                  <w:calcOnExit w:val="0"/>
                  <w:textInput>
                    <w:default w:val="Optional"/>
                    <w:maxLength w:val="14"/>
                  </w:textInput>
                </w:ffData>
              </w:fldChar>
            </w:r>
            <w:r w:rsidRPr="00AC2EE9">
              <w:rPr>
                <w:rFonts w:eastAsia="Times New Roman"/>
                <w:spacing w:val="0"/>
                <w:sz w:val="20"/>
                <w:szCs w:val="24"/>
                <w:lang w:eastAsia="en-US"/>
              </w:rPr>
              <w:instrText xml:space="preserve"> FORMTEXT </w:instrText>
            </w:r>
            <w:r w:rsidRPr="00AC2EE9">
              <w:rPr>
                <w:rFonts w:eastAsia="Times New Roman"/>
                <w:spacing w:val="0"/>
                <w:sz w:val="20"/>
                <w:szCs w:val="24"/>
                <w:lang w:eastAsia="en-US"/>
              </w:rPr>
            </w:r>
            <w:r w:rsidRPr="00AC2EE9">
              <w:rPr>
                <w:rFonts w:eastAsia="Times New Roman"/>
                <w:spacing w:val="0"/>
                <w:sz w:val="20"/>
                <w:szCs w:val="24"/>
                <w:lang w:eastAsia="en-US"/>
              </w:rPr>
              <w:fldChar w:fldCharType="separate"/>
            </w:r>
            <w:r>
              <w:rPr>
                <w:rFonts w:eastAsia="Times New Roman"/>
                <w:spacing w:val="0"/>
                <w:sz w:val="20"/>
                <w:szCs w:val="24"/>
                <w:lang w:eastAsia="en-US"/>
              </w:rPr>
              <w:t>Negligible</w:t>
            </w:r>
            <w:r w:rsidRPr="00AC2EE9">
              <w:rPr>
                <w:rFonts w:eastAsia="Times New Roman"/>
                <w:spacing w:val="0"/>
                <w:sz w:val="20"/>
                <w:szCs w:val="24"/>
                <w:lang w:eastAsia="en-US"/>
              </w:rPr>
              <w:fldChar w:fldCharType="end"/>
            </w:r>
          </w:p>
        </w:tc>
        <w:tc>
          <w:tcPr>
            <w:tcW w:w="2636" w:type="dxa"/>
            <w:gridSpan w:val="2"/>
            <w:tcBorders>
              <w:top w:val="single" w:sz="6" w:space="0" w:color="auto"/>
              <w:left w:val="single" w:sz="12" w:space="0" w:color="auto"/>
              <w:bottom w:val="single" w:sz="6" w:space="0" w:color="auto"/>
            </w:tcBorders>
            <w:shd w:val="clear" w:color="auto" w:fill="auto"/>
            <w:vAlign w:val="center"/>
          </w:tcPr>
          <w:p w14:paraId="2588302D" w14:textId="77777777" w:rsidR="00D95EC3" w:rsidRPr="005B3CFD" w:rsidRDefault="00D95EC3" w:rsidP="003C675B">
            <w:pPr>
              <w:pStyle w:val="POTCCostsLow"/>
              <w:spacing w:before="0" w:after="0"/>
              <w:ind w:left="0" w:right="57"/>
              <w:jc w:val="center"/>
              <w:rPr>
                <w:b w:val="0"/>
                <w:spacing w:val="-6"/>
                <w:sz w:val="20"/>
              </w:rPr>
            </w:pPr>
            <w:r w:rsidRPr="005B3CFD">
              <w:rPr>
                <w:b w:val="0"/>
                <w:spacing w:val="-6"/>
                <w:sz w:val="20"/>
              </w:rPr>
              <w:fldChar w:fldCharType="begin">
                <w:ffData>
                  <w:name w:val="Text52"/>
                  <w:enabled/>
                  <w:calcOnExit w:val="0"/>
                  <w:textInput>
                    <w:default w:val="Optional"/>
                    <w:maxLength w:val="14"/>
                  </w:textInput>
                </w:ffData>
              </w:fldChar>
            </w:r>
            <w:r w:rsidRPr="005B3CFD">
              <w:rPr>
                <w:b w:val="0"/>
                <w:spacing w:val="-6"/>
                <w:sz w:val="20"/>
              </w:rPr>
              <w:instrText xml:space="preserve"> FORMTEXT </w:instrText>
            </w:r>
            <w:r w:rsidRPr="005B3CFD">
              <w:rPr>
                <w:b w:val="0"/>
                <w:spacing w:val="-6"/>
                <w:sz w:val="20"/>
              </w:rPr>
            </w:r>
            <w:r w:rsidRPr="005B3CFD">
              <w:rPr>
                <w:b w:val="0"/>
                <w:spacing w:val="-6"/>
                <w:sz w:val="20"/>
              </w:rPr>
              <w:fldChar w:fldCharType="separate"/>
            </w:r>
            <w:r>
              <w:rPr>
                <w:b w:val="0"/>
                <w:spacing w:val="-6"/>
                <w:sz w:val="20"/>
              </w:rPr>
              <w:t>Negligible</w:t>
            </w:r>
            <w:r w:rsidRPr="005B3CFD">
              <w:rPr>
                <w:b w:val="0"/>
                <w:spacing w:val="-6"/>
                <w:sz w:val="20"/>
              </w:rPr>
              <w:fldChar w:fldCharType="end"/>
            </w:r>
          </w:p>
        </w:tc>
      </w:tr>
      <w:tr w:rsidR="00D95EC3" w:rsidRPr="00AC2EE9" w14:paraId="525466A2" w14:textId="77777777" w:rsidTr="00D95EC3">
        <w:trPr>
          <w:trHeight w:hRule="exact" w:val="348"/>
        </w:trPr>
        <w:tc>
          <w:tcPr>
            <w:tcW w:w="1995" w:type="dxa"/>
            <w:tcBorders>
              <w:top w:val="single" w:sz="6" w:space="0" w:color="auto"/>
              <w:bottom w:val="single" w:sz="12" w:space="0" w:color="auto"/>
            </w:tcBorders>
            <w:shd w:val="clear" w:color="auto" w:fill="auto"/>
            <w:vAlign w:val="center"/>
          </w:tcPr>
          <w:p w14:paraId="2B03836D" w14:textId="77777777" w:rsidR="00D95EC3" w:rsidRPr="00F63895" w:rsidRDefault="00D95EC3" w:rsidP="00D95EC3">
            <w:pPr>
              <w:pStyle w:val="IATableLabel"/>
            </w:pPr>
            <w:r w:rsidRPr="00F63895">
              <w:t xml:space="preserve">High </w:t>
            </w:r>
          </w:p>
        </w:tc>
        <w:tc>
          <w:tcPr>
            <w:tcW w:w="1949" w:type="dxa"/>
            <w:tcBorders>
              <w:top w:val="single" w:sz="6" w:space="0" w:color="auto"/>
              <w:bottom w:val="single" w:sz="12" w:space="0" w:color="auto"/>
            </w:tcBorders>
            <w:shd w:val="clear" w:color="auto" w:fill="auto"/>
            <w:vAlign w:val="center"/>
          </w:tcPr>
          <w:p w14:paraId="40D5A744" w14:textId="77777777" w:rsidR="00D95EC3" w:rsidRPr="005B3CFD" w:rsidRDefault="00D95EC3" w:rsidP="003C675B">
            <w:pPr>
              <w:pStyle w:val="POTTCostsHigh"/>
              <w:numPr>
                <w:ilvl w:val="0"/>
                <w:numId w:val="4"/>
              </w:numPr>
              <w:spacing w:before="0" w:after="120"/>
              <w:ind w:right="0"/>
              <w:jc w:val="center"/>
              <w:rPr>
                <w:rFonts w:eastAsia="Times New Roman" w:cs="Arial"/>
                <w:bCs/>
                <w:color w:val="000000"/>
                <w:spacing w:val="0"/>
                <w:sz w:val="20"/>
                <w:szCs w:val="22"/>
                <w:lang w:eastAsia="en-GB"/>
              </w:rPr>
            </w:pPr>
            <w:r w:rsidRPr="005B3CFD">
              <w:rPr>
                <w:rFonts w:eastAsia="Times New Roman" w:cs="Arial"/>
                <w:bCs/>
                <w:color w:val="000000"/>
                <w:spacing w:val="0"/>
                <w:sz w:val="20"/>
                <w:szCs w:val="22"/>
                <w:lang w:eastAsia="en-GB"/>
              </w:rPr>
              <w:fldChar w:fldCharType="begin">
                <w:ffData>
                  <w:name w:val="Text46"/>
                  <w:enabled/>
                  <w:calcOnExit w:val="0"/>
                  <w:textInput>
                    <w:default w:val="Optional"/>
                    <w:maxLength w:val="14"/>
                  </w:textInput>
                </w:ffData>
              </w:fldChar>
            </w:r>
            <w:r w:rsidRPr="005B3CFD">
              <w:rPr>
                <w:rFonts w:eastAsia="Times New Roman" w:cs="Arial"/>
                <w:bCs/>
                <w:color w:val="000000"/>
                <w:spacing w:val="0"/>
                <w:sz w:val="20"/>
                <w:szCs w:val="22"/>
                <w:lang w:eastAsia="en-GB"/>
              </w:rPr>
              <w:instrText xml:space="preserve"> FORMTEXT </w:instrText>
            </w:r>
            <w:r w:rsidRPr="005B3CFD">
              <w:rPr>
                <w:rFonts w:eastAsia="Times New Roman" w:cs="Arial"/>
                <w:bCs/>
                <w:color w:val="000000"/>
                <w:spacing w:val="0"/>
                <w:sz w:val="20"/>
                <w:szCs w:val="22"/>
                <w:lang w:eastAsia="en-GB"/>
              </w:rPr>
            </w:r>
            <w:r w:rsidRPr="005B3CFD">
              <w:rPr>
                <w:rFonts w:eastAsia="Times New Roman" w:cs="Arial"/>
                <w:bCs/>
                <w:color w:val="000000"/>
                <w:spacing w:val="0"/>
                <w:sz w:val="20"/>
                <w:szCs w:val="22"/>
                <w:lang w:eastAsia="en-GB"/>
              </w:rPr>
              <w:fldChar w:fldCharType="separate"/>
            </w:r>
            <w:r>
              <w:rPr>
                <w:rFonts w:eastAsia="Times New Roman" w:cs="Arial"/>
                <w:bCs/>
                <w:color w:val="000000"/>
                <w:spacing w:val="0"/>
                <w:sz w:val="20"/>
                <w:szCs w:val="22"/>
                <w:lang w:eastAsia="en-GB"/>
              </w:rPr>
              <w:t>Negligible</w:t>
            </w:r>
            <w:r w:rsidRPr="005B3CFD">
              <w:rPr>
                <w:rFonts w:eastAsia="Times New Roman" w:cs="Arial"/>
                <w:bCs/>
                <w:color w:val="000000"/>
                <w:spacing w:val="0"/>
                <w:sz w:val="20"/>
                <w:szCs w:val="22"/>
                <w:lang w:eastAsia="en-GB"/>
              </w:rPr>
              <w:fldChar w:fldCharType="end"/>
            </w:r>
          </w:p>
        </w:tc>
        <w:tc>
          <w:tcPr>
            <w:tcW w:w="790" w:type="dxa"/>
            <w:vMerge/>
            <w:shd w:val="clear" w:color="auto" w:fill="FFFFFF"/>
            <w:vAlign w:val="center"/>
          </w:tcPr>
          <w:p w14:paraId="5F7EBE28" w14:textId="77777777" w:rsidR="00D95EC3" w:rsidRPr="007E190E" w:rsidRDefault="00D95EC3" w:rsidP="00D95EC3">
            <w:pPr>
              <w:pStyle w:val="IATableText"/>
              <w:jc w:val="right"/>
              <w:rPr>
                <w:sz w:val="20"/>
              </w:rPr>
            </w:pPr>
          </w:p>
        </w:tc>
        <w:tc>
          <w:tcPr>
            <w:tcW w:w="2865" w:type="dxa"/>
            <w:tcBorders>
              <w:top w:val="single" w:sz="6" w:space="0" w:color="auto"/>
              <w:bottom w:val="single" w:sz="12" w:space="0" w:color="auto"/>
              <w:right w:val="single" w:sz="12" w:space="0" w:color="auto"/>
            </w:tcBorders>
            <w:shd w:val="clear" w:color="auto" w:fill="auto"/>
            <w:vAlign w:val="center"/>
          </w:tcPr>
          <w:p w14:paraId="1C51F84C" w14:textId="77777777" w:rsidR="00D95EC3" w:rsidRPr="005B3CFD" w:rsidRDefault="00D95EC3" w:rsidP="003C675B">
            <w:pPr>
              <w:pStyle w:val="POAACostsHigh"/>
              <w:jc w:val="center"/>
              <w:rPr>
                <w:b/>
                <w:color w:val="000000"/>
                <w:sz w:val="20"/>
              </w:rPr>
            </w:pPr>
            <w:r w:rsidRPr="005B3CFD">
              <w:rPr>
                <w:b/>
                <w:color w:val="000000"/>
                <w:sz w:val="20"/>
              </w:rPr>
              <w:fldChar w:fldCharType="begin">
                <w:ffData>
                  <w:name w:val="Text50"/>
                  <w:enabled/>
                  <w:calcOnExit w:val="0"/>
                  <w:textInput>
                    <w:default w:val="Optional"/>
                    <w:maxLength w:val="14"/>
                  </w:textInput>
                </w:ffData>
              </w:fldChar>
            </w:r>
            <w:r w:rsidRPr="005B3CFD">
              <w:rPr>
                <w:b/>
                <w:color w:val="000000"/>
                <w:sz w:val="20"/>
              </w:rPr>
              <w:instrText xml:space="preserve"> FORMTEXT </w:instrText>
            </w:r>
            <w:r w:rsidRPr="005B3CFD">
              <w:rPr>
                <w:b/>
                <w:color w:val="000000"/>
                <w:sz w:val="20"/>
              </w:rPr>
            </w:r>
            <w:r w:rsidRPr="005B3CFD">
              <w:rPr>
                <w:b/>
                <w:color w:val="000000"/>
                <w:sz w:val="20"/>
              </w:rPr>
              <w:fldChar w:fldCharType="separate"/>
            </w:r>
            <w:r>
              <w:rPr>
                <w:b/>
                <w:color w:val="000000"/>
                <w:sz w:val="20"/>
              </w:rPr>
              <w:t>Negligible</w:t>
            </w:r>
            <w:r w:rsidRPr="005B3CFD">
              <w:rPr>
                <w:b/>
                <w:color w:val="000000"/>
                <w:sz w:val="20"/>
              </w:rPr>
              <w:fldChar w:fldCharType="end"/>
            </w:r>
          </w:p>
        </w:tc>
        <w:tc>
          <w:tcPr>
            <w:tcW w:w="2636" w:type="dxa"/>
            <w:gridSpan w:val="2"/>
            <w:tcBorders>
              <w:top w:val="single" w:sz="6" w:space="0" w:color="auto"/>
              <w:left w:val="single" w:sz="12" w:space="0" w:color="auto"/>
              <w:bottom w:val="single" w:sz="12" w:space="0" w:color="auto"/>
            </w:tcBorders>
            <w:shd w:val="clear" w:color="auto" w:fill="auto"/>
            <w:vAlign w:val="center"/>
          </w:tcPr>
          <w:p w14:paraId="0FAF4771" w14:textId="77777777" w:rsidR="00D95EC3" w:rsidRPr="00AC2EE9" w:rsidRDefault="00D95EC3" w:rsidP="003C675B">
            <w:pPr>
              <w:pStyle w:val="POTCCostsHigh"/>
              <w:spacing w:before="0"/>
              <w:ind w:left="0" w:right="0"/>
              <w:jc w:val="center"/>
              <w:rPr>
                <w:color w:val="000000"/>
                <w:sz w:val="20"/>
              </w:rPr>
            </w:pPr>
            <w:r w:rsidRPr="00AC2EE9">
              <w:rPr>
                <w:color w:val="000000"/>
                <w:sz w:val="20"/>
              </w:rPr>
              <w:fldChar w:fldCharType="begin">
                <w:ffData>
                  <w:name w:val="Text53"/>
                  <w:enabled/>
                  <w:calcOnExit w:val="0"/>
                  <w:textInput>
                    <w:default w:val="Optional"/>
                    <w:maxLength w:val="14"/>
                  </w:textInput>
                </w:ffData>
              </w:fldChar>
            </w:r>
            <w:r w:rsidRPr="00AC2EE9">
              <w:rPr>
                <w:color w:val="000000"/>
                <w:sz w:val="20"/>
              </w:rPr>
              <w:instrText xml:space="preserve"> FORMTEXT </w:instrText>
            </w:r>
            <w:r w:rsidRPr="00AC2EE9">
              <w:rPr>
                <w:color w:val="000000"/>
                <w:sz w:val="20"/>
              </w:rPr>
            </w:r>
            <w:r w:rsidRPr="00AC2EE9">
              <w:rPr>
                <w:color w:val="000000"/>
                <w:sz w:val="20"/>
              </w:rPr>
              <w:fldChar w:fldCharType="separate"/>
            </w:r>
            <w:r>
              <w:rPr>
                <w:color w:val="000000"/>
                <w:sz w:val="20"/>
              </w:rPr>
              <w:t>Negligible</w:t>
            </w:r>
            <w:r w:rsidRPr="00AC2EE9">
              <w:rPr>
                <w:color w:val="000000"/>
                <w:sz w:val="20"/>
              </w:rPr>
              <w:fldChar w:fldCharType="end"/>
            </w:r>
          </w:p>
        </w:tc>
      </w:tr>
      <w:tr w:rsidR="00D95EC3" w:rsidRPr="00AC2EE9" w14:paraId="1187AD8F" w14:textId="77777777" w:rsidTr="00A5230D">
        <w:trPr>
          <w:trHeight w:hRule="exact" w:val="560"/>
        </w:trPr>
        <w:tc>
          <w:tcPr>
            <w:tcW w:w="1995" w:type="dxa"/>
            <w:tcBorders>
              <w:top w:val="single" w:sz="12" w:space="0" w:color="auto"/>
              <w:bottom w:val="single" w:sz="12" w:space="0" w:color="auto"/>
              <w:right w:val="single" w:sz="12" w:space="0" w:color="auto"/>
            </w:tcBorders>
            <w:shd w:val="clear" w:color="auto" w:fill="FFFFFF"/>
            <w:vAlign w:val="center"/>
          </w:tcPr>
          <w:p w14:paraId="0AF2319E" w14:textId="77777777" w:rsidR="00D95EC3" w:rsidRPr="00F63895" w:rsidRDefault="00D95EC3" w:rsidP="00D95EC3">
            <w:pPr>
              <w:pStyle w:val="IATableLabel"/>
            </w:pPr>
            <w:r w:rsidRPr="00F63895">
              <w:t>Best Estimate</w:t>
            </w:r>
          </w:p>
          <w:p w14:paraId="086628EF" w14:textId="77777777" w:rsidR="00D95EC3" w:rsidRPr="00AC2EE9" w:rsidRDefault="00D95EC3" w:rsidP="00D95EC3">
            <w:pPr>
              <w:pStyle w:val="IATableNotes"/>
              <w:spacing w:beforeLines="40" w:before="96" w:after="0"/>
              <w:ind w:left="0" w:right="-22"/>
              <w:jc w:val="center"/>
              <w:rPr>
                <w:rFonts w:eastAsia="Times New Roman" w:cs="Arial"/>
                <w:b/>
                <w:sz w:val="20"/>
                <w:szCs w:val="24"/>
                <w:lang w:eastAsia="en-US"/>
              </w:rPr>
            </w:pPr>
          </w:p>
        </w:tc>
        <w:tc>
          <w:tcPr>
            <w:tcW w:w="1949" w:type="dxa"/>
            <w:tcBorders>
              <w:top w:val="single" w:sz="12" w:space="0" w:color="auto"/>
              <w:left w:val="single" w:sz="12" w:space="0" w:color="auto"/>
              <w:bottom w:val="single" w:sz="12" w:space="0" w:color="auto"/>
              <w:right w:val="single" w:sz="12" w:space="0" w:color="auto"/>
            </w:tcBorders>
            <w:shd w:val="clear" w:color="auto" w:fill="FFFFFF"/>
            <w:vAlign w:val="center"/>
          </w:tcPr>
          <w:p w14:paraId="523D0495" w14:textId="77777777" w:rsidR="00D95EC3" w:rsidRPr="005B3CFD" w:rsidRDefault="00D95EC3" w:rsidP="00D95EC3">
            <w:pPr>
              <w:pStyle w:val="POTTCostsBest"/>
              <w:spacing w:before="0" w:after="0"/>
              <w:ind w:left="0" w:right="0"/>
              <w:jc w:val="center"/>
              <w:rPr>
                <w:rFonts w:eastAsia="Times New Roman"/>
                <w:caps/>
                <w:spacing w:val="0"/>
                <w:sz w:val="20"/>
                <w:szCs w:val="24"/>
                <w:lang w:eastAsia="en-US"/>
              </w:rPr>
            </w:pPr>
            <w:r w:rsidRPr="005B3CFD">
              <w:rPr>
                <w:rFonts w:eastAsia="Times New Roman"/>
                <w:caps/>
                <w:spacing w:val="0"/>
                <w:sz w:val="20"/>
                <w:szCs w:val="24"/>
                <w:lang w:eastAsia="en-US"/>
              </w:rPr>
              <w:fldChar w:fldCharType="begin">
                <w:ffData>
                  <w:name w:val="Text51"/>
                  <w:enabled/>
                  <w:calcOnExit w:val="0"/>
                  <w:textInput>
                    <w:maxLength w:val="14"/>
                  </w:textInput>
                </w:ffData>
              </w:fldChar>
            </w:r>
            <w:r w:rsidRPr="005B3CFD">
              <w:rPr>
                <w:rFonts w:eastAsia="Times New Roman"/>
                <w:caps/>
                <w:spacing w:val="0"/>
                <w:sz w:val="20"/>
                <w:szCs w:val="24"/>
                <w:lang w:eastAsia="en-US"/>
              </w:rPr>
              <w:instrText xml:space="preserve"> FORMTEXT </w:instrText>
            </w:r>
            <w:r w:rsidRPr="005B3CFD">
              <w:rPr>
                <w:rFonts w:eastAsia="Times New Roman"/>
                <w:caps/>
                <w:spacing w:val="0"/>
                <w:sz w:val="20"/>
                <w:szCs w:val="24"/>
                <w:lang w:eastAsia="en-US"/>
              </w:rPr>
            </w:r>
            <w:r w:rsidRPr="005B3CFD">
              <w:rPr>
                <w:rFonts w:eastAsia="Times New Roman"/>
                <w:caps/>
                <w:spacing w:val="0"/>
                <w:sz w:val="20"/>
                <w:szCs w:val="24"/>
                <w:lang w:eastAsia="en-US"/>
              </w:rPr>
              <w:fldChar w:fldCharType="separate"/>
            </w:r>
            <w:r>
              <w:rPr>
                <w:rFonts w:eastAsia="Times New Roman"/>
                <w:caps/>
                <w:noProof/>
                <w:spacing w:val="0"/>
                <w:sz w:val="20"/>
                <w:szCs w:val="24"/>
                <w:lang w:eastAsia="en-US"/>
              </w:rPr>
              <w:t>Negligible</w:t>
            </w:r>
            <w:r w:rsidRPr="005B3CFD">
              <w:rPr>
                <w:rFonts w:eastAsia="Times New Roman"/>
                <w:caps/>
                <w:spacing w:val="0"/>
                <w:sz w:val="20"/>
                <w:szCs w:val="24"/>
                <w:lang w:eastAsia="en-US"/>
              </w:rPr>
              <w:fldChar w:fldCharType="end"/>
            </w:r>
          </w:p>
        </w:tc>
        <w:tc>
          <w:tcPr>
            <w:tcW w:w="790" w:type="dxa"/>
            <w:vMerge/>
            <w:tcBorders>
              <w:left w:val="single" w:sz="12" w:space="0" w:color="auto"/>
              <w:right w:val="single" w:sz="12" w:space="0" w:color="auto"/>
            </w:tcBorders>
            <w:shd w:val="clear" w:color="auto" w:fill="FFFFFF"/>
            <w:vAlign w:val="center"/>
          </w:tcPr>
          <w:p w14:paraId="09E5A4F8" w14:textId="77777777" w:rsidR="00D95EC3" w:rsidRPr="007E190E" w:rsidRDefault="00D95EC3" w:rsidP="00D95EC3">
            <w:pPr>
              <w:pStyle w:val="IATableText"/>
              <w:jc w:val="right"/>
              <w:rPr>
                <w:sz w:val="20"/>
              </w:rPr>
            </w:pPr>
          </w:p>
        </w:tc>
        <w:tc>
          <w:tcPr>
            <w:tcW w:w="2865" w:type="dxa"/>
            <w:tcBorders>
              <w:top w:val="single" w:sz="12" w:space="0" w:color="auto"/>
              <w:left w:val="single" w:sz="12" w:space="0" w:color="auto"/>
              <w:bottom w:val="single" w:sz="12" w:space="0" w:color="auto"/>
              <w:right w:val="single" w:sz="12" w:space="0" w:color="auto"/>
            </w:tcBorders>
            <w:shd w:val="clear" w:color="auto" w:fill="FFFFFF"/>
            <w:vAlign w:val="center"/>
          </w:tcPr>
          <w:p w14:paraId="49F67398" w14:textId="7ABE1AF3" w:rsidR="00D95EC3" w:rsidRPr="005B3CFD" w:rsidRDefault="00D95EC3" w:rsidP="003C675B">
            <w:pPr>
              <w:pStyle w:val="POAACostsBest"/>
              <w:spacing w:before="0" w:after="120"/>
              <w:ind w:left="284" w:right="0"/>
              <w:jc w:val="left"/>
              <w:rPr>
                <w:rFonts w:eastAsia="Times New Roman" w:cs="Arial"/>
                <w:bCs/>
                <w:color w:val="000000"/>
                <w:spacing w:val="0"/>
                <w:sz w:val="20"/>
                <w:szCs w:val="22"/>
                <w:lang w:eastAsia="en-GB"/>
              </w:rPr>
            </w:pPr>
            <w:r w:rsidRPr="005B3CFD">
              <w:rPr>
                <w:rFonts w:eastAsia="Times New Roman" w:cs="Arial"/>
                <w:bCs/>
                <w:color w:val="000000"/>
                <w:spacing w:val="0"/>
                <w:sz w:val="20"/>
                <w:szCs w:val="22"/>
                <w:lang w:eastAsia="en-GB"/>
              </w:rPr>
              <w:fldChar w:fldCharType="begin">
                <w:ffData>
                  <w:name w:val="Text51"/>
                  <w:enabled/>
                  <w:calcOnExit w:val="0"/>
                  <w:textInput>
                    <w:maxLength w:val="14"/>
                  </w:textInput>
                </w:ffData>
              </w:fldChar>
            </w:r>
            <w:r w:rsidRPr="005B3CFD">
              <w:rPr>
                <w:rFonts w:eastAsia="Times New Roman" w:cs="Arial"/>
                <w:bCs/>
                <w:color w:val="000000"/>
                <w:spacing w:val="0"/>
                <w:sz w:val="20"/>
                <w:szCs w:val="22"/>
                <w:lang w:eastAsia="en-GB"/>
              </w:rPr>
              <w:instrText xml:space="preserve"> FORMTEXT </w:instrText>
            </w:r>
            <w:r w:rsidRPr="005B3CFD">
              <w:rPr>
                <w:rFonts w:eastAsia="Times New Roman" w:cs="Arial"/>
                <w:bCs/>
                <w:color w:val="000000"/>
                <w:spacing w:val="0"/>
                <w:sz w:val="20"/>
                <w:szCs w:val="22"/>
                <w:lang w:eastAsia="en-GB"/>
              </w:rPr>
            </w:r>
            <w:r w:rsidRPr="005B3CFD">
              <w:rPr>
                <w:rFonts w:eastAsia="Times New Roman" w:cs="Arial"/>
                <w:bCs/>
                <w:color w:val="000000"/>
                <w:spacing w:val="0"/>
                <w:sz w:val="20"/>
                <w:szCs w:val="22"/>
                <w:lang w:eastAsia="en-GB"/>
              </w:rPr>
              <w:fldChar w:fldCharType="separate"/>
            </w:r>
            <w:r>
              <w:rPr>
                <w:rFonts w:eastAsia="Times New Roman" w:cs="Arial"/>
                <w:bCs/>
                <w:noProof/>
                <w:color w:val="000000"/>
                <w:spacing w:val="0"/>
                <w:sz w:val="20"/>
                <w:szCs w:val="22"/>
                <w:lang w:eastAsia="en-GB"/>
              </w:rPr>
              <w:t> </w:t>
            </w:r>
            <w:r>
              <w:rPr>
                <w:rFonts w:eastAsia="Times New Roman" w:cs="Arial"/>
                <w:bCs/>
                <w:noProof/>
                <w:color w:val="000000"/>
                <w:spacing w:val="0"/>
                <w:sz w:val="20"/>
                <w:szCs w:val="22"/>
                <w:lang w:eastAsia="en-GB"/>
              </w:rPr>
              <w:t> </w:t>
            </w:r>
            <w:r>
              <w:rPr>
                <w:rFonts w:eastAsia="Times New Roman" w:cs="Arial"/>
                <w:bCs/>
                <w:noProof/>
                <w:color w:val="000000"/>
                <w:spacing w:val="0"/>
                <w:sz w:val="20"/>
                <w:szCs w:val="22"/>
                <w:lang w:eastAsia="en-GB"/>
              </w:rPr>
              <w:t> </w:t>
            </w:r>
            <w:r>
              <w:rPr>
                <w:rFonts w:eastAsia="Times New Roman" w:cs="Arial"/>
                <w:bCs/>
                <w:noProof/>
                <w:color w:val="000000"/>
                <w:spacing w:val="0"/>
                <w:sz w:val="20"/>
                <w:szCs w:val="22"/>
                <w:lang w:eastAsia="en-GB"/>
              </w:rPr>
              <w:t> </w:t>
            </w:r>
            <w:r>
              <w:rPr>
                <w:rFonts w:eastAsia="Times New Roman" w:cs="Arial"/>
                <w:bCs/>
                <w:noProof/>
                <w:color w:val="000000"/>
                <w:spacing w:val="0"/>
                <w:sz w:val="20"/>
                <w:szCs w:val="22"/>
                <w:lang w:eastAsia="en-GB"/>
              </w:rPr>
              <w:t> </w:t>
            </w:r>
            <w:r w:rsidRPr="005B3CFD">
              <w:rPr>
                <w:rFonts w:eastAsia="Times New Roman" w:cs="Arial"/>
                <w:bCs/>
                <w:color w:val="000000"/>
                <w:spacing w:val="0"/>
                <w:sz w:val="20"/>
                <w:szCs w:val="22"/>
                <w:lang w:eastAsia="en-GB"/>
              </w:rPr>
              <w:fldChar w:fldCharType="end"/>
            </w:r>
            <w:r w:rsidR="003C675B">
              <w:rPr>
                <w:rFonts w:eastAsia="Times New Roman" w:cs="Arial"/>
                <w:bCs/>
                <w:color w:val="000000"/>
                <w:spacing w:val="0"/>
                <w:sz w:val="20"/>
                <w:szCs w:val="22"/>
                <w:lang w:eastAsia="en-GB"/>
              </w:rPr>
              <w:t xml:space="preserve">  Negligible</w:t>
            </w:r>
          </w:p>
        </w:tc>
        <w:tc>
          <w:tcPr>
            <w:tcW w:w="2636" w:type="dxa"/>
            <w:gridSpan w:val="2"/>
            <w:tcBorders>
              <w:top w:val="single" w:sz="12" w:space="0" w:color="auto"/>
              <w:left w:val="single" w:sz="12" w:space="0" w:color="auto"/>
              <w:bottom w:val="single" w:sz="12" w:space="0" w:color="auto"/>
            </w:tcBorders>
            <w:shd w:val="clear" w:color="auto" w:fill="FFFFFF"/>
            <w:vAlign w:val="center"/>
          </w:tcPr>
          <w:p w14:paraId="0EBD5C39" w14:textId="649A3B32" w:rsidR="00D95EC3" w:rsidRPr="005B3CFD" w:rsidRDefault="003C675B" w:rsidP="003C675B">
            <w:pPr>
              <w:pStyle w:val="POTCCostsBest"/>
              <w:spacing w:before="0" w:after="0"/>
              <w:jc w:val="center"/>
              <w:rPr>
                <w:b w:val="0"/>
                <w:sz w:val="20"/>
              </w:rPr>
            </w:pPr>
            <w:r>
              <w:rPr>
                <w:b w:val="0"/>
                <w:sz w:val="20"/>
              </w:rPr>
              <w:t>Negligible</w:t>
            </w:r>
          </w:p>
        </w:tc>
      </w:tr>
      <w:tr w:rsidR="00D95EC3" w:rsidRPr="00AC2EE9" w14:paraId="37EF5FA5" w14:textId="77777777" w:rsidTr="00A5230D">
        <w:trPr>
          <w:trHeight w:hRule="exact" w:val="838"/>
        </w:trPr>
        <w:tc>
          <w:tcPr>
            <w:tcW w:w="10235" w:type="dxa"/>
            <w:gridSpan w:val="6"/>
            <w:tcBorders>
              <w:bottom w:val="single" w:sz="6" w:space="0" w:color="auto"/>
            </w:tcBorders>
            <w:shd w:val="clear" w:color="auto" w:fill="auto"/>
          </w:tcPr>
          <w:p w14:paraId="1D19F8EE" w14:textId="77777777" w:rsidR="00D95EC3" w:rsidRPr="005B3CFD" w:rsidRDefault="00D95EC3" w:rsidP="00D95EC3">
            <w:pPr>
              <w:pStyle w:val="IAPOQ1"/>
              <w:spacing w:before="0" w:after="120"/>
              <w:ind w:left="0" w:right="0"/>
              <w:rPr>
                <w:rFonts w:eastAsia="Times New Roman" w:cs="Arial"/>
                <w:b w:val="0"/>
                <w:bCs/>
                <w:spacing w:val="0"/>
                <w:sz w:val="22"/>
                <w:szCs w:val="22"/>
                <w:lang w:eastAsia="en-GB"/>
              </w:rPr>
            </w:pPr>
            <w:r w:rsidRPr="005B3CFD">
              <w:rPr>
                <w:rFonts w:eastAsia="Times New Roman" w:cs="Arial"/>
                <w:b w:val="0"/>
                <w:bCs/>
                <w:spacing w:val="0"/>
                <w:sz w:val="22"/>
                <w:szCs w:val="22"/>
                <w:lang w:eastAsia="en-GB"/>
              </w:rPr>
              <w:t xml:space="preserve">Description and scale of key monetised costs by ‘main affected groups’ </w:t>
            </w:r>
          </w:p>
          <w:p w14:paraId="086F7BDC" w14:textId="77777777" w:rsidR="00D95EC3" w:rsidRPr="00AC2EE9" w:rsidRDefault="00D95EC3" w:rsidP="00D95EC3">
            <w:pPr>
              <w:pStyle w:val="IAPOA1"/>
              <w:ind w:left="0" w:right="0"/>
              <w:rPr>
                <w:rFonts w:eastAsia="Times New Roman"/>
                <w:spacing w:val="0"/>
                <w:sz w:val="24"/>
                <w:szCs w:val="24"/>
                <w:lang w:eastAsia="en-US"/>
              </w:rPr>
            </w:pPr>
            <w:r w:rsidRPr="00AC2EE9">
              <w:rPr>
                <w:rFonts w:eastAsia="Times New Roman"/>
                <w:spacing w:val="0"/>
                <w:sz w:val="24"/>
                <w:szCs w:val="24"/>
                <w:lang w:eastAsia="en-US"/>
              </w:rPr>
              <w:fldChar w:fldCharType="begin">
                <w:ffData>
                  <w:name w:val="Text62"/>
                  <w:enabled/>
                  <w:calcOnExit w:val="0"/>
                  <w:textInput>
                    <w:default w:val="Maximum of 5 lines"/>
                    <w:maxLength w:val="500"/>
                  </w:textInput>
                </w:ffData>
              </w:fldChar>
            </w:r>
            <w:r w:rsidRPr="00AC2EE9">
              <w:rPr>
                <w:rFonts w:eastAsia="Times New Roman"/>
                <w:spacing w:val="0"/>
                <w:sz w:val="24"/>
                <w:szCs w:val="24"/>
                <w:lang w:eastAsia="en-US"/>
              </w:rPr>
              <w:instrText xml:space="preserve"> FORMTEXT </w:instrText>
            </w:r>
            <w:r w:rsidRPr="00AC2EE9">
              <w:rPr>
                <w:rFonts w:eastAsia="Times New Roman"/>
                <w:spacing w:val="0"/>
                <w:sz w:val="24"/>
                <w:szCs w:val="24"/>
                <w:lang w:eastAsia="en-US"/>
              </w:rPr>
            </w:r>
            <w:r w:rsidRPr="00AC2EE9">
              <w:rPr>
                <w:rFonts w:eastAsia="Times New Roman"/>
                <w:spacing w:val="0"/>
                <w:sz w:val="24"/>
                <w:szCs w:val="24"/>
                <w:lang w:eastAsia="en-US"/>
              </w:rPr>
              <w:fldChar w:fldCharType="separate"/>
            </w:r>
            <w:r>
              <w:rPr>
                <w:rFonts w:eastAsia="Times New Roman"/>
                <w:spacing w:val="0"/>
                <w:sz w:val="24"/>
                <w:szCs w:val="24"/>
                <w:lang w:eastAsia="en-US"/>
              </w:rPr>
              <w:t> </w:t>
            </w:r>
            <w:r>
              <w:rPr>
                <w:rFonts w:eastAsia="Times New Roman"/>
                <w:spacing w:val="0"/>
                <w:sz w:val="24"/>
                <w:szCs w:val="24"/>
                <w:lang w:eastAsia="en-US"/>
              </w:rPr>
              <w:t> </w:t>
            </w:r>
            <w:r>
              <w:rPr>
                <w:rFonts w:eastAsia="Times New Roman"/>
                <w:spacing w:val="0"/>
                <w:sz w:val="24"/>
                <w:szCs w:val="24"/>
                <w:lang w:eastAsia="en-US"/>
              </w:rPr>
              <w:t> </w:t>
            </w:r>
            <w:r>
              <w:rPr>
                <w:rFonts w:eastAsia="Times New Roman"/>
                <w:spacing w:val="0"/>
                <w:sz w:val="24"/>
                <w:szCs w:val="24"/>
                <w:lang w:eastAsia="en-US"/>
              </w:rPr>
              <w:t> </w:t>
            </w:r>
            <w:r>
              <w:rPr>
                <w:rFonts w:eastAsia="Times New Roman"/>
                <w:spacing w:val="0"/>
                <w:sz w:val="24"/>
                <w:szCs w:val="24"/>
                <w:lang w:eastAsia="en-US"/>
              </w:rPr>
              <w:t> </w:t>
            </w:r>
            <w:r w:rsidRPr="00AC2EE9">
              <w:rPr>
                <w:rFonts w:eastAsia="Times New Roman"/>
                <w:spacing w:val="0"/>
                <w:sz w:val="24"/>
                <w:szCs w:val="24"/>
                <w:lang w:eastAsia="en-US"/>
              </w:rPr>
              <w:fldChar w:fldCharType="end"/>
            </w:r>
          </w:p>
        </w:tc>
      </w:tr>
      <w:tr w:rsidR="00D95EC3" w:rsidRPr="00AC2EE9" w14:paraId="77D9E9AB" w14:textId="77777777" w:rsidTr="00A5230D">
        <w:trPr>
          <w:trHeight w:hRule="exact" w:val="2094"/>
        </w:trPr>
        <w:tc>
          <w:tcPr>
            <w:tcW w:w="10235" w:type="dxa"/>
            <w:gridSpan w:val="6"/>
            <w:tcBorders>
              <w:top w:val="single" w:sz="6" w:space="0" w:color="auto"/>
              <w:bottom w:val="single" w:sz="12" w:space="0" w:color="auto"/>
            </w:tcBorders>
            <w:shd w:val="clear" w:color="auto" w:fill="auto"/>
          </w:tcPr>
          <w:p w14:paraId="753503AC" w14:textId="77777777" w:rsidR="00D95EC3" w:rsidRPr="005B3CFD" w:rsidRDefault="00D95EC3" w:rsidP="00D95EC3">
            <w:pPr>
              <w:pStyle w:val="IAPOQ2"/>
              <w:spacing w:before="0" w:after="0" w:line="40" w:lineRule="exact"/>
              <w:ind w:left="0" w:right="0"/>
              <w:rPr>
                <w:b w:val="0"/>
                <w:color w:val="auto"/>
                <w:spacing w:val="0"/>
                <w:sz w:val="22"/>
                <w:szCs w:val="22"/>
              </w:rPr>
            </w:pPr>
            <w:r w:rsidRPr="005B3CFD">
              <w:rPr>
                <w:b w:val="0"/>
                <w:color w:val="auto"/>
                <w:spacing w:val="0"/>
                <w:sz w:val="22"/>
                <w:szCs w:val="24"/>
              </w:rPr>
              <w:t xml:space="preserve">Other key non-monetised costs by ‘main affected groups’ </w:t>
            </w:r>
          </w:p>
          <w:p w14:paraId="1E7581FA" w14:textId="6D9E6911" w:rsidR="00AC1946" w:rsidRDefault="00AC1946" w:rsidP="00D95EC3">
            <w:pPr>
              <w:pStyle w:val="IAPOA2"/>
              <w:spacing w:before="50" w:after="50"/>
              <w:rPr>
                <w:b/>
                <w:color w:val="000000"/>
                <w:sz w:val="20"/>
                <w:szCs w:val="22"/>
              </w:rPr>
            </w:pPr>
          </w:p>
          <w:p w14:paraId="7131A264" w14:textId="4EBBF9D9" w:rsidR="00AC1946" w:rsidRDefault="00AC1946" w:rsidP="00D95EC3">
            <w:pPr>
              <w:pStyle w:val="IAPOA2"/>
              <w:spacing w:before="50" w:after="50"/>
              <w:rPr>
                <w:b/>
                <w:color w:val="000000"/>
                <w:sz w:val="20"/>
                <w:szCs w:val="22"/>
              </w:rPr>
            </w:pPr>
            <w:r>
              <w:rPr>
                <w:b/>
                <w:color w:val="000000"/>
                <w:sz w:val="20"/>
                <w:szCs w:val="22"/>
              </w:rPr>
              <w:t>Other key non-monetised costs by ‘main affected groups’</w:t>
            </w:r>
          </w:p>
          <w:p w14:paraId="1C6CC9C8" w14:textId="77777777" w:rsidR="00AC1946" w:rsidRDefault="00AC1946" w:rsidP="00D95EC3">
            <w:pPr>
              <w:pStyle w:val="IAPOA2"/>
              <w:spacing w:before="50" w:after="50"/>
              <w:rPr>
                <w:b/>
                <w:color w:val="000000"/>
                <w:sz w:val="20"/>
                <w:szCs w:val="22"/>
              </w:rPr>
            </w:pPr>
          </w:p>
          <w:p w14:paraId="0DDAC94F" w14:textId="06EBC872" w:rsidR="00D95EC3" w:rsidRDefault="00D95EC3" w:rsidP="00D95EC3">
            <w:pPr>
              <w:pStyle w:val="IAPOA2"/>
              <w:spacing w:before="50" w:after="50"/>
              <w:rPr>
                <w:b/>
                <w:color w:val="000000"/>
                <w:sz w:val="20"/>
                <w:szCs w:val="22"/>
              </w:rPr>
            </w:pPr>
            <w:r w:rsidRPr="005B3CFD">
              <w:rPr>
                <w:b/>
                <w:color w:val="000000"/>
                <w:sz w:val="20"/>
                <w:szCs w:val="22"/>
              </w:rPr>
              <w:fldChar w:fldCharType="begin">
                <w:ffData>
                  <w:name w:val="Text62"/>
                  <w:enabled/>
                  <w:calcOnExit w:val="0"/>
                  <w:textInput>
                    <w:default w:val="Maximum of 5 lines"/>
                    <w:maxLength w:val="500"/>
                  </w:textInput>
                </w:ffData>
              </w:fldChar>
            </w:r>
            <w:r w:rsidRPr="005B3CFD">
              <w:rPr>
                <w:b/>
                <w:color w:val="000000"/>
                <w:sz w:val="20"/>
                <w:szCs w:val="22"/>
              </w:rPr>
              <w:instrText xml:space="preserve"> FORMTEXT </w:instrText>
            </w:r>
            <w:r w:rsidRPr="005B3CFD">
              <w:rPr>
                <w:b/>
                <w:color w:val="000000"/>
                <w:sz w:val="20"/>
                <w:szCs w:val="22"/>
              </w:rPr>
            </w:r>
            <w:r w:rsidRPr="005B3CFD">
              <w:rPr>
                <w:b/>
                <w:color w:val="000000"/>
                <w:sz w:val="20"/>
                <w:szCs w:val="22"/>
              </w:rPr>
              <w:fldChar w:fldCharType="separate"/>
            </w:r>
            <w:r>
              <w:rPr>
                <w:b/>
                <w:color w:val="000000"/>
                <w:sz w:val="20"/>
                <w:szCs w:val="22"/>
              </w:rPr>
              <w:t>No Transitional costs identified.</w:t>
            </w:r>
          </w:p>
          <w:p w14:paraId="1D699DDD" w14:textId="0A1F34D7" w:rsidR="00D95EC3" w:rsidRPr="005B3CFD" w:rsidRDefault="00D95EC3" w:rsidP="00D95EC3">
            <w:pPr>
              <w:pStyle w:val="IAPOA2"/>
              <w:spacing w:before="50" w:after="50"/>
              <w:rPr>
                <w:b/>
                <w:color w:val="000000"/>
                <w:sz w:val="20"/>
                <w:szCs w:val="22"/>
              </w:rPr>
            </w:pPr>
            <w:r>
              <w:rPr>
                <w:b/>
                <w:color w:val="000000"/>
                <w:sz w:val="20"/>
                <w:szCs w:val="22"/>
              </w:rPr>
              <w:t xml:space="preserve">Negligible on-going costs as targeted </w:t>
            </w:r>
            <w:r w:rsidR="00BD13AB">
              <w:rPr>
                <w:b/>
                <w:color w:val="000000"/>
                <w:sz w:val="20"/>
                <w:szCs w:val="22"/>
              </w:rPr>
              <w:t>re</w:t>
            </w:r>
            <w:r>
              <w:rPr>
                <w:b/>
                <w:color w:val="000000"/>
                <w:sz w:val="20"/>
                <w:szCs w:val="22"/>
              </w:rPr>
              <w:t xml:space="preserve">form </w:t>
            </w:r>
            <w:r w:rsidR="00BD13AB">
              <w:rPr>
                <w:b/>
                <w:color w:val="000000"/>
                <w:sz w:val="20"/>
                <w:szCs w:val="22"/>
              </w:rPr>
              <w:t>takes place alongside</w:t>
            </w:r>
            <w:r>
              <w:rPr>
                <w:b/>
                <w:color w:val="000000"/>
                <w:sz w:val="20"/>
                <w:szCs w:val="22"/>
              </w:rPr>
              <w:t xml:space="preserve"> existing day to day tasks</w:t>
            </w:r>
            <w:r w:rsidRPr="005B3CFD">
              <w:rPr>
                <w:b/>
                <w:color w:val="000000"/>
                <w:sz w:val="20"/>
                <w:szCs w:val="22"/>
              </w:rPr>
              <w:fldChar w:fldCharType="end"/>
            </w:r>
          </w:p>
        </w:tc>
      </w:tr>
      <w:tr w:rsidR="00D95EC3" w:rsidRPr="00AC2EE9" w14:paraId="24355B99" w14:textId="77777777" w:rsidTr="00D95EC3">
        <w:trPr>
          <w:trHeight w:hRule="exact" w:val="567"/>
        </w:trPr>
        <w:tc>
          <w:tcPr>
            <w:tcW w:w="1995" w:type="dxa"/>
            <w:shd w:val="clear" w:color="auto" w:fill="FFFFFF"/>
          </w:tcPr>
          <w:p w14:paraId="7DE642C6" w14:textId="77777777" w:rsidR="00D95EC3" w:rsidRPr="007E190E" w:rsidRDefault="00D95EC3" w:rsidP="00D95EC3">
            <w:pPr>
              <w:pStyle w:val="IATableLabel"/>
              <w:rPr>
                <w:sz w:val="24"/>
                <w:szCs w:val="24"/>
              </w:rPr>
            </w:pPr>
            <w:r w:rsidRPr="007E190E">
              <w:rPr>
                <w:sz w:val="24"/>
                <w:szCs w:val="24"/>
              </w:rPr>
              <w:t>BENEFITS (£m)</w:t>
            </w:r>
          </w:p>
        </w:tc>
        <w:tc>
          <w:tcPr>
            <w:tcW w:w="2739" w:type="dxa"/>
            <w:gridSpan w:val="2"/>
            <w:tcBorders>
              <w:top w:val="single" w:sz="12" w:space="0" w:color="auto"/>
              <w:bottom w:val="single" w:sz="6" w:space="0" w:color="auto"/>
            </w:tcBorders>
            <w:shd w:val="clear" w:color="auto" w:fill="auto"/>
          </w:tcPr>
          <w:p w14:paraId="059C974D" w14:textId="77777777" w:rsidR="00D95EC3" w:rsidRPr="00826F71" w:rsidRDefault="00D95EC3" w:rsidP="00D95EC3">
            <w:pPr>
              <w:pStyle w:val="IATableLabel"/>
              <w:tabs>
                <w:tab w:val="right" w:pos="1797"/>
                <w:tab w:val="center" w:pos="2340"/>
              </w:tabs>
              <w:jc w:val="right"/>
            </w:pPr>
            <w:r w:rsidRPr="00826F71">
              <w:t xml:space="preserve">Total Transition </w:t>
            </w:r>
            <w:r>
              <w:br/>
            </w:r>
            <w:r>
              <w:tab/>
            </w:r>
            <w:r w:rsidRPr="007E190E">
              <w:rPr>
                <w:b w:val="0"/>
                <w:sz w:val="18"/>
                <w:szCs w:val="18"/>
              </w:rPr>
              <w:t>(Constant Price)</w:t>
            </w:r>
            <w:r>
              <w:tab/>
            </w:r>
            <w:r w:rsidRPr="007E190E">
              <w:rPr>
                <w:b w:val="0"/>
                <w:sz w:val="18"/>
                <w:szCs w:val="18"/>
              </w:rPr>
              <w:t>Yea</w:t>
            </w:r>
            <w:r w:rsidRPr="007E190E">
              <w:rPr>
                <w:b w:val="0"/>
                <w:bCs/>
                <w:sz w:val="18"/>
                <w:szCs w:val="18"/>
              </w:rPr>
              <w:t>r</w:t>
            </w:r>
            <w:r w:rsidRPr="007E190E">
              <w:rPr>
                <w:b w:val="0"/>
                <w:sz w:val="18"/>
                <w:szCs w:val="18"/>
              </w:rPr>
              <w:t>s</w:t>
            </w:r>
          </w:p>
          <w:p w14:paraId="636511B4" w14:textId="77777777" w:rsidR="00D95EC3" w:rsidRPr="00826F71" w:rsidRDefault="00D95EC3" w:rsidP="00D95EC3">
            <w:pPr>
              <w:pStyle w:val="IATableLabel"/>
              <w:jc w:val="right"/>
            </w:pPr>
            <w:r>
              <w:br/>
            </w:r>
          </w:p>
        </w:tc>
        <w:tc>
          <w:tcPr>
            <w:tcW w:w="2865" w:type="dxa"/>
            <w:tcBorders>
              <w:bottom w:val="single" w:sz="6" w:space="0" w:color="auto"/>
              <w:right w:val="single" w:sz="12" w:space="0" w:color="auto"/>
            </w:tcBorders>
            <w:shd w:val="clear" w:color="auto" w:fill="auto"/>
          </w:tcPr>
          <w:p w14:paraId="37651117" w14:textId="77777777" w:rsidR="00D95EC3" w:rsidRPr="007E190E" w:rsidRDefault="00D95EC3" w:rsidP="00D95EC3">
            <w:pPr>
              <w:pStyle w:val="IATableLabel"/>
              <w:jc w:val="right"/>
              <w:rPr>
                <w:rFonts w:cs="Arial"/>
                <w:bCs/>
              </w:rPr>
            </w:pPr>
            <w:r w:rsidRPr="00826F71">
              <w:t>Average Annual</w:t>
            </w:r>
            <w:r w:rsidRPr="000C031E">
              <w:t xml:space="preserve"> </w:t>
            </w:r>
            <w:r>
              <w:br/>
            </w:r>
            <w:r w:rsidRPr="007E190E">
              <w:rPr>
                <w:b w:val="0"/>
                <w:sz w:val="18"/>
                <w:szCs w:val="18"/>
              </w:rPr>
              <w:t xml:space="preserve">(excl. Transition) </w:t>
            </w:r>
            <w:r w:rsidRPr="007E190E">
              <w:rPr>
                <w:rFonts w:cs="Arial"/>
                <w:b w:val="0"/>
                <w:bCs/>
                <w:sz w:val="18"/>
                <w:szCs w:val="18"/>
              </w:rPr>
              <w:t>(Constant Price)</w:t>
            </w:r>
          </w:p>
        </w:tc>
        <w:tc>
          <w:tcPr>
            <w:tcW w:w="2636" w:type="dxa"/>
            <w:gridSpan w:val="2"/>
            <w:tcBorders>
              <w:top w:val="single" w:sz="12" w:space="0" w:color="auto"/>
              <w:left w:val="single" w:sz="12" w:space="0" w:color="auto"/>
              <w:bottom w:val="single" w:sz="6" w:space="0" w:color="auto"/>
            </w:tcBorders>
            <w:shd w:val="clear" w:color="auto" w:fill="auto"/>
          </w:tcPr>
          <w:p w14:paraId="3B4D6C02" w14:textId="77777777" w:rsidR="00D95EC3" w:rsidRPr="00826F71" w:rsidRDefault="00D95EC3" w:rsidP="00D95EC3">
            <w:pPr>
              <w:pStyle w:val="IATableLabel"/>
              <w:jc w:val="right"/>
            </w:pPr>
            <w:r w:rsidRPr="00826F71">
              <w:t xml:space="preserve">Total </w:t>
            </w:r>
            <w:r>
              <w:t>Benefit</w:t>
            </w:r>
            <w:r w:rsidRPr="007E190E">
              <w:rPr>
                <w:b w:val="0"/>
                <w:sz w:val="18"/>
                <w:szCs w:val="18"/>
              </w:rPr>
              <w:t xml:space="preserve"> </w:t>
            </w:r>
            <w:r w:rsidRPr="007E190E">
              <w:rPr>
                <w:b w:val="0"/>
                <w:sz w:val="18"/>
                <w:szCs w:val="18"/>
              </w:rPr>
              <w:br/>
              <w:t>(Present Value)</w:t>
            </w:r>
          </w:p>
        </w:tc>
      </w:tr>
      <w:tr w:rsidR="00D95EC3" w:rsidRPr="00AC2EE9" w14:paraId="0E311416" w14:textId="77777777" w:rsidTr="00D95EC3">
        <w:trPr>
          <w:trHeight w:hRule="exact" w:val="348"/>
        </w:trPr>
        <w:tc>
          <w:tcPr>
            <w:tcW w:w="1995" w:type="dxa"/>
            <w:tcBorders>
              <w:top w:val="single" w:sz="6" w:space="0" w:color="auto"/>
              <w:bottom w:val="single" w:sz="6" w:space="0" w:color="auto"/>
            </w:tcBorders>
            <w:shd w:val="clear" w:color="auto" w:fill="auto"/>
            <w:vAlign w:val="center"/>
          </w:tcPr>
          <w:p w14:paraId="2E07D260" w14:textId="77777777" w:rsidR="00D95EC3" w:rsidRPr="00826F71" w:rsidRDefault="00D95EC3" w:rsidP="00D95EC3">
            <w:pPr>
              <w:pStyle w:val="IATableLabel"/>
            </w:pPr>
            <w:r w:rsidRPr="00826F71">
              <w:t xml:space="preserve">Low </w:t>
            </w:r>
          </w:p>
        </w:tc>
        <w:tc>
          <w:tcPr>
            <w:tcW w:w="1949" w:type="dxa"/>
            <w:tcBorders>
              <w:top w:val="single" w:sz="6" w:space="0" w:color="auto"/>
              <w:bottom w:val="single" w:sz="6" w:space="0" w:color="auto"/>
            </w:tcBorders>
            <w:shd w:val="clear" w:color="auto" w:fill="auto"/>
            <w:vAlign w:val="center"/>
          </w:tcPr>
          <w:p w14:paraId="7D1E85E3" w14:textId="77777777" w:rsidR="00D95EC3" w:rsidRPr="005B3CFD" w:rsidRDefault="00D95EC3" w:rsidP="004004FF">
            <w:pPr>
              <w:pStyle w:val="POTTBenLow"/>
              <w:jc w:val="center"/>
              <w:rPr>
                <w:b/>
                <w:color w:val="000000"/>
                <w:sz w:val="20"/>
              </w:rPr>
            </w:pPr>
            <w:r>
              <w:rPr>
                <w:b/>
                <w:color w:val="000000"/>
                <w:sz w:val="20"/>
              </w:rPr>
              <w:t>0</w:t>
            </w:r>
          </w:p>
        </w:tc>
        <w:tc>
          <w:tcPr>
            <w:tcW w:w="790" w:type="dxa"/>
            <w:vMerge w:val="restart"/>
            <w:tcBorders>
              <w:top w:val="single" w:sz="6" w:space="0" w:color="auto"/>
            </w:tcBorders>
            <w:shd w:val="clear" w:color="auto" w:fill="auto"/>
            <w:vAlign w:val="center"/>
          </w:tcPr>
          <w:p w14:paraId="17034D94" w14:textId="77777777" w:rsidR="00D95EC3" w:rsidRPr="007E190E" w:rsidRDefault="00D95EC3" w:rsidP="00D95EC3">
            <w:pPr>
              <w:pStyle w:val="IATableText"/>
              <w:jc w:val="center"/>
              <w:rPr>
                <w:sz w:val="20"/>
              </w:rPr>
            </w:pPr>
            <w:r w:rsidRPr="007E190E">
              <w:rPr>
                <w:sz w:val="20"/>
              </w:rPr>
              <w:fldChar w:fldCharType="begin">
                <w:ffData>
                  <w:name w:val="Text48"/>
                  <w:enabled/>
                  <w:calcOnExit w:val="0"/>
                  <w:textInput>
                    <w:maxLength w:val="3"/>
                  </w:textInput>
                </w:ffData>
              </w:fldChar>
            </w:r>
            <w:r w:rsidRPr="007E190E">
              <w:rPr>
                <w:sz w:val="20"/>
              </w:rPr>
              <w:instrText xml:space="preserve"> FORMTEXT </w:instrText>
            </w:r>
            <w:r w:rsidRPr="007E190E">
              <w:rPr>
                <w:sz w:val="20"/>
              </w:rPr>
            </w:r>
            <w:r w:rsidRPr="007E190E">
              <w:rPr>
                <w:sz w:val="20"/>
              </w:rPr>
              <w:fldChar w:fldCharType="separate"/>
            </w:r>
            <w:r>
              <w:rPr>
                <w:noProof/>
                <w:sz w:val="20"/>
              </w:rPr>
              <w:t> </w:t>
            </w:r>
            <w:r>
              <w:rPr>
                <w:noProof/>
                <w:sz w:val="20"/>
              </w:rPr>
              <w:t> </w:t>
            </w:r>
            <w:r>
              <w:rPr>
                <w:noProof/>
                <w:sz w:val="20"/>
              </w:rPr>
              <w:t> </w:t>
            </w:r>
            <w:r w:rsidRPr="007E190E">
              <w:rPr>
                <w:sz w:val="20"/>
              </w:rPr>
              <w:fldChar w:fldCharType="end"/>
            </w:r>
          </w:p>
        </w:tc>
        <w:tc>
          <w:tcPr>
            <w:tcW w:w="2865" w:type="dxa"/>
            <w:tcBorders>
              <w:top w:val="single" w:sz="6" w:space="0" w:color="auto"/>
              <w:bottom w:val="single" w:sz="6" w:space="0" w:color="auto"/>
              <w:right w:val="single" w:sz="12" w:space="0" w:color="auto"/>
            </w:tcBorders>
            <w:shd w:val="clear" w:color="auto" w:fill="auto"/>
            <w:vAlign w:val="center"/>
          </w:tcPr>
          <w:p w14:paraId="74C3E0D5" w14:textId="57EF3140" w:rsidR="00D95EC3" w:rsidRPr="00AC2EE9" w:rsidRDefault="00BD13AB" w:rsidP="004004FF">
            <w:pPr>
              <w:pStyle w:val="POAABenLow"/>
              <w:jc w:val="center"/>
              <w:rPr>
                <w:color w:val="000000"/>
                <w:sz w:val="20"/>
                <w:szCs w:val="22"/>
              </w:rPr>
            </w:pPr>
            <w:r>
              <w:rPr>
                <w:color w:val="000000"/>
                <w:sz w:val="20"/>
                <w:szCs w:val="22"/>
              </w:rPr>
              <w:t>£1.</w:t>
            </w:r>
            <w:r w:rsidR="00821041">
              <w:rPr>
                <w:color w:val="000000"/>
                <w:sz w:val="20"/>
                <w:szCs w:val="22"/>
              </w:rPr>
              <w:t>18</w:t>
            </w:r>
          </w:p>
        </w:tc>
        <w:tc>
          <w:tcPr>
            <w:tcW w:w="2636" w:type="dxa"/>
            <w:gridSpan w:val="2"/>
            <w:tcBorders>
              <w:top w:val="single" w:sz="6" w:space="0" w:color="auto"/>
              <w:left w:val="single" w:sz="12" w:space="0" w:color="auto"/>
              <w:bottom w:val="single" w:sz="6" w:space="0" w:color="auto"/>
            </w:tcBorders>
            <w:shd w:val="clear" w:color="auto" w:fill="auto"/>
            <w:vAlign w:val="center"/>
          </w:tcPr>
          <w:p w14:paraId="199542D1" w14:textId="6A57973C" w:rsidR="00D95EC3" w:rsidRPr="005B3CFD" w:rsidRDefault="00BD13AB" w:rsidP="004004FF">
            <w:pPr>
              <w:pStyle w:val="POTBBenLow"/>
              <w:spacing w:before="0" w:after="0"/>
              <w:ind w:left="0" w:right="0"/>
              <w:jc w:val="center"/>
              <w:rPr>
                <w:rFonts w:eastAsia="Times New Roman"/>
                <w:b w:val="0"/>
                <w:spacing w:val="0"/>
                <w:sz w:val="20"/>
                <w:szCs w:val="24"/>
                <w:lang w:eastAsia="en-US"/>
              </w:rPr>
            </w:pPr>
            <w:r>
              <w:rPr>
                <w:rFonts w:eastAsia="Times New Roman"/>
                <w:b w:val="0"/>
                <w:spacing w:val="0"/>
                <w:sz w:val="20"/>
                <w:szCs w:val="24"/>
                <w:lang w:eastAsia="en-US"/>
              </w:rPr>
              <w:t>£</w:t>
            </w:r>
            <w:r w:rsidR="00DC0DDC">
              <w:rPr>
                <w:rFonts w:eastAsia="Times New Roman"/>
                <w:b w:val="0"/>
                <w:spacing w:val="0"/>
                <w:sz w:val="20"/>
                <w:szCs w:val="24"/>
                <w:lang w:eastAsia="en-US"/>
              </w:rPr>
              <w:t>9.81</w:t>
            </w:r>
          </w:p>
        </w:tc>
      </w:tr>
      <w:tr w:rsidR="00D95EC3" w:rsidRPr="00AC2EE9" w14:paraId="5501D3EF" w14:textId="77777777" w:rsidTr="00D95EC3">
        <w:trPr>
          <w:trHeight w:hRule="exact" w:val="348"/>
        </w:trPr>
        <w:tc>
          <w:tcPr>
            <w:tcW w:w="1995" w:type="dxa"/>
            <w:tcBorders>
              <w:top w:val="single" w:sz="6" w:space="0" w:color="auto"/>
              <w:bottom w:val="single" w:sz="12" w:space="0" w:color="auto"/>
            </w:tcBorders>
            <w:shd w:val="clear" w:color="auto" w:fill="auto"/>
            <w:vAlign w:val="center"/>
          </w:tcPr>
          <w:p w14:paraId="0BDC4066" w14:textId="77777777" w:rsidR="00D95EC3" w:rsidRPr="00826F71" w:rsidRDefault="00D95EC3" w:rsidP="00D95EC3">
            <w:pPr>
              <w:pStyle w:val="IATableLabel"/>
            </w:pPr>
            <w:r w:rsidRPr="00826F71">
              <w:t xml:space="preserve">High </w:t>
            </w:r>
          </w:p>
        </w:tc>
        <w:tc>
          <w:tcPr>
            <w:tcW w:w="1949" w:type="dxa"/>
            <w:tcBorders>
              <w:top w:val="single" w:sz="6" w:space="0" w:color="auto"/>
              <w:bottom w:val="single" w:sz="12" w:space="0" w:color="auto"/>
            </w:tcBorders>
            <w:shd w:val="clear" w:color="auto" w:fill="auto"/>
            <w:vAlign w:val="center"/>
          </w:tcPr>
          <w:p w14:paraId="1B9F4992" w14:textId="77777777" w:rsidR="00D95EC3" w:rsidRPr="00AC2EE9" w:rsidRDefault="00D95EC3" w:rsidP="004004FF">
            <w:pPr>
              <w:pStyle w:val="POTTBenHigh"/>
              <w:jc w:val="center"/>
              <w:rPr>
                <w:color w:val="000000"/>
                <w:sz w:val="20"/>
                <w:szCs w:val="22"/>
              </w:rPr>
            </w:pPr>
            <w:r>
              <w:rPr>
                <w:color w:val="000000"/>
                <w:sz w:val="20"/>
                <w:szCs w:val="22"/>
              </w:rPr>
              <w:t>0</w:t>
            </w:r>
          </w:p>
        </w:tc>
        <w:tc>
          <w:tcPr>
            <w:tcW w:w="790" w:type="dxa"/>
            <w:vMerge/>
            <w:shd w:val="clear" w:color="auto" w:fill="FFFFFF"/>
            <w:vAlign w:val="center"/>
          </w:tcPr>
          <w:p w14:paraId="48D62893" w14:textId="77777777" w:rsidR="00D95EC3" w:rsidRPr="007E190E" w:rsidRDefault="00D95EC3" w:rsidP="00D95EC3">
            <w:pPr>
              <w:pStyle w:val="IATableText"/>
              <w:jc w:val="right"/>
              <w:rPr>
                <w:sz w:val="20"/>
              </w:rPr>
            </w:pPr>
          </w:p>
        </w:tc>
        <w:tc>
          <w:tcPr>
            <w:tcW w:w="2865" w:type="dxa"/>
            <w:tcBorders>
              <w:top w:val="single" w:sz="6" w:space="0" w:color="auto"/>
              <w:bottom w:val="single" w:sz="12" w:space="0" w:color="auto"/>
              <w:right w:val="single" w:sz="12" w:space="0" w:color="auto"/>
            </w:tcBorders>
            <w:shd w:val="clear" w:color="auto" w:fill="auto"/>
            <w:vAlign w:val="center"/>
          </w:tcPr>
          <w:p w14:paraId="5ADF74A1" w14:textId="059D4218" w:rsidR="00D95EC3" w:rsidRPr="00AC2EE9" w:rsidRDefault="00BD13AB" w:rsidP="004004FF">
            <w:pPr>
              <w:pStyle w:val="POAABenHigh"/>
              <w:spacing w:before="0" w:after="0"/>
              <w:ind w:left="0" w:right="0"/>
              <w:jc w:val="center"/>
              <w:rPr>
                <w:rFonts w:eastAsia="Times New Roman"/>
                <w:spacing w:val="0"/>
                <w:sz w:val="20"/>
                <w:szCs w:val="24"/>
                <w:lang w:eastAsia="en-US"/>
              </w:rPr>
            </w:pPr>
            <w:r>
              <w:rPr>
                <w:rFonts w:eastAsia="Times New Roman"/>
                <w:spacing w:val="0"/>
                <w:sz w:val="20"/>
                <w:szCs w:val="24"/>
                <w:lang w:eastAsia="en-US"/>
              </w:rPr>
              <w:t>£3.</w:t>
            </w:r>
            <w:r w:rsidR="00DC0DDC">
              <w:rPr>
                <w:rFonts w:eastAsia="Times New Roman"/>
                <w:spacing w:val="0"/>
                <w:sz w:val="20"/>
                <w:szCs w:val="24"/>
                <w:lang w:eastAsia="en-US"/>
              </w:rPr>
              <w:t>62</w:t>
            </w:r>
          </w:p>
        </w:tc>
        <w:tc>
          <w:tcPr>
            <w:tcW w:w="2636" w:type="dxa"/>
            <w:gridSpan w:val="2"/>
            <w:tcBorders>
              <w:top w:val="single" w:sz="6" w:space="0" w:color="auto"/>
              <w:left w:val="single" w:sz="12" w:space="0" w:color="auto"/>
              <w:bottom w:val="single" w:sz="12" w:space="0" w:color="auto"/>
            </w:tcBorders>
            <w:shd w:val="clear" w:color="auto" w:fill="auto"/>
            <w:vAlign w:val="center"/>
          </w:tcPr>
          <w:p w14:paraId="498A2D8A" w14:textId="78F2187F" w:rsidR="00D95EC3" w:rsidRPr="005B3CFD" w:rsidRDefault="00BD13AB" w:rsidP="004004FF">
            <w:pPr>
              <w:pStyle w:val="POTBBenHigh"/>
              <w:jc w:val="center"/>
              <w:rPr>
                <w:b w:val="0"/>
                <w:sz w:val="20"/>
              </w:rPr>
            </w:pPr>
            <w:r>
              <w:rPr>
                <w:b w:val="0"/>
                <w:sz w:val="20"/>
              </w:rPr>
              <w:t>£</w:t>
            </w:r>
            <w:r w:rsidR="00DC0DDC">
              <w:rPr>
                <w:b w:val="0"/>
                <w:sz w:val="20"/>
              </w:rPr>
              <w:t>30.19</w:t>
            </w:r>
          </w:p>
        </w:tc>
      </w:tr>
      <w:tr w:rsidR="00D95EC3" w:rsidRPr="00AC2EE9" w14:paraId="405CF036" w14:textId="77777777" w:rsidTr="00D95EC3">
        <w:trPr>
          <w:trHeight w:hRule="exact" w:val="348"/>
        </w:trPr>
        <w:tc>
          <w:tcPr>
            <w:tcW w:w="1995" w:type="dxa"/>
            <w:tcBorders>
              <w:top w:val="single" w:sz="12" w:space="0" w:color="auto"/>
              <w:bottom w:val="single" w:sz="12" w:space="0" w:color="auto"/>
              <w:right w:val="single" w:sz="12" w:space="0" w:color="auto"/>
            </w:tcBorders>
            <w:shd w:val="clear" w:color="auto" w:fill="FFFFFF"/>
            <w:vAlign w:val="center"/>
          </w:tcPr>
          <w:p w14:paraId="422C58A2" w14:textId="77777777" w:rsidR="00D95EC3" w:rsidRPr="00826F71" w:rsidRDefault="00D95EC3" w:rsidP="00D95EC3">
            <w:pPr>
              <w:pStyle w:val="IATableLabel"/>
            </w:pPr>
            <w:r w:rsidRPr="00826F71">
              <w:t xml:space="preserve">Best </w:t>
            </w:r>
            <w:r>
              <w:t>E</w:t>
            </w:r>
            <w:r w:rsidRPr="00826F71">
              <w:t>stimate</w:t>
            </w:r>
          </w:p>
          <w:p w14:paraId="3A510C67" w14:textId="77777777" w:rsidR="00D95EC3" w:rsidRPr="00AC2EE9" w:rsidRDefault="00D95EC3" w:rsidP="00D95EC3">
            <w:pPr>
              <w:pStyle w:val="IATableNotes"/>
              <w:spacing w:beforeLines="40" w:before="96" w:after="0"/>
              <w:ind w:left="0" w:right="-22"/>
              <w:jc w:val="center"/>
              <w:rPr>
                <w:rFonts w:eastAsia="Times New Roman" w:cs="Arial"/>
                <w:b/>
                <w:sz w:val="20"/>
                <w:szCs w:val="24"/>
                <w:lang w:eastAsia="en-US"/>
              </w:rPr>
            </w:pPr>
          </w:p>
        </w:tc>
        <w:tc>
          <w:tcPr>
            <w:tcW w:w="1949" w:type="dxa"/>
            <w:tcBorders>
              <w:top w:val="single" w:sz="12" w:space="0" w:color="auto"/>
              <w:left w:val="single" w:sz="12" w:space="0" w:color="auto"/>
              <w:bottom w:val="single" w:sz="12" w:space="0" w:color="auto"/>
              <w:right w:val="single" w:sz="12" w:space="0" w:color="auto"/>
            </w:tcBorders>
            <w:shd w:val="clear" w:color="auto" w:fill="FFFFFF"/>
            <w:vAlign w:val="center"/>
          </w:tcPr>
          <w:p w14:paraId="5255A52E" w14:textId="69F8ACF4" w:rsidR="00D95EC3" w:rsidRPr="00AC2EE9" w:rsidRDefault="00D95EC3" w:rsidP="00D95EC3">
            <w:pPr>
              <w:pStyle w:val="POTTBenBest"/>
              <w:spacing w:before="0" w:after="0"/>
              <w:ind w:left="0" w:right="0"/>
              <w:jc w:val="left"/>
              <w:rPr>
                <w:rFonts w:eastAsia="Times New Roman"/>
                <w:spacing w:val="0"/>
                <w:sz w:val="20"/>
                <w:szCs w:val="24"/>
                <w:lang w:eastAsia="en-US"/>
              </w:rPr>
            </w:pPr>
            <w:r w:rsidRPr="00AC2EE9">
              <w:rPr>
                <w:rFonts w:eastAsia="Times New Roman"/>
                <w:spacing w:val="0"/>
                <w:sz w:val="20"/>
                <w:szCs w:val="24"/>
                <w:lang w:eastAsia="en-US"/>
              </w:rPr>
              <w:fldChar w:fldCharType="begin">
                <w:ffData>
                  <w:name w:val=""/>
                  <w:enabled/>
                  <w:calcOnExit w:val="0"/>
                  <w:textInput>
                    <w:maxLength w:val="14"/>
                  </w:textInput>
                </w:ffData>
              </w:fldChar>
            </w:r>
            <w:r w:rsidRPr="00AC2EE9">
              <w:rPr>
                <w:rFonts w:eastAsia="Times New Roman"/>
                <w:spacing w:val="0"/>
                <w:sz w:val="20"/>
                <w:szCs w:val="24"/>
                <w:lang w:eastAsia="en-US"/>
              </w:rPr>
              <w:instrText xml:space="preserve"> FORMTEXT </w:instrText>
            </w:r>
            <w:r w:rsidRPr="00AC2EE9">
              <w:rPr>
                <w:rFonts w:eastAsia="Times New Roman"/>
                <w:spacing w:val="0"/>
                <w:sz w:val="20"/>
                <w:szCs w:val="24"/>
                <w:lang w:eastAsia="en-US"/>
              </w:rPr>
            </w:r>
            <w:r w:rsidRPr="00AC2EE9">
              <w:rPr>
                <w:rFonts w:eastAsia="Times New Roman"/>
                <w:spacing w:val="0"/>
                <w:sz w:val="20"/>
                <w:szCs w:val="24"/>
                <w:lang w:eastAsia="en-US"/>
              </w:rPr>
              <w:fldChar w:fldCharType="separate"/>
            </w:r>
            <w:r>
              <w:rPr>
                <w:rFonts w:eastAsia="Times New Roman"/>
                <w:noProof/>
                <w:spacing w:val="0"/>
                <w:sz w:val="20"/>
                <w:szCs w:val="24"/>
                <w:lang w:eastAsia="en-US"/>
              </w:rPr>
              <w:t> </w:t>
            </w:r>
            <w:r>
              <w:rPr>
                <w:rFonts w:eastAsia="Times New Roman"/>
                <w:noProof/>
                <w:spacing w:val="0"/>
                <w:sz w:val="20"/>
                <w:szCs w:val="24"/>
                <w:lang w:eastAsia="en-US"/>
              </w:rPr>
              <w:t> </w:t>
            </w:r>
            <w:r>
              <w:rPr>
                <w:rFonts w:eastAsia="Times New Roman"/>
                <w:noProof/>
                <w:spacing w:val="0"/>
                <w:sz w:val="20"/>
                <w:szCs w:val="24"/>
                <w:lang w:eastAsia="en-US"/>
              </w:rPr>
              <w:t> </w:t>
            </w:r>
            <w:r>
              <w:rPr>
                <w:rFonts w:eastAsia="Times New Roman"/>
                <w:noProof/>
                <w:spacing w:val="0"/>
                <w:sz w:val="20"/>
                <w:szCs w:val="24"/>
                <w:lang w:eastAsia="en-US"/>
              </w:rPr>
              <w:t> </w:t>
            </w:r>
            <w:r>
              <w:rPr>
                <w:rFonts w:eastAsia="Times New Roman"/>
                <w:noProof/>
                <w:spacing w:val="0"/>
                <w:sz w:val="20"/>
                <w:szCs w:val="24"/>
                <w:lang w:eastAsia="en-US"/>
              </w:rPr>
              <w:t> </w:t>
            </w:r>
            <w:r w:rsidRPr="00AC2EE9">
              <w:rPr>
                <w:rFonts w:eastAsia="Times New Roman"/>
                <w:spacing w:val="0"/>
                <w:sz w:val="20"/>
                <w:szCs w:val="24"/>
                <w:lang w:eastAsia="en-US"/>
              </w:rPr>
              <w:fldChar w:fldCharType="end"/>
            </w:r>
            <w:r w:rsidR="00BD13AB">
              <w:rPr>
                <w:rFonts w:eastAsia="Times New Roman"/>
                <w:spacing w:val="0"/>
                <w:sz w:val="20"/>
                <w:szCs w:val="24"/>
                <w:lang w:eastAsia="en-US"/>
              </w:rPr>
              <w:t xml:space="preserve">      0</w:t>
            </w:r>
          </w:p>
        </w:tc>
        <w:tc>
          <w:tcPr>
            <w:tcW w:w="790" w:type="dxa"/>
            <w:vMerge/>
            <w:tcBorders>
              <w:left w:val="single" w:sz="12" w:space="0" w:color="auto"/>
              <w:right w:val="single" w:sz="12" w:space="0" w:color="auto"/>
            </w:tcBorders>
            <w:shd w:val="clear" w:color="auto" w:fill="FFFFFF"/>
            <w:vAlign w:val="center"/>
          </w:tcPr>
          <w:p w14:paraId="3AAEC6C7" w14:textId="77777777" w:rsidR="00D95EC3" w:rsidRPr="007E190E" w:rsidRDefault="00D95EC3" w:rsidP="00D95EC3">
            <w:pPr>
              <w:pStyle w:val="IATableText"/>
              <w:jc w:val="right"/>
              <w:rPr>
                <w:sz w:val="20"/>
              </w:rPr>
            </w:pPr>
          </w:p>
        </w:tc>
        <w:tc>
          <w:tcPr>
            <w:tcW w:w="2865" w:type="dxa"/>
            <w:tcBorders>
              <w:top w:val="single" w:sz="12" w:space="0" w:color="auto"/>
              <w:left w:val="single" w:sz="12" w:space="0" w:color="auto"/>
              <w:bottom w:val="single" w:sz="12" w:space="0" w:color="auto"/>
              <w:right w:val="single" w:sz="12" w:space="0" w:color="auto"/>
            </w:tcBorders>
            <w:shd w:val="clear" w:color="auto" w:fill="FFFFFF"/>
            <w:vAlign w:val="center"/>
          </w:tcPr>
          <w:p w14:paraId="5E0C9DCD" w14:textId="7AA2C6B4" w:rsidR="00D95EC3" w:rsidRPr="00AC2EE9" w:rsidRDefault="00BD13AB" w:rsidP="00D95EC3">
            <w:pPr>
              <w:pStyle w:val="POAABenBest"/>
              <w:jc w:val="left"/>
              <w:rPr>
                <w:color w:val="000000"/>
                <w:sz w:val="20"/>
                <w:szCs w:val="22"/>
              </w:rPr>
            </w:pPr>
            <w:r>
              <w:rPr>
                <w:color w:val="000000"/>
                <w:sz w:val="20"/>
                <w:szCs w:val="22"/>
              </w:rPr>
              <w:t xml:space="preserve">                     £1.6</w:t>
            </w:r>
            <w:r w:rsidR="00821041">
              <w:rPr>
                <w:color w:val="000000"/>
                <w:sz w:val="20"/>
                <w:szCs w:val="22"/>
              </w:rPr>
              <w:t>4</w:t>
            </w:r>
          </w:p>
        </w:tc>
        <w:tc>
          <w:tcPr>
            <w:tcW w:w="2636" w:type="dxa"/>
            <w:gridSpan w:val="2"/>
            <w:tcBorders>
              <w:top w:val="single" w:sz="12" w:space="0" w:color="auto"/>
              <w:left w:val="single" w:sz="12" w:space="0" w:color="auto"/>
              <w:bottom w:val="single" w:sz="12" w:space="0" w:color="auto"/>
            </w:tcBorders>
            <w:shd w:val="clear" w:color="auto" w:fill="FFFFFF"/>
            <w:vAlign w:val="center"/>
          </w:tcPr>
          <w:p w14:paraId="250EB5B0" w14:textId="3AA442FB" w:rsidR="00D95EC3" w:rsidRPr="005B3CFD" w:rsidRDefault="00BD13AB" w:rsidP="004004FF">
            <w:pPr>
              <w:pStyle w:val="POTBBenBest"/>
              <w:jc w:val="center"/>
              <w:rPr>
                <w:b w:val="0"/>
                <w:sz w:val="20"/>
              </w:rPr>
            </w:pPr>
            <w:r>
              <w:rPr>
                <w:b w:val="0"/>
                <w:sz w:val="20"/>
              </w:rPr>
              <w:t xml:space="preserve">          £1</w:t>
            </w:r>
            <w:r w:rsidR="00DC0DDC">
              <w:rPr>
                <w:b w:val="0"/>
                <w:sz w:val="20"/>
              </w:rPr>
              <w:t>3.66</w:t>
            </w:r>
            <w:r w:rsidR="00D95EC3" w:rsidRPr="005B3CFD">
              <w:rPr>
                <w:b w:val="0"/>
                <w:sz w:val="20"/>
              </w:rPr>
              <w:fldChar w:fldCharType="begin">
                <w:ffData>
                  <w:name w:val=""/>
                  <w:enabled/>
                  <w:calcOnExit w:val="0"/>
                  <w:textInput>
                    <w:maxLength w:val="14"/>
                  </w:textInput>
                </w:ffData>
              </w:fldChar>
            </w:r>
            <w:r w:rsidR="00D95EC3" w:rsidRPr="005B3CFD">
              <w:rPr>
                <w:b w:val="0"/>
                <w:sz w:val="20"/>
              </w:rPr>
              <w:instrText xml:space="preserve"> FORMTEXT </w:instrText>
            </w:r>
            <w:r w:rsidR="00D95EC3" w:rsidRPr="005B3CFD">
              <w:rPr>
                <w:b w:val="0"/>
                <w:sz w:val="20"/>
              </w:rPr>
            </w:r>
            <w:r w:rsidR="00D95EC3" w:rsidRPr="005B3CFD">
              <w:rPr>
                <w:b w:val="0"/>
                <w:sz w:val="20"/>
              </w:rPr>
              <w:fldChar w:fldCharType="separate"/>
            </w:r>
            <w:r w:rsidR="00D95EC3">
              <w:rPr>
                <w:b w:val="0"/>
                <w:noProof/>
                <w:sz w:val="20"/>
              </w:rPr>
              <w:t> </w:t>
            </w:r>
            <w:r w:rsidR="00D95EC3">
              <w:rPr>
                <w:b w:val="0"/>
                <w:noProof/>
                <w:sz w:val="20"/>
              </w:rPr>
              <w:t> </w:t>
            </w:r>
            <w:r w:rsidR="00D95EC3">
              <w:rPr>
                <w:b w:val="0"/>
                <w:noProof/>
                <w:sz w:val="20"/>
              </w:rPr>
              <w:t> </w:t>
            </w:r>
            <w:r w:rsidR="00D95EC3">
              <w:rPr>
                <w:b w:val="0"/>
                <w:noProof/>
                <w:sz w:val="20"/>
              </w:rPr>
              <w:t> </w:t>
            </w:r>
            <w:r w:rsidR="00D95EC3">
              <w:rPr>
                <w:b w:val="0"/>
                <w:noProof/>
                <w:sz w:val="20"/>
              </w:rPr>
              <w:t> </w:t>
            </w:r>
            <w:r w:rsidR="00D95EC3" w:rsidRPr="005B3CFD">
              <w:rPr>
                <w:b w:val="0"/>
                <w:sz w:val="20"/>
              </w:rPr>
              <w:fldChar w:fldCharType="end"/>
            </w:r>
          </w:p>
        </w:tc>
      </w:tr>
      <w:tr w:rsidR="00D95EC3" w:rsidRPr="00AC2EE9" w14:paraId="52EC7D22" w14:textId="77777777" w:rsidTr="00A5230D">
        <w:trPr>
          <w:trHeight w:hRule="exact" w:val="1980"/>
        </w:trPr>
        <w:tc>
          <w:tcPr>
            <w:tcW w:w="10235" w:type="dxa"/>
            <w:gridSpan w:val="6"/>
            <w:shd w:val="clear" w:color="auto" w:fill="auto"/>
          </w:tcPr>
          <w:p w14:paraId="48782833" w14:textId="77777777" w:rsidR="00D95EC3" w:rsidRPr="005B3CFD" w:rsidRDefault="00D95EC3" w:rsidP="00D95EC3">
            <w:pPr>
              <w:pStyle w:val="IPPOQ3"/>
              <w:rPr>
                <w:b w:val="0"/>
                <w:color w:val="auto"/>
                <w:sz w:val="22"/>
                <w:szCs w:val="22"/>
              </w:rPr>
            </w:pPr>
            <w:r w:rsidRPr="005B3CFD">
              <w:rPr>
                <w:b w:val="0"/>
                <w:color w:val="auto"/>
                <w:sz w:val="22"/>
              </w:rPr>
              <w:t xml:space="preserve">Description and scale of key monetised benefits by ‘main affected groups’ </w:t>
            </w:r>
          </w:p>
          <w:p w14:paraId="44AB0B89" w14:textId="77777777" w:rsidR="00D95EC3" w:rsidRDefault="00D95EC3" w:rsidP="00D95EC3">
            <w:pPr>
              <w:pStyle w:val="IAPOA3"/>
              <w:spacing w:before="50" w:after="50"/>
            </w:pPr>
            <w:r w:rsidRPr="00D337D1">
              <w:fldChar w:fldCharType="begin">
                <w:ffData>
                  <w:name w:val=""/>
                  <w:enabled/>
                  <w:calcOnExit w:val="0"/>
                  <w:textInput>
                    <w:default w:val="Maximum of 5 lines"/>
                    <w:maxLength w:val="500"/>
                  </w:textInput>
                </w:ffData>
              </w:fldChar>
            </w:r>
            <w:r w:rsidRPr="00D337D1">
              <w:instrText xml:space="preserve"> FORMTEXT </w:instrText>
            </w:r>
            <w:r w:rsidRPr="00D337D1">
              <w:fldChar w:fldCharType="separate"/>
            </w:r>
            <w:r>
              <w:t>Transitional Benefits: None identified</w:t>
            </w:r>
          </w:p>
          <w:p w14:paraId="70E66CE5" w14:textId="009CE465" w:rsidR="00D95EC3" w:rsidRPr="00826F71" w:rsidRDefault="00D95EC3" w:rsidP="00D95EC3">
            <w:pPr>
              <w:pStyle w:val="IAPOA3"/>
              <w:spacing w:before="50" w:after="50"/>
            </w:pPr>
            <w:r>
              <w:t>On-going benefits</w:t>
            </w:r>
            <w:r w:rsidR="00BD13AB">
              <w:rPr>
                <w:rStyle w:val="FootnoteReference"/>
              </w:rPr>
              <w:footnoteReference w:id="1"/>
            </w:r>
            <w:r>
              <w:t xml:space="preserve"> : Reduced number of judicial reviews – annual savings £0.</w:t>
            </w:r>
            <w:r w:rsidR="00BD13AB">
              <w:t>16</w:t>
            </w:r>
            <w:r>
              <w:t xml:space="preserve"> million – HMCTS; Reduced number of appeals in the First Tier and Upper Tribunals, annual savings £</w:t>
            </w:r>
            <w:r w:rsidR="00BD13AB">
              <w:t>0.48</w:t>
            </w:r>
            <w:r>
              <w:t xml:space="preserve"> million – HMCTS; Time savings in judiciary reading/writing judgments following more easily navigated immigration rules – annual savings £</w:t>
            </w:r>
            <w:r w:rsidR="00821041">
              <w:t>1.00</w:t>
            </w:r>
            <w:r>
              <w:t xml:space="preserve"> million</w:t>
            </w:r>
            <w:r w:rsidRPr="00D337D1">
              <w:fldChar w:fldCharType="end"/>
            </w:r>
            <w:r w:rsidR="00F73F3B">
              <w:t>. We seek evidence from practitioners</w:t>
            </w:r>
            <w:r w:rsidR="00956F6A">
              <w:t>/other consultees</w:t>
            </w:r>
            <w:r w:rsidR="00F73F3B">
              <w:t xml:space="preserve"> on cost savings for applicants.</w:t>
            </w:r>
          </w:p>
        </w:tc>
      </w:tr>
      <w:tr w:rsidR="00D95EC3" w:rsidRPr="00AC2EE9" w14:paraId="1A5EBE5B" w14:textId="77777777" w:rsidTr="007C6B02">
        <w:trPr>
          <w:trHeight w:hRule="exact" w:val="1142"/>
        </w:trPr>
        <w:tc>
          <w:tcPr>
            <w:tcW w:w="10235" w:type="dxa"/>
            <w:gridSpan w:val="6"/>
            <w:shd w:val="clear" w:color="auto" w:fill="auto"/>
          </w:tcPr>
          <w:p w14:paraId="55896993" w14:textId="77777777" w:rsidR="00D95EC3" w:rsidRPr="005B3CFD" w:rsidRDefault="00D95EC3" w:rsidP="00D95EC3">
            <w:pPr>
              <w:pStyle w:val="IAPOQ4"/>
              <w:rPr>
                <w:b w:val="0"/>
                <w:color w:val="auto"/>
                <w:sz w:val="22"/>
                <w:szCs w:val="22"/>
              </w:rPr>
            </w:pPr>
            <w:r w:rsidRPr="005B3CFD">
              <w:rPr>
                <w:b w:val="0"/>
                <w:color w:val="auto"/>
                <w:sz w:val="22"/>
                <w:szCs w:val="18"/>
              </w:rPr>
              <w:t xml:space="preserve">Other key non-monetised benefits by ‘main affected groups’ </w:t>
            </w:r>
          </w:p>
          <w:p w14:paraId="13A41FA5" w14:textId="7ACDF933" w:rsidR="00D95EC3" w:rsidRPr="00826F71" w:rsidRDefault="00DD1505" w:rsidP="00A37BCD">
            <w:pPr>
              <w:pStyle w:val="IAPOA4"/>
              <w:spacing w:before="50" w:after="50"/>
            </w:pPr>
            <w:r w:rsidRPr="00D337D1">
              <w:fldChar w:fldCharType="begin">
                <w:ffData>
                  <w:name w:val=""/>
                  <w:enabled/>
                  <w:calcOnExit w:val="0"/>
                  <w:textInput>
                    <w:default w:val="Maximum of 5 lines"/>
                    <w:maxLength w:val="500"/>
                  </w:textInput>
                </w:ffData>
              </w:fldChar>
            </w:r>
            <w:r w:rsidRPr="00D337D1">
              <w:instrText xml:space="preserve"> FORMTEXT </w:instrText>
            </w:r>
            <w:r w:rsidRPr="00D337D1">
              <w:fldChar w:fldCharType="separate"/>
            </w:r>
            <w:r>
              <w:t xml:space="preserve">Increased confidence in the legal system; Savings in court hearing times; Home Office staff time savings from reduced case work </w:t>
            </w:r>
            <w:r w:rsidR="00DC53FC">
              <w:t xml:space="preserve">and </w:t>
            </w:r>
            <w:r>
              <w:t xml:space="preserve">preparation/attendance at </w:t>
            </w:r>
            <w:r w:rsidR="00DC53FC">
              <w:t>hearings</w:t>
            </w:r>
            <w:r>
              <w:t>; Reduced number of administrative reviews.</w:t>
            </w:r>
            <w:r w:rsidRPr="00D337D1">
              <w:fldChar w:fldCharType="end"/>
            </w:r>
            <w:r w:rsidR="00D95EC3" w:rsidRPr="00D337D1">
              <w:fldChar w:fldCharType="begin">
                <w:ffData>
                  <w:name w:val=""/>
                  <w:enabled/>
                  <w:calcOnExit w:val="0"/>
                  <w:textInput>
                    <w:default w:val="Maximum of 5 lines"/>
                    <w:maxLength w:val="500"/>
                  </w:textInput>
                </w:ffData>
              </w:fldChar>
            </w:r>
            <w:r w:rsidR="00D95EC3" w:rsidRPr="00D337D1">
              <w:instrText xml:space="preserve"> FORMTEXT </w:instrText>
            </w:r>
            <w:r w:rsidR="00D95EC3" w:rsidRPr="00D337D1">
              <w:fldChar w:fldCharType="separate"/>
            </w:r>
            <w:r w:rsidR="00D95EC3">
              <w:t> </w:t>
            </w:r>
            <w:r w:rsidR="00D95EC3">
              <w:t> </w:t>
            </w:r>
            <w:r w:rsidR="00D95EC3">
              <w:t> </w:t>
            </w:r>
            <w:r w:rsidR="00D95EC3">
              <w:t> </w:t>
            </w:r>
            <w:r w:rsidR="00D95EC3">
              <w:t> </w:t>
            </w:r>
            <w:r w:rsidR="00D95EC3" w:rsidRPr="00D337D1">
              <w:fldChar w:fldCharType="end"/>
            </w:r>
          </w:p>
        </w:tc>
      </w:tr>
      <w:tr w:rsidR="00D95EC3" w:rsidRPr="00AC2EE9" w14:paraId="5C59DDAF" w14:textId="77777777" w:rsidTr="00D95EC3">
        <w:trPr>
          <w:trHeight w:hRule="exact" w:val="346"/>
        </w:trPr>
        <w:tc>
          <w:tcPr>
            <w:tcW w:w="9375" w:type="dxa"/>
            <w:gridSpan w:val="5"/>
            <w:tcBorders>
              <w:top w:val="single" w:sz="6" w:space="0" w:color="auto"/>
              <w:bottom w:val="nil"/>
            </w:tcBorders>
            <w:shd w:val="clear" w:color="auto" w:fill="auto"/>
          </w:tcPr>
          <w:p w14:paraId="3FB9727D" w14:textId="77777777" w:rsidR="00D95EC3" w:rsidRDefault="00D95EC3" w:rsidP="00D95EC3">
            <w:pPr>
              <w:pStyle w:val="IATableLabel"/>
              <w:tabs>
                <w:tab w:val="left" w:pos="7655"/>
              </w:tabs>
            </w:pPr>
            <w:r w:rsidRPr="005B3CFD">
              <w:rPr>
                <w:rStyle w:val="IAPOQ5Char"/>
              </w:rPr>
              <w:t>Key assumptions/sensitivities/risks</w:t>
            </w:r>
            <w:r>
              <w:tab/>
              <w:t>Discount rate (%)</w:t>
            </w:r>
          </w:p>
          <w:p w14:paraId="4869FF8C" w14:textId="77777777" w:rsidR="00D95EC3" w:rsidRPr="00455895" w:rsidRDefault="00D95EC3" w:rsidP="00D95EC3">
            <w:pPr>
              <w:pStyle w:val="IATableLabel"/>
            </w:pPr>
          </w:p>
        </w:tc>
        <w:tc>
          <w:tcPr>
            <w:tcW w:w="860" w:type="dxa"/>
            <w:tcBorders>
              <w:top w:val="single" w:sz="6" w:space="0" w:color="auto"/>
              <w:bottom w:val="single" w:sz="4" w:space="0" w:color="auto"/>
            </w:tcBorders>
            <w:shd w:val="clear" w:color="auto" w:fill="auto"/>
          </w:tcPr>
          <w:p w14:paraId="257D8B68" w14:textId="77777777" w:rsidR="00D95EC3" w:rsidRPr="005B3CFD" w:rsidRDefault="00D95EC3" w:rsidP="00D95EC3">
            <w:pPr>
              <w:pStyle w:val="IAPODisRate"/>
              <w:ind w:left="113"/>
              <w:jc w:val="left"/>
              <w:rPr>
                <w:b/>
              </w:rPr>
            </w:pPr>
            <w:r w:rsidRPr="005B3CFD">
              <w:rPr>
                <w:b/>
              </w:rPr>
              <w:fldChar w:fldCharType="begin">
                <w:ffData>
                  <w:name w:val=""/>
                  <w:enabled/>
                  <w:calcOnExit w:val="0"/>
                  <w:textInput>
                    <w:maxLength w:val="5"/>
                  </w:textInput>
                </w:ffData>
              </w:fldChar>
            </w:r>
            <w:r w:rsidRPr="005B3CFD">
              <w:rPr>
                <w:b/>
              </w:rPr>
              <w:instrText xml:space="preserve"> FORMTEXT </w:instrText>
            </w:r>
            <w:r w:rsidRPr="005B3CFD">
              <w:rPr>
                <w:b/>
              </w:rPr>
            </w:r>
            <w:r w:rsidRPr="005B3CFD">
              <w:rPr>
                <w:b/>
              </w:rPr>
              <w:fldChar w:fldCharType="separate"/>
            </w:r>
            <w:r>
              <w:rPr>
                <w:b/>
                <w:noProof/>
              </w:rPr>
              <w:t>3.5</w:t>
            </w:r>
            <w:r w:rsidRPr="005B3CFD">
              <w:rPr>
                <w:b/>
              </w:rPr>
              <w:fldChar w:fldCharType="end"/>
            </w:r>
          </w:p>
        </w:tc>
      </w:tr>
      <w:tr w:rsidR="00D95EC3" w:rsidRPr="00AC2EE9" w14:paraId="0713CF6D" w14:textId="77777777" w:rsidTr="007C6B02">
        <w:trPr>
          <w:trHeight w:hRule="exact" w:val="1626"/>
        </w:trPr>
        <w:tc>
          <w:tcPr>
            <w:tcW w:w="10235" w:type="dxa"/>
            <w:gridSpan w:val="6"/>
            <w:tcBorders>
              <w:top w:val="nil"/>
              <w:bottom w:val="single" w:sz="12" w:space="0" w:color="auto"/>
            </w:tcBorders>
            <w:shd w:val="clear" w:color="auto" w:fill="auto"/>
          </w:tcPr>
          <w:p w14:paraId="55003067" w14:textId="77777777" w:rsidR="003C675B" w:rsidRDefault="003C675B" w:rsidP="003C675B">
            <w:pPr>
              <w:pStyle w:val="IAPOA5"/>
            </w:pPr>
            <w:r>
              <w:fldChar w:fldCharType="begin">
                <w:ffData>
                  <w:name w:val=""/>
                  <w:enabled/>
                  <w:calcOnExit w:val="0"/>
                  <w:textInput>
                    <w:default w:val="Maximum of 5 lines"/>
                    <w:maxLength w:val="500"/>
                  </w:textInput>
                </w:ffData>
              </w:fldChar>
            </w:r>
            <w:r>
              <w:instrText xml:space="preserve"> FORMTEXT </w:instrText>
            </w:r>
            <w:r>
              <w:fldChar w:fldCharType="separate"/>
            </w:r>
            <w:r>
              <w:t>1.</w:t>
            </w:r>
            <w:r>
              <w:tab/>
              <w:t xml:space="preserve">Appeals restricted to human rights appeals. </w:t>
            </w:r>
          </w:p>
          <w:p w14:paraId="034DCC11" w14:textId="1E40C0AB" w:rsidR="003C675B" w:rsidRDefault="003C675B" w:rsidP="003C675B">
            <w:pPr>
              <w:pStyle w:val="IAPOA5"/>
            </w:pPr>
            <w:r>
              <w:t>2.</w:t>
            </w:r>
            <w:r>
              <w:tab/>
              <w:t>Time savings</w:t>
            </w:r>
            <w:r w:rsidR="00F73F3B">
              <w:t xml:space="preserve"> currently</w:t>
            </w:r>
            <w:r>
              <w:t xml:space="preserve"> based only on one group [HMCTS] – judiciary reading/writing time.</w:t>
            </w:r>
          </w:p>
          <w:p w14:paraId="5A9A6A30" w14:textId="77777777" w:rsidR="003C675B" w:rsidRDefault="003C675B" w:rsidP="003C675B">
            <w:pPr>
              <w:pStyle w:val="IAPOA5"/>
            </w:pPr>
            <w:r>
              <w:t>3.</w:t>
            </w:r>
            <w:r>
              <w:tab/>
              <w:t>Administrative review fees set on a cost recovery basis</w:t>
            </w:r>
          </w:p>
          <w:p w14:paraId="70E88E40" w14:textId="77777777" w:rsidR="003C675B" w:rsidRDefault="003C675B" w:rsidP="003C675B">
            <w:pPr>
              <w:pStyle w:val="IAPOA5"/>
            </w:pPr>
            <w:r>
              <w:t>4.</w:t>
            </w:r>
            <w:r>
              <w:tab/>
              <w:t>Uncertainty as to numbers of administrative reviews and judicial reviews in the system from 2019          onward due to the large anticipated volume of EU national applications</w:t>
            </w:r>
          </w:p>
          <w:p w14:paraId="7E9A78A8" w14:textId="06848821" w:rsidR="00D95EC3" w:rsidRPr="00544292" w:rsidRDefault="003C675B" w:rsidP="007C6B02">
            <w:pPr>
              <w:pStyle w:val="IAPOA5"/>
              <w:spacing w:before="50" w:after="50"/>
            </w:pPr>
            <w:r>
              <w:fldChar w:fldCharType="end"/>
            </w:r>
          </w:p>
        </w:tc>
      </w:tr>
    </w:tbl>
    <w:p w14:paraId="1E094EF5" w14:textId="77777777" w:rsidR="00D95EC3" w:rsidRDefault="00D95EC3" w:rsidP="00D95EC3">
      <w:pPr>
        <w:pStyle w:val="IASpacer"/>
      </w:pPr>
    </w:p>
    <w:p w14:paraId="6626D5FB" w14:textId="0364AD37" w:rsidR="00D95EC3" w:rsidRDefault="00D95EC3" w:rsidP="00D95EC3">
      <w:pPr>
        <w:pStyle w:val="IAHeadLabel"/>
        <w:spacing w:before="50"/>
      </w:pPr>
      <w:r>
        <w:t xml:space="preserve">BUSINESS ASSESSMENT (Option </w:t>
      </w:r>
      <w:r w:rsidR="00765259">
        <w:fldChar w:fldCharType="begin"/>
      </w:r>
      <w:r w:rsidR="00765259">
        <w:instrText xml:space="preserve"> SEQ BA </w:instrText>
      </w:r>
      <w:r w:rsidR="00765259">
        <w:fldChar w:fldCharType="separate"/>
      </w:r>
      <w:r w:rsidR="00505584">
        <w:rPr>
          <w:noProof/>
        </w:rPr>
        <w:t>2</w:t>
      </w:r>
      <w:r w:rsidR="00765259">
        <w:rPr>
          <w:noProof/>
        </w:rPr>
        <w:fldChar w:fldCharType="end"/>
      </w:r>
      <w:r>
        <w:t>)</w:t>
      </w:r>
    </w:p>
    <w:tbl>
      <w:tblPr>
        <w:tblW w:w="5000" w:type="pct"/>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844"/>
        <w:gridCol w:w="1839"/>
        <w:gridCol w:w="1698"/>
        <w:gridCol w:w="4814"/>
      </w:tblGrid>
      <w:tr w:rsidR="00D95EC3" w:rsidRPr="00AC2EE9" w14:paraId="373E0033" w14:textId="77777777" w:rsidTr="00D95EC3">
        <w:trPr>
          <w:trHeight w:hRule="exact" w:val="384"/>
        </w:trPr>
        <w:tc>
          <w:tcPr>
            <w:tcW w:w="5392" w:type="dxa"/>
            <w:gridSpan w:val="3"/>
            <w:tcBorders>
              <w:top w:val="single" w:sz="4" w:space="0" w:color="auto"/>
              <w:bottom w:val="nil"/>
              <w:right w:val="single" w:sz="4" w:space="0" w:color="auto"/>
            </w:tcBorders>
          </w:tcPr>
          <w:p w14:paraId="7AEBFB3C" w14:textId="77777777" w:rsidR="00D95EC3" w:rsidRPr="000E02BE" w:rsidRDefault="00D95EC3" w:rsidP="00D95EC3">
            <w:pPr>
              <w:pStyle w:val="IATableLabel"/>
            </w:pPr>
            <w:r w:rsidRPr="000E02BE">
              <w:t xml:space="preserve">Direct impact on </w:t>
            </w:r>
            <w:r>
              <w:t>business (Equivalent Annual) £m</w:t>
            </w:r>
            <w:r w:rsidRPr="000E02BE">
              <w:t xml:space="preserve">: </w:t>
            </w:r>
          </w:p>
        </w:tc>
        <w:tc>
          <w:tcPr>
            <w:tcW w:w="4823" w:type="dxa"/>
            <w:vMerge w:val="restart"/>
            <w:tcBorders>
              <w:top w:val="single" w:sz="4" w:space="0" w:color="auto"/>
              <w:left w:val="single" w:sz="4" w:space="0" w:color="auto"/>
              <w:right w:val="single" w:sz="4" w:space="0" w:color="auto"/>
            </w:tcBorders>
          </w:tcPr>
          <w:p w14:paraId="4A123311" w14:textId="77777777" w:rsidR="00D95EC3" w:rsidRPr="000E02BE" w:rsidRDefault="00D95EC3" w:rsidP="00D95EC3">
            <w:pPr>
              <w:pStyle w:val="IATableLabel"/>
            </w:pPr>
            <w:r>
              <w:t>Score for Business Impact Target (qualifying provisions only) £m:</w:t>
            </w:r>
          </w:p>
        </w:tc>
      </w:tr>
      <w:tr w:rsidR="00D95EC3" w:rsidRPr="00AC2EE9" w14:paraId="7EBA39C1" w14:textId="77777777" w:rsidTr="00D95EC3">
        <w:trPr>
          <w:trHeight w:hRule="exact" w:val="340"/>
        </w:trPr>
        <w:tc>
          <w:tcPr>
            <w:tcW w:w="1848" w:type="dxa"/>
            <w:vMerge w:val="restart"/>
            <w:tcBorders>
              <w:top w:val="nil"/>
              <w:right w:val="single" w:sz="4" w:space="0" w:color="auto"/>
            </w:tcBorders>
            <w:shd w:val="clear" w:color="auto" w:fill="FFFFFF"/>
          </w:tcPr>
          <w:p w14:paraId="609A6304" w14:textId="77777777" w:rsidR="00D95EC3" w:rsidRPr="00F63895" w:rsidRDefault="00D95EC3" w:rsidP="00D95EC3">
            <w:pPr>
              <w:pStyle w:val="IATableLabel"/>
            </w:pPr>
            <w:r w:rsidRPr="00F63895">
              <w:t xml:space="preserve">Costs: </w:t>
            </w:r>
            <w:bookmarkStart w:id="40" w:name="Text67"/>
            <w:r w:rsidRPr="00F63895">
              <w:rPr>
                <w:rStyle w:val="IAPODICostChar"/>
              </w:rPr>
              <w:fldChar w:fldCharType="begin">
                <w:ffData>
                  <w:name w:val="Text67"/>
                  <w:enabled/>
                  <w:calcOnExit w:val="0"/>
                  <w:textInput>
                    <w:maxLength w:val="9"/>
                  </w:textInput>
                </w:ffData>
              </w:fldChar>
            </w:r>
            <w:r w:rsidRPr="00F63895">
              <w:rPr>
                <w:rStyle w:val="IAPODICostChar"/>
              </w:rPr>
              <w:instrText xml:space="preserve"> FORMTEXT </w:instrText>
            </w:r>
            <w:r w:rsidRPr="00F63895">
              <w:rPr>
                <w:rStyle w:val="IAPODICostChar"/>
              </w:rPr>
            </w:r>
            <w:r w:rsidRPr="00F63895">
              <w:rPr>
                <w:rStyle w:val="IAPODICostChar"/>
              </w:rPr>
              <w:fldChar w:fldCharType="separate"/>
            </w:r>
            <w:r>
              <w:rPr>
                <w:rStyle w:val="IAPODICostChar"/>
                <w:noProof/>
              </w:rPr>
              <w:t> </w:t>
            </w:r>
            <w:r>
              <w:rPr>
                <w:rStyle w:val="IAPODICostChar"/>
                <w:noProof/>
              </w:rPr>
              <w:t> </w:t>
            </w:r>
            <w:r>
              <w:rPr>
                <w:rStyle w:val="IAPODICostChar"/>
                <w:noProof/>
              </w:rPr>
              <w:t> </w:t>
            </w:r>
            <w:r>
              <w:rPr>
                <w:rStyle w:val="IAPODICostChar"/>
                <w:noProof/>
              </w:rPr>
              <w:t> </w:t>
            </w:r>
            <w:r>
              <w:rPr>
                <w:rStyle w:val="IAPODICostChar"/>
                <w:noProof/>
              </w:rPr>
              <w:t> </w:t>
            </w:r>
            <w:r w:rsidRPr="00F63895">
              <w:rPr>
                <w:rStyle w:val="IAPODICostChar"/>
              </w:rPr>
              <w:fldChar w:fldCharType="end"/>
            </w:r>
            <w:bookmarkEnd w:id="40"/>
          </w:p>
        </w:tc>
        <w:tc>
          <w:tcPr>
            <w:tcW w:w="1843" w:type="dxa"/>
            <w:vMerge w:val="restart"/>
            <w:tcBorders>
              <w:top w:val="nil"/>
              <w:right w:val="single" w:sz="4" w:space="0" w:color="auto"/>
            </w:tcBorders>
            <w:shd w:val="clear" w:color="auto" w:fill="FFFFFF"/>
          </w:tcPr>
          <w:p w14:paraId="1DD57D07" w14:textId="77777777" w:rsidR="00D95EC3" w:rsidRPr="00F63895" w:rsidRDefault="00D95EC3" w:rsidP="00D95EC3">
            <w:pPr>
              <w:pStyle w:val="IATableLabel"/>
            </w:pPr>
            <w:r w:rsidRPr="00F63895">
              <w:t xml:space="preserve">Benefits: </w:t>
            </w:r>
            <w:bookmarkStart w:id="41" w:name="Text68"/>
            <w:r w:rsidRPr="00AC2EE9">
              <w:rPr>
                <w:rStyle w:val="IAPODIBenChar"/>
              </w:rPr>
              <w:fldChar w:fldCharType="begin">
                <w:ffData>
                  <w:name w:val="Text68"/>
                  <w:enabled/>
                  <w:calcOnExit w:val="0"/>
                  <w:textInput>
                    <w:maxLength w:val="9"/>
                  </w:textInput>
                </w:ffData>
              </w:fldChar>
            </w:r>
            <w:r w:rsidRPr="00AC2EE9">
              <w:rPr>
                <w:rStyle w:val="IAPODIBenChar"/>
              </w:rPr>
              <w:instrText xml:space="preserve"> FORMTEXT </w:instrText>
            </w:r>
            <w:r w:rsidRPr="00AC2EE9">
              <w:rPr>
                <w:rStyle w:val="IAPODIBenChar"/>
              </w:rPr>
            </w:r>
            <w:r w:rsidRPr="00AC2EE9">
              <w:rPr>
                <w:rStyle w:val="IAPODIBenChar"/>
              </w:rPr>
              <w:fldChar w:fldCharType="separate"/>
            </w:r>
            <w:r>
              <w:rPr>
                <w:rStyle w:val="IAPODIBenChar"/>
                <w:noProof/>
              </w:rPr>
              <w:t> </w:t>
            </w:r>
            <w:r>
              <w:rPr>
                <w:rStyle w:val="IAPODIBenChar"/>
                <w:noProof/>
              </w:rPr>
              <w:t> </w:t>
            </w:r>
            <w:r>
              <w:rPr>
                <w:rStyle w:val="IAPODIBenChar"/>
                <w:noProof/>
              </w:rPr>
              <w:t> </w:t>
            </w:r>
            <w:r>
              <w:rPr>
                <w:rStyle w:val="IAPODIBenChar"/>
                <w:noProof/>
              </w:rPr>
              <w:t> </w:t>
            </w:r>
            <w:r>
              <w:rPr>
                <w:rStyle w:val="IAPODIBenChar"/>
                <w:noProof/>
              </w:rPr>
              <w:t> </w:t>
            </w:r>
            <w:r w:rsidRPr="00AC2EE9">
              <w:rPr>
                <w:rStyle w:val="IAPODIBenChar"/>
              </w:rPr>
              <w:fldChar w:fldCharType="end"/>
            </w:r>
            <w:bookmarkEnd w:id="41"/>
          </w:p>
        </w:tc>
        <w:tc>
          <w:tcPr>
            <w:tcW w:w="1701" w:type="dxa"/>
            <w:vMerge w:val="restart"/>
            <w:tcBorders>
              <w:top w:val="nil"/>
              <w:right w:val="single" w:sz="4" w:space="0" w:color="auto"/>
            </w:tcBorders>
            <w:shd w:val="clear" w:color="auto" w:fill="FFFFFF"/>
          </w:tcPr>
          <w:p w14:paraId="222A3097" w14:textId="77777777" w:rsidR="00D95EC3" w:rsidRPr="00F63895" w:rsidRDefault="00D95EC3" w:rsidP="00D95EC3">
            <w:pPr>
              <w:pStyle w:val="IATableLabel"/>
            </w:pPr>
            <w:r w:rsidRPr="00F63895">
              <w:t xml:space="preserve">Net: </w:t>
            </w:r>
            <w:bookmarkStart w:id="42" w:name="Text69"/>
            <w:r w:rsidRPr="00AC2EE9">
              <w:rPr>
                <w:rStyle w:val="IAPODINetChar"/>
              </w:rPr>
              <w:fldChar w:fldCharType="begin">
                <w:ffData>
                  <w:name w:val="Text69"/>
                  <w:enabled/>
                  <w:calcOnExit w:val="0"/>
                  <w:textInput>
                    <w:maxLength w:val="9"/>
                  </w:textInput>
                </w:ffData>
              </w:fldChar>
            </w:r>
            <w:r w:rsidRPr="00AC2EE9">
              <w:rPr>
                <w:rStyle w:val="IAPODINetChar"/>
              </w:rPr>
              <w:instrText xml:space="preserve"> FORMTEXT </w:instrText>
            </w:r>
            <w:r w:rsidRPr="00AC2EE9">
              <w:rPr>
                <w:rStyle w:val="IAPODINetChar"/>
              </w:rPr>
            </w:r>
            <w:r w:rsidRPr="00AC2EE9">
              <w:rPr>
                <w:rStyle w:val="IAPODINetChar"/>
              </w:rPr>
              <w:fldChar w:fldCharType="separate"/>
            </w:r>
            <w:r>
              <w:rPr>
                <w:rStyle w:val="IAPODINetChar"/>
                <w:noProof/>
              </w:rPr>
              <w:t> </w:t>
            </w:r>
            <w:r>
              <w:rPr>
                <w:rStyle w:val="IAPODINetChar"/>
                <w:noProof/>
              </w:rPr>
              <w:t> </w:t>
            </w:r>
            <w:r>
              <w:rPr>
                <w:rStyle w:val="IAPODINetChar"/>
                <w:noProof/>
              </w:rPr>
              <w:t> </w:t>
            </w:r>
            <w:r>
              <w:rPr>
                <w:rStyle w:val="IAPODINetChar"/>
                <w:noProof/>
              </w:rPr>
              <w:t> </w:t>
            </w:r>
            <w:r>
              <w:rPr>
                <w:rStyle w:val="IAPODINetChar"/>
                <w:noProof/>
              </w:rPr>
              <w:t> </w:t>
            </w:r>
            <w:r w:rsidRPr="00AC2EE9">
              <w:rPr>
                <w:rStyle w:val="IAPODINetChar"/>
              </w:rPr>
              <w:fldChar w:fldCharType="end"/>
            </w:r>
            <w:bookmarkEnd w:id="42"/>
          </w:p>
        </w:tc>
        <w:tc>
          <w:tcPr>
            <w:tcW w:w="4823" w:type="dxa"/>
            <w:vMerge/>
            <w:tcBorders>
              <w:left w:val="single" w:sz="4" w:space="0" w:color="auto"/>
              <w:bottom w:val="single" w:sz="4" w:space="0" w:color="auto"/>
              <w:right w:val="single" w:sz="4" w:space="0" w:color="auto"/>
            </w:tcBorders>
            <w:shd w:val="clear" w:color="auto" w:fill="FFFFFF"/>
          </w:tcPr>
          <w:p w14:paraId="4796C96D" w14:textId="77777777" w:rsidR="00D95EC3" w:rsidRPr="005B3CFD" w:rsidRDefault="00D95EC3" w:rsidP="00D95EC3">
            <w:pPr>
              <w:pStyle w:val="IAPODIMQ"/>
              <w:jc w:val="right"/>
              <w:rPr>
                <w:b/>
                <w:color w:val="auto"/>
                <w:sz w:val="22"/>
              </w:rPr>
            </w:pPr>
          </w:p>
        </w:tc>
      </w:tr>
      <w:tr w:rsidR="00D95EC3" w:rsidRPr="00AC2EE9" w14:paraId="1A099F41" w14:textId="77777777" w:rsidTr="00D95EC3">
        <w:trPr>
          <w:trHeight w:hRule="exact" w:val="340"/>
        </w:trPr>
        <w:tc>
          <w:tcPr>
            <w:tcW w:w="1848" w:type="dxa"/>
            <w:vMerge/>
            <w:tcBorders>
              <w:bottom w:val="single" w:sz="4" w:space="0" w:color="auto"/>
              <w:right w:val="single" w:sz="4" w:space="0" w:color="auto"/>
            </w:tcBorders>
            <w:shd w:val="clear" w:color="auto" w:fill="FFFFFF"/>
          </w:tcPr>
          <w:p w14:paraId="4946952D" w14:textId="77777777" w:rsidR="00D95EC3" w:rsidRPr="00F63895" w:rsidRDefault="00D95EC3" w:rsidP="00D95EC3">
            <w:pPr>
              <w:pStyle w:val="IATableLabel"/>
            </w:pPr>
          </w:p>
        </w:tc>
        <w:tc>
          <w:tcPr>
            <w:tcW w:w="1843" w:type="dxa"/>
            <w:vMerge/>
            <w:tcBorders>
              <w:bottom w:val="single" w:sz="4" w:space="0" w:color="auto"/>
              <w:right w:val="single" w:sz="4" w:space="0" w:color="auto"/>
            </w:tcBorders>
            <w:shd w:val="clear" w:color="auto" w:fill="FFFFFF"/>
          </w:tcPr>
          <w:p w14:paraId="33D5C720" w14:textId="77777777" w:rsidR="00D95EC3" w:rsidRPr="00F63895" w:rsidRDefault="00D95EC3" w:rsidP="00D95EC3">
            <w:pPr>
              <w:pStyle w:val="IATableLabel"/>
            </w:pPr>
          </w:p>
        </w:tc>
        <w:tc>
          <w:tcPr>
            <w:tcW w:w="1701" w:type="dxa"/>
            <w:vMerge/>
            <w:tcBorders>
              <w:bottom w:val="single" w:sz="4" w:space="0" w:color="auto"/>
              <w:right w:val="single" w:sz="4" w:space="0" w:color="auto"/>
            </w:tcBorders>
            <w:shd w:val="clear" w:color="auto" w:fill="FFFFFF"/>
          </w:tcPr>
          <w:p w14:paraId="2B44E00E" w14:textId="77777777" w:rsidR="00D95EC3" w:rsidRPr="00F63895" w:rsidRDefault="00D95EC3" w:rsidP="00D95EC3">
            <w:pPr>
              <w:pStyle w:val="IATableLabel"/>
            </w:pPr>
          </w:p>
        </w:tc>
        <w:tc>
          <w:tcPr>
            <w:tcW w:w="4823" w:type="dxa"/>
            <w:tcBorders>
              <w:top w:val="nil"/>
              <w:left w:val="single" w:sz="4" w:space="0" w:color="auto"/>
              <w:bottom w:val="single" w:sz="4" w:space="0" w:color="auto"/>
              <w:right w:val="single" w:sz="4" w:space="0" w:color="auto"/>
            </w:tcBorders>
            <w:shd w:val="clear" w:color="auto" w:fill="FFFFFF"/>
          </w:tcPr>
          <w:p w14:paraId="0C54533A" w14:textId="77777777" w:rsidR="00D95EC3" w:rsidRPr="005B3CFD" w:rsidRDefault="00D95EC3" w:rsidP="00D95EC3">
            <w:pPr>
              <w:pStyle w:val="IAPODIMQ"/>
              <w:jc w:val="right"/>
              <w:rPr>
                <w:b/>
                <w:color w:val="auto"/>
                <w:sz w:val="22"/>
              </w:rPr>
            </w:pPr>
          </w:p>
        </w:tc>
      </w:tr>
    </w:tbl>
    <w:p w14:paraId="7E2F4984" w14:textId="77777777" w:rsidR="00D95EC3" w:rsidRDefault="00D95EC3" w:rsidP="00D95EC3">
      <w:pPr>
        <w:sectPr w:rsidR="00D95EC3" w:rsidSect="00D95EC3">
          <w:footnotePr>
            <w:numRestart w:val="eachSect"/>
          </w:footnotePr>
          <w:pgSz w:w="11907" w:h="16840" w:code="9"/>
          <w:pgMar w:top="680" w:right="851" w:bottom="680" w:left="851" w:header="284" w:footer="284" w:gutter="0"/>
          <w:cols w:space="708"/>
          <w:docGrid w:linePitch="360"/>
        </w:sectPr>
      </w:pPr>
    </w:p>
    <w:bookmarkEnd w:id="38"/>
    <w:p w14:paraId="77244309" w14:textId="77777777" w:rsidR="00D95EC3" w:rsidRPr="00D95EC3" w:rsidRDefault="00D95EC3" w:rsidP="00D95EC3">
      <w:pPr>
        <w:keepNext/>
        <w:tabs>
          <w:tab w:val="right" w:pos="10206"/>
        </w:tabs>
        <w:spacing w:after="60"/>
        <w:jc w:val="center"/>
        <w:outlineLvl w:val="0"/>
        <w:rPr>
          <w:rFonts w:ascii="Arial Bold" w:hAnsi="Arial Bold" w:cs="Arial"/>
          <w:b/>
          <w:bCs/>
          <w:spacing w:val="-4"/>
          <w:kern w:val="32"/>
          <w:sz w:val="32"/>
          <w:szCs w:val="32"/>
        </w:rPr>
      </w:pPr>
      <w:r w:rsidRPr="00D95EC3">
        <w:rPr>
          <w:rFonts w:ascii="Arial Bold" w:hAnsi="Arial Bold" w:cs="Arial"/>
          <w:b/>
          <w:bCs/>
          <w:spacing w:val="-4"/>
          <w:kern w:val="32"/>
          <w:sz w:val="32"/>
          <w:szCs w:val="32"/>
        </w:rPr>
        <w:lastRenderedPageBreak/>
        <w:t xml:space="preserve">Evidence Base </w:t>
      </w:r>
    </w:p>
    <w:p w14:paraId="452CBAA9" w14:textId="77777777" w:rsidR="00D95EC3" w:rsidRPr="00D95EC3" w:rsidRDefault="00D95EC3" w:rsidP="00D95EC3"/>
    <w:p w14:paraId="6001D21D" w14:textId="77777777" w:rsidR="00D95EC3" w:rsidRPr="00D95EC3" w:rsidRDefault="00D95EC3" w:rsidP="00A92BFF">
      <w:pPr>
        <w:numPr>
          <w:ilvl w:val="0"/>
          <w:numId w:val="8"/>
        </w:numPr>
        <w:spacing w:after="120"/>
        <w:rPr>
          <w:rFonts w:cs="Arial"/>
          <w:b/>
          <w:bCs/>
          <w:color w:val="000000"/>
          <w:sz w:val="22"/>
          <w:szCs w:val="22"/>
          <w:lang w:eastAsia="en-GB"/>
        </w:rPr>
      </w:pPr>
      <w:r w:rsidRPr="00D95EC3">
        <w:rPr>
          <w:rFonts w:cs="Arial"/>
          <w:b/>
          <w:bCs/>
          <w:color w:val="000000"/>
          <w:lang w:eastAsia="en-GB"/>
        </w:rPr>
        <w:t>Introduction</w:t>
      </w:r>
      <w:r w:rsidRPr="00D95EC3">
        <w:rPr>
          <w:rFonts w:cs="Arial"/>
          <w:b/>
          <w:bCs/>
          <w:color w:val="000000"/>
          <w:sz w:val="28"/>
          <w:szCs w:val="28"/>
          <w:lang w:eastAsia="en-GB"/>
        </w:rPr>
        <w:t xml:space="preserve"> </w:t>
      </w:r>
      <w:r w:rsidRPr="00D95EC3">
        <w:rPr>
          <w:rFonts w:cs="Arial"/>
          <w:b/>
          <w:bCs/>
          <w:color w:val="000000"/>
          <w:sz w:val="22"/>
          <w:szCs w:val="22"/>
          <w:lang w:eastAsia="en-GB"/>
        </w:rPr>
        <w:t xml:space="preserve"> </w:t>
      </w:r>
      <w:bookmarkStart w:id="43" w:name="_Hlk508031808"/>
    </w:p>
    <w:p w14:paraId="40E691E1" w14:textId="77777777" w:rsidR="00D95EC3" w:rsidRPr="00D95EC3" w:rsidRDefault="00D95EC3" w:rsidP="00D95EC3">
      <w:pPr>
        <w:spacing w:after="120"/>
        <w:ind w:left="567"/>
        <w:rPr>
          <w:rFonts w:cs="Arial"/>
          <w:bCs/>
          <w:color w:val="000000"/>
          <w:sz w:val="22"/>
          <w:szCs w:val="22"/>
          <w:lang w:eastAsia="en-GB"/>
        </w:rPr>
      </w:pPr>
      <w:r w:rsidRPr="00D95EC3">
        <w:rPr>
          <w:rFonts w:cs="Arial"/>
          <w:bCs/>
          <w:color w:val="000000"/>
          <w:sz w:val="22"/>
          <w:szCs w:val="22"/>
          <w:lang w:eastAsia="en-GB"/>
        </w:rPr>
        <w:t>The Immigration Rules are made by the Secretary of State and inform who can lawfully enter and remain in the UK. The Rules cover a wide range of applicants including visitors, students, workers, family members, the armed forces and those applying for asylum.</w:t>
      </w:r>
    </w:p>
    <w:p w14:paraId="68773B6E" w14:textId="77777777" w:rsidR="00D95EC3" w:rsidRPr="00D95EC3" w:rsidRDefault="00D95EC3" w:rsidP="00D95EC3">
      <w:pPr>
        <w:spacing w:after="240" w:line="264" w:lineRule="auto"/>
        <w:ind w:left="567"/>
        <w:rPr>
          <w:rFonts w:eastAsia="Calibri" w:cs="Arial"/>
          <w:sz w:val="22"/>
          <w:szCs w:val="22"/>
          <w:lang w:bidi="he-IL"/>
        </w:rPr>
      </w:pPr>
      <w:r w:rsidRPr="00D95EC3">
        <w:rPr>
          <w:rFonts w:eastAsia="Calibri" w:cs="Arial"/>
          <w:sz w:val="22"/>
          <w:szCs w:val="22"/>
          <w:lang w:bidi="he-IL"/>
        </w:rPr>
        <w:t>The Law Society, the Bar Council and the Immigration Law Practitioners’ Association made submissions relating to immigration and asylum law to our 13th programme of law reform consultation. The submissions suggested two strands of work to be investigated: consolidation of statute and simplification of the Rules. Following negotiations with the Home Office, the remit of the project was narrowed to focus on the simplification of the Rules. The project forms part of the 13th programme of law reform.</w:t>
      </w:r>
    </w:p>
    <w:p w14:paraId="412FCADF" w14:textId="77777777" w:rsidR="00D95EC3" w:rsidRPr="00D95EC3" w:rsidRDefault="00D95EC3" w:rsidP="00D95EC3">
      <w:pPr>
        <w:spacing w:after="240" w:line="264" w:lineRule="auto"/>
        <w:ind w:left="567"/>
        <w:rPr>
          <w:rFonts w:eastAsia="Calibri" w:cs="Arial"/>
          <w:sz w:val="22"/>
          <w:szCs w:val="22"/>
          <w:lang w:bidi="he-IL"/>
        </w:rPr>
      </w:pPr>
      <w:r w:rsidRPr="00D95EC3">
        <w:rPr>
          <w:rFonts w:eastAsia="Calibri" w:cs="Arial"/>
          <w:sz w:val="22"/>
          <w:szCs w:val="22"/>
          <w:lang w:bidi="he-IL"/>
        </w:rPr>
        <w:t>The drafting of the Rules has been criticised by senior judges. Lord Justice Jackson said the Rules "have now achieved a degree of complexity which even the Byzantine Emperors would have envied”. This complexity has contributed to the sizeable number of judicial reviews. During 2016 to 2017, 12,490 immigration judicial reviews were referred for an initial paper permission decision, of which 35% proceeded to an oral hearing. The financial implication was evidenced through the budget deficit for litigation of £7.58million.</w:t>
      </w:r>
      <w:r w:rsidRPr="00D95EC3">
        <w:rPr>
          <w:rFonts w:eastAsia="Calibri" w:cs="Arial"/>
          <w:sz w:val="22"/>
          <w:szCs w:val="22"/>
          <w:vertAlign w:val="superscript"/>
          <w:lang w:bidi="he-IL"/>
        </w:rPr>
        <w:footnoteReference w:id="2"/>
      </w:r>
      <w:r w:rsidRPr="00D95EC3">
        <w:rPr>
          <w:rFonts w:eastAsia="Calibri" w:cs="Arial"/>
          <w:sz w:val="22"/>
          <w:szCs w:val="22"/>
          <w:lang w:bidi="he-IL"/>
        </w:rPr>
        <w:t xml:space="preserve"> Immigration law regularly accounts for more than 80% of judicial reviews, making approximately 16,000 per year. A percentage of these may be wholly or in part caused by ambiguity in the Rules.</w:t>
      </w:r>
    </w:p>
    <w:p w14:paraId="618693AB" w14:textId="77777777" w:rsidR="00D95EC3" w:rsidRPr="00D95EC3" w:rsidRDefault="00D95EC3" w:rsidP="00D95EC3">
      <w:pPr>
        <w:spacing w:after="240" w:line="264" w:lineRule="auto"/>
        <w:ind w:left="567"/>
        <w:rPr>
          <w:rFonts w:eastAsia="Calibri" w:cs="Arial"/>
          <w:sz w:val="22"/>
          <w:szCs w:val="22"/>
          <w:lang w:bidi="he-IL"/>
        </w:rPr>
      </w:pPr>
      <w:r w:rsidRPr="00D95EC3">
        <w:rPr>
          <w:rFonts w:eastAsia="Calibri" w:cs="Arial"/>
          <w:sz w:val="22"/>
          <w:szCs w:val="22"/>
          <w:lang w:bidi="he-IL"/>
        </w:rPr>
        <w:t>Success rates on appeals to the First-Tier Tribunal, where available, are high. In the period January to March 2018, half of the 11 865 cases determined by the First-Tier Tribunal (Immigration and Asylum Chamber) were allowed. In the same period in 2017, 42% were allowed.</w:t>
      </w:r>
      <w:r w:rsidRPr="00D95EC3">
        <w:rPr>
          <w:rFonts w:eastAsia="Calibri" w:cs="Arial"/>
          <w:sz w:val="22"/>
          <w:szCs w:val="22"/>
          <w:vertAlign w:val="superscript"/>
          <w:lang w:bidi="he-IL"/>
        </w:rPr>
        <w:footnoteReference w:id="3"/>
      </w:r>
    </w:p>
    <w:p w14:paraId="02DBEBFB" w14:textId="2BF7DCB2" w:rsidR="00D95EC3" w:rsidRPr="00D95EC3" w:rsidRDefault="00D95EC3" w:rsidP="00D95EC3">
      <w:pPr>
        <w:spacing w:after="240" w:line="264" w:lineRule="auto"/>
        <w:ind w:left="567"/>
        <w:rPr>
          <w:rFonts w:eastAsia="Calibri" w:cs="Arial"/>
          <w:sz w:val="22"/>
          <w:szCs w:val="22"/>
          <w:lang w:bidi="he-IL"/>
        </w:rPr>
      </w:pPr>
      <w:r w:rsidRPr="00D95EC3">
        <w:rPr>
          <w:rFonts w:eastAsia="Calibri" w:cs="Arial"/>
          <w:sz w:val="22"/>
          <w:szCs w:val="22"/>
          <w:lang w:bidi="he-IL"/>
        </w:rPr>
        <w:t>The overall purpose of the project is to review the Immigration Rules to identify principles under which they can be redrafted to make them simpler and more accessible to the user, and for that clarity to be maintained in the years to come. The project seek</w:t>
      </w:r>
      <w:r w:rsidR="00DC53FC">
        <w:rPr>
          <w:rFonts w:eastAsia="Calibri" w:cs="Arial"/>
          <w:sz w:val="22"/>
          <w:szCs w:val="22"/>
          <w:lang w:bidi="he-IL"/>
        </w:rPr>
        <w:t>s</w:t>
      </w:r>
      <w:r w:rsidRPr="00D95EC3">
        <w:rPr>
          <w:rFonts w:eastAsia="Calibri" w:cs="Arial"/>
          <w:sz w:val="22"/>
          <w:szCs w:val="22"/>
          <w:lang w:bidi="he-IL"/>
        </w:rPr>
        <w:t xml:space="preserve"> to identify the underlying causes of excessive length and complexity in the Rules, and make recommendations to improve them for </w:t>
      </w:r>
      <w:bookmarkStart w:id="44" w:name="_Hlk508033391"/>
      <w:r w:rsidRPr="00D95EC3">
        <w:rPr>
          <w:rFonts w:eastAsia="Calibri" w:cs="Arial"/>
          <w:sz w:val="22"/>
          <w:szCs w:val="22"/>
          <w:lang w:bidi="he-IL"/>
        </w:rPr>
        <w:t>the future.</w:t>
      </w:r>
    </w:p>
    <w:bookmarkEnd w:id="43"/>
    <w:p w14:paraId="49F89C07" w14:textId="63245425" w:rsidR="00D95EC3" w:rsidRPr="00D95EC3" w:rsidRDefault="00D95EC3" w:rsidP="00D95EC3">
      <w:pPr>
        <w:spacing w:after="240" w:line="264" w:lineRule="auto"/>
        <w:ind w:left="567"/>
        <w:rPr>
          <w:rFonts w:eastAsia="Calibri" w:cs="Arial"/>
          <w:sz w:val="22"/>
          <w:szCs w:val="22"/>
          <w:lang w:bidi="he-IL"/>
        </w:rPr>
      </w:pPr>
      <w:r w:rsidRPr="00D95EC3">
        <w:rPr>
          <w:rFonts w:eastAsia="Calibri" w:cs="Arial"/>
          <w:sz w:val="22"/>
          <w:szCs w:val="22"/>
          <w:lang w:bidi="he-IL"/>
        </w:rPr>
        <w:t xml:space="preserve">The project includes consideration of the structure and drafting of the Rules, the timing and frequency of amendments to the Rules, the division of material between Rules and guidance and the way in which the Rules </w:t>
      </w:r>
      <w:r w:rsidR="00DC53FC">
        <w:rPr>
          <w:rFonts w:eastAsia="Calibri" w:cs="Arial"/>
          <w:sz w:val="22"/>
          <w:szCs w:val="22"/>
          <w:lang w:bidi="he-IL"/>
        </w:rPr>
        <w:t>are published. The review does</w:t>
      </w:r>
      <w:r w:rsidRPr="00D95EC3">
        <w:rPr>
          <w:rFonts w:eastAsia="Calibri" w:cs="Arial"/>
          <w:sz w:val="22"/>
          <w:szCs w:val="22"/>
          <w:lang w:bidi="he-IL"/>
        </w:rPr>
        <w:t xml:space="preserve"> not consider substantive immigration policy or changes to the underpinning statutory scheme.</w:t>
      </w:r>
    </w:p>
    <w:bookmarkEnd w:id="44"/>
    <w:p w14:paraId="618699F3" w14:textId="77777777" w:rsidR="00D95EC3" w:rsidRPr="00D95EC3" w:rsidRDefault="00D95EC3" w:rsidP="00D95EC3">
      <w:pPr>
        <w:spacing w:after="120"/>
        <w:ind w:firstLine="567"/>
        <w:rPr>
          <w:rFonts w:cs="Arial"/>
          <w:b/>
          <w:bCs/>
          <w:color w:val="000000"/>
          <w:sz w:val="22"/>
          <w:szCs w:val="22"/>
          <w:lang w:eastAsia="en-GB"/>
        </w:rPr>
      </w:pPr>
      <w:r w:rsidRPr="00D95EC3">
        <w:rPr>
          <w:rFonts w:cs="Arial"/>
          <w:b/>
          <w:bCs/>
          <w:color w:val="000000"/>
          <w:sz w:val="22"/>
          <w:szCs w:val="22"/>
          <w:lang w:eastAsia="en-GB"/>
        </w:rPr>
        <w:t xml:space="preserve">2. </w:t>
      </w:r>
      <w:r w:rsidRPr="00D95EC3">
        <w:rPr>
          <w:rFonts w:cs="Arial"/>
          <w:b/>
          <w:bCs/>
          <w:color w:val="000000"/>
          <w:lang w:eastAsia="en-GB"/>
        </w:rPr>
        <w:t>Problem under consideration</w:t>
      </w:r>
      <w:r w:rsidRPr="00D95EC3">
        <w:rPr>
          <w:rFonts w:cs="Arial"/>
          <w:b/>
          <w:bCs/>
          <w:color w:val="000000"/>
          <w:sz w:val="22"/>
          <w:szCs w:val="22"/>
          <w:lang w:eastAsia="en-GB"/>
        </w:rPr>
        <w:t xml:space="preserve"> </w:t>
      </w:r>
    </w:p>
    <w:p w14:paraId="03CCF538" w14:textId="77777777" w:rsidR="00D95EC3" w:rsidRPr="00D95EC3" w:rsidRDefault="00D95EC3" w:rsidP="00A92BFF">
      <w:pPr>
        <w:numPr>
          <w:ilvl w:val="2"/>
          <w:numId w:val="2"/>
        </w:numPr>
        <w:spacing w:after="120"/>
        <w:rPr>
          <w:rFonts w:cs="Arial"/>
          <w:bCs/>
          <w:color w:val="000000"/>
          <w:sz w:val="22"/>
          <w:szCs w:val="22"/>
          <w:u w:val="single"/>
          <w:lang w:eastAsia="en-GB"/>
        </w:rPr>
      </w:pPr>
      <w:r w:rsidRPr="00D95EC3">
        <w:rPr>
          <w:rFonts w:cs="Arial"/>
          <w:bCs/>
          <w:color w:val="000000"/>
          <w:sz w:val="22"/>
          <w:szCs w:val="22"/>
          <w:u w:val="single"/>
          <w:lang w:eastAsia="en-GB"/>
        </w:rPr>
        <w:t>Poorly drafted Rules</w:t>
      </w:r>
    </w:p>
    <w:p w14:paraId="68E81512" w14:textId="58D30101" w:rsidR="00D95EC3" w:rsidRPr="00D95EC3" w:rsidRDefault="00D95EC3" w:rsidP="00D95EC3">
      <w:pPr>
        <w:spacing w:after="120"/>
        <w:ind w:left="1080"/>
        <w:rPr>
          <w:rFonts w:cs="Arial"/>
          <w:bCs/>
          <w:color w:val="000000"/>
          <w:sz w:val="22"/>
          <w:szCs w:val="22"/>
          <w:u w:val="single"/>
          <w:lang w:eastAsia="en-GB"/>
        </w:rPr>
      </w:pPr>
      <w:r w:rsidRPr="00D95EC3">
        <w:rPr>
          <w:rFonts w:cs="Arial"/>
          <w:bCs/>
          <w:color w:val="000000"/>
          <w:sz w:val="22"/>
          <w:szCs w:val="22"/>
          <w:lang w:eastAsia="en-GB"/>
        </w:rPr>
        <w:t>T</w:t>
      </w:r>
      <w:r w:rsidR="00DC53FC">
        <w:rPr>
          <w:rFonts w:cs="Arial"/>
          <w:bCs/>
          <w:color w:val="000000"/>
          <w:sz w:val="22"/>
          <w:szCs w:val="22"/>
          <w:lang w:eastAsia="en-GB"/>
        </w:rPr>
        <w:t xml:space="preserve">he lack of </w:t>
      </w:r>
      <w:r w:rsidRPr="00D95EC3">
        <w:rPr>
          <w:rFonts w:cs="Arial"/>
          <w:bCs/>
          <w:color w:val="000000"/>
          <w:sz w:val="22"/>
          <w:szCs w:val="22"/>
          <w:lang w:eastAsia="en-GB"/>
        </w:rPr>
        <w:t>clear signposting in the Rules mean that applicants often do not submit valid applications or provide the correct documentation. In particular, points-based system applicants must navigate a number of Parts and Appendices to identify which eligibility criteria they must satisfy. Delays may result if further evidence is sought by Home Office caseworkers, or the application may be rejected as invalid or refused outright.</w:t>
      </w:r>
    </w:p>
    <w:p w14:paraId="2A7D486E" w14:textId="77777777" w:rsidR="00D95EC3" w:rsidRPr="00D95EC3" w:rsidRDefault="00D95EC3" w:rsidP="00D95EC3">
      <w:pPr>
        <w:ind w:left="720"/>
        <w:contextualSpacing/>
        <w:rPr>
          <w:u w:val="single"/>
        </w:rPr>
      </w:pPr>
    </w:p>
    <w:p w14:paraId="2350653A" w14:textId="77777777" w:rsidR="00D95EC3" w:rsidRPr="00D95EC3" w:rsidRDefault="00D95EC3" w:rsidP="00A92BFF">
      <w:pPr>
        <w:numPr>
          <w:ilvl w:val="2"/>
          <w:numId w:val="2"/>
        </w:numPr>
        <w:spacing w:after="120"/>
        <w:rPr>
          <w:rFonts w:cs="Arial"/>
          <w:bCs/>
          <w:color w:val="000000"/>
          <w:sz w:val="22"/>
          <w:szCs w:val="22"/>
          <w:u w:val="single"/>
          <w:lang w:eastAsia="en-GB"/>
        </w:rPr>
      </w:pPr>
      <w:r w:rsidRPr="00D95EC3">
        <w:rPr>
          <w:rFonts w:cs="Arial"/>
          <w:bCs/>
          <w:color w:val="000000"/>
          <w:sz w:val="22"/>
          <w:szCs w:val="22"/>
          <w:u w:val="single"/>
          <w:lang w:eastAsia="en-GB"/>
        </w:rPr>
        <w:t>The structure of the Rules</w:t>
      </w:r>
    </w:p>
    <w:p w14:paraId="5E481D90" w14:textId="77777777" w:rsidR="00D95EC3" w:rsidRPr="00D95EC3" w:rsidRDefault="00D95EC3" w:rsidP="00D95EC3">
      <w:pPr>
        <w:spacing w:after="120"/>
        <w:ind w:left="1077"/>
        <w:rPr>
          <w:rFonts w:cs="Arial"/>
          <w:bCs/>
          <w:color w:val="000000"/>
          <w:sz w:val="22"/>
          <w:szCs w:val="22"/>
          <w:lang w:eastAsia="en-GB"/>
        </w:rPr>
      </w:pPr>
      <w:r w:rsidRPr="00D95EC3">
        <w:rPr>
          <w:rFonts w:cs="Arial"/>
          <w:bCs/>
          <w:color w:val="000000"/>
          <w:sz w:val="22"/>
          <w:szCs w:val="22"/>
          <w:lang w:eastAsia="en-GB"/>
        </w:rPr>
        <w:t xml:space="preserve">The Immigration Rules are not structured in a coherent way which can make navigating them challenging. The interaction between the Parts and Appendices is complicated, particularly in </w:t>
      </w:r>
      <w:r w:rsidRPr="00D95EC3">
        <w:rPr>
          <w:rFonts w:cs="Arial"/>
          <w:bCs/>
          <w:color w:val="000000"/>
          <w:sz w:val="22"/>
          <w:szCs w:val="22"/>
          <w:lang w:eastAsia="en-GB"/>
        </w:rPr>
        <w:lastRenderedPageBreak/>
        <w:t>relation to family member applications. This is inefficient for Home Office caseworkers and practitioners.</w:t>
      </w:r>
    </w:p>
    <w:p w14:paraId="0FA2FFB2" w14:textId="77777777" w:rsidR="00D95EC3" w:rsidRPr="00D95EC3" w:rsidRDefault="00D95EC3" w:rsidP="00D95EC3">
      <w:pPr>
        <w:spacing w:after="120"/>
        <w:ind w:left="1077"/>
        <w:rPr>
          <w:rFonts w:cs="Arial"/>
          <w:bCs/>
          <w:color w:val="000000"/>
          <w:sz w:val="22"/>
          <w:szCs w:val="22"/>
          <w:u w:val="single"/>
          <w:lang w:eastAsia="en-GB"/>
        </w:rPr>
      </w:pPr>
    </w:p>
    <w:p w14:paraId="7B381618" w14:textId="77777777" w:rsidR="00D95EC3" w:rsidRPr="00D95EC3" w:rsidRDefault="00D95EC3" w:rsidP="00A92BFF">
      <w:pPr>
        <w:numPr>
          <w:ilvl w:val="2"/>
          <w:numId w:val="2"/>
        </w:numPr>
        <w:spacing w:after="120"/>
        <w:rPr>
          <w:rFonts w:cs="Arial"/>
          <w:bCs/>
          <w:color w:val="000000"/>
          <w:sz w:val="22"/>
          <w:szCs w:val="22"/>
          <w:u w:val="single"/>
          <w:lang w:eastAsia="en-GB"/>
        </w:rPr>
      </w:pPr>
      <w:r w:rsidRPr="00D95EC3">
        <w:rPr>
          <w:rFonts w:cs="Arial"/>
          <w:bCs/>
          <w:color w:val="000000"/>
          <w:sz w:val="22"/>
          <w:szCs w:val="22"/>
          <w:u w:val="single"/>
          <w:lang w:eastAsia="en-GB"/>
        </w:rPr>
        <w:t>Repetition</w:t>
      </w:r>
    </w:p>
    <w:p w14:paraId="31B48D08" w14:textId="50D5E7DF" w:rsidR="00D95EC3" w:rsidRPr="00D95EC3" w:rsidRDefault="00D95EC3" w:rsidP="00D95EC3">
      <w:pPr>
        <w:spacing w:after="120"/>
        <w:ind w:left="1080"/>
        <w:rPr>
          <w:rFonts w:cs="Arial"/>
          <w:bCs/>
          <w:color w:val="000000"/>
          <w:sz w:val="22"/>
          <w:szCs w:val="22"/>
          <w:lang w:eastAsia="en-GB"/>
        </w:rPr>
      </w:pPr>
      <w:r w:rsidRPr="00D95EC3">
        <w:rPr>
          <w:rFonts w:cs="Arial"/>
          <w:bCs/>
          <w:color w:val="000000"/>
          <w:sz w:val="22"/>
          <w:szCs w:val="22"/>
          <w:lang w:eastAsia="en-GB"/>
        </w:rPr>
        <w:t xml:space="preserve">There is considerable repetition </w:t>
      </w:r>
      <w:r w:rsidR="00DC53FC">
        <w:rPr>
          <w:rFonts w:cs="Arial"/>
          <w:bCs/>
          <w:color w:val="000000"/>
          <w:sz w:val="22"/>
          <w:szCs w:val="22"/>
          <w:lang w:eastAsia="en-GB"/>
        </w:rPr>
        <w:t xml:space="preserve">and near-repetition </w:t>
      </w:r>
      <w:r w:rsidRPr="00D95EC3">
        <w:rPr>
          <w:rFonts w:cs="Arial"/>
          <w:bCs/>
          <w:color w:val="000000"/>
          <w:sz w:val="22"/>
          <w:szCs w:val="22"/>
          <w:lang w:eastAsia="en-GB"/>
        </w:rPr>
        <w:t>in the Rules which adds to their length and complexity. For example, duplications between the Part 9 (Grounds for refusal) and Appendix FM (Family members) suitability requ</w:t>
      </w:r>
      <w:r w:rsidR="00DC53FC">
        <w:rPr>
          <w:rFonts w:cs="Arial"/>
          <w:bCs/>
          <w:color w:val="000000"/>
          <w:sz w:val="22"/>
          <w:szCs w:val="22"/>
          <w:lang w:eastAsia="en-GB"/>
        </w:rPr>
        <w:t>irements could be reduced while</w:t>
      </w:r>
      <w:r w:rsidRPr="00D95EC3">
        <w:rPr>
          <w:rFonts w:cs="Arial"/>
          <w:bCs/>
          <w:color w:val="000000"/>
          <w:sz w:val="22"/>
          <w:szCs w:val="22"/>
          <w:lang w:eastAsia="en-GB"/>
        </w:rPr>
        <w:t xml:space="preserve"> not altering Home Office policy. There are repetitions and near repetitions throughout the Rules which may not be necessary.</w:t>
      </w:r>
    </w:p>
    <w:p w14:paraId="76933E8D" w14:textId="77777777" w:rsidR="00D95EC3" w:rsidRPr="00D95EC3" w:rsidRDefault="00D95EC3" w:rsidP="00D95EC3">
      <w:pPr>
        <w:rPr>
          <w:u w:val="single"/>
        </w:rPr>
      </w:pPr>
    </w:p>
    <w:p w14:paraId="09D38E7A" w14:textId="77777777" w:rsidR="00D95EC3" w:rsidRPr="00D95EC3" w:rsidRDefault="00D95EC3" w:rsidP="00A92BFF">
      <w:pPr>
        <w:numPr>
          <w:ilvl w:val="2"/>
          <w:numId w:val="2"/>
        </w:numPr>
        <w:spacing w:after="120"/>
        <w:rPr>
          <w:rFonts w:cs="Arial"/>
          <w:bCs/>
          <w:color w:val="000000"/>
          <w:sz w:val="22"/>
          <w:szCs w:val="22"/>
          <w:u w:val="single"/>
          <w:lang w:eastAsia="en-GB"/>
        </w:rPr>
      </w:pPr>
      <w:r w:rsidRPr="00D95EC3">
        <w:rPr>
          <w:rFonts w:cs="Arial"/>
          <w:bCs/>
          <w:color w:val="000000"/>
          <w:sz w:val="22"/>
          <w:szCs w:val="22"/>
          <w:u w:val="single"/>
          <w:lang w:eastAsia="en-GB"/>
        </w:rPr>
        <w:t>Frequency of amendments to the Rules</w:t>
      </w:r>
    </w:p>
    <w:p w14:paraId="140D9D7D" w14:textId="3B4FB841" w:rsidR="00D95EC3" w:rsidRPr="00D95EC3" w:rsidRDefault="00D95EC3" w:rsidP="00D95EC3">
      <w:pPr>
        <w:spacing w:after="120"/>
        <w:ind w:left="1080"/>
        <w:rPr>
          <w:rFonts w:cs="Arial"/>
          <w:bCs/>
          <w:color w:val="000000"/>
          <w:sz w:val="22"/>
          <w:szCs w:val="22"/>
          <w:lang w:eastAsia="en-GB"/>
        </w:rPr>
      </w:pPr>
      <w:r w:rsidRPr="00D95EC3">
        <w:rPr>
          <w:rFonts w:cs="Arial"/>
          <w:bCs/>
          <w:color w:val="000000"/>
          <w:sz w:val="22"/>
          <w:szCs w:val="22"/>
          <w:lang w:eastAsia="en-GB"/>
        </w:rPr>
        <w:t xml:space="preserve">In 2013 there were 12 sets of changes made to the Rules. </w:t>
      </w:r>
      <w:r w:rsidR="00AC2E9F">
        <w:rPr>
          <w:rFonts w:cs="Arial"/>
          <w:bCs/>
          <w:color w:val="000000"/>
          <w:sz w:val="22"/>
          <w:szCs w:val="22"/>
          <w:lang w:eastAsia="en-GB"/>
        </w:rPr>
        <w:t>Although the f</w:t>
      </w:r>
      <w:r w:rsidR="00DC53FC">
        <w:rPr>
          <w:rFonts w:cs="Arial"/>
          <w:bCs/>
          <w:color w:val="000000"/>
          <w:sz w:val="22"/>
          <w:szCs w:val="22"/>
          <w:lang w:eastAsia="en-GB"/>
        </w:rPr>
        <w:t>requency of changes fell over the following years</w:t>
      </w:r>
      <w:r w:rsidR="00AC2E9F">
        <w:rPr>
          <w:rFonts w:cs="Arial"/>
          <w:bCs/>
          <w:color w:val="000000"/>
          <w:sz w:val="22"/>
          <w:szCs w:val="22"/>
          <w:lang w:eastAsia="en-GB"/>
        </w:rPr>
        <w:t xml:space="preserve">, changes </w:t>
      </w:r>
      <w:r w:rsidRPr="00D95EC3">
        <w:rPr>
          <w:rFonts w:cs="Arial"/>
          <w:bCs/>
          <w:color w:val="000000"/>
          <w:sz w:val="22"/>
          <w:szCs w:val="22"/>
          <w:lang w:eastAsia="en-GB"/>
        </w:rPr>
        <w:t>can lead to complicated transitional arrangements</w:t>
      </w:r>
      <w:r w:rsidR="00AC2E9F">
        <w:rPr>
          <w:rFonts w:cs="Arial"/>
          <w:bCs/>
          <w:color w:val="000000"/>
          <w:sz w:val="22"/>
          <w:szCs w:val="22"/>
          <w:lang w:eastAsia="en-GB"/>
        </w:rPr>
        <w:t>. This</w:t>
      </w:r>
      <w:r w:rsidRPr="00D95EC3">
        <w:rPr>
          <w:rFonts w:cs="Arial"/>
          <w:bCs/>
          <w:color w:val="000000"/>
          <w:sz w:val="22"/>
          <w:szCs w:val="22"/>
          <w:lang w:eastAsia="en-GB"/>
        </w:rPr>
        <w:t xml:space="preserve"> has led to considerable litigation. Cases such as </w:t>
      </w:r>
      <w:r w:rsidRPr="00D95EC3">
        <w:rPr>
          <w:rFonts w:cs="Arial"/>
          <w:bCs/>
          <w:i/>
          <w:color w:val="000000"/>
          <w:sz w:val="22"/>
          <w:szCs w:val="22"/>
          <w:lang w:eastAsia="en-GB"/>
        </w:rPr>
        <w:t>Edgehill v Secretary of State for the Home Department</w:t>
      </w:r>
      <w:r w:rsidRPr="00D95EC3">
        <w:rPr>
          <w:rFonts w:cs="Arial"/>
          <w:bCs/>
          <w:color w:val="000000"/>
          <w:sz w:val="22"/>
          <w:szCs w:val="22"/>
          <w:lang w:eastAsia="en-GB"/>
        </w:rPr>
        <w:t>,</w:t>
      </w:r>
      <w:r w:rsidRPr="00D95EC3">
        <w:rPr>
          <w:rFonts w:cs="Arial"/>
          <w:bCs/>
          <w:color w:val="000000"/>
          <w:sz w:val="22"/>
          <w:szCs w:val="22"/>
          <w:vertAlign w:val="superscript"/>
          <w:lang w:eastAsia="en-GB"/>
        </w:rPr>
        <w:footnoteReference w:id="4"/>
      </w:r>
      <w:r w:rsidRPr="00D95EC3">
        <w:rPr>
          <w:rFonts w:cs="Arial"/>
          <w:bCs/>
          <w:color w:val="000000"/>
          <w:sz w:val="22"/>
          <w:szCs w:val="22"/>
          <w:lang w:eastAsia="en-GB"/>
        </w:rPr>
        <w:t xml:space="preserve"> </w:t>
      </w:r>
      <w:r w:rsidRPr="00D95EC3">
        <w:rPr>
          <w:rFonts w:cs="Arial"/>
          <w:bCs/>
          <w:i/>
          <w:color w:val="000000"/>
          <w:sz w:val="22"/>
          <w:szCs w:val="22"/>
          <w:lang w:eastAsia="en-GB"/>
        </w:rPr>
        <w:t>Haleemudeen v Secretary of State for the Home Department</w:t>
      </w:r>
      <w:r w:rsidRPr="00D95EC3">
        <w:rPr>
          <w:rFonts w:cs="Arial"/>
          <w:bCs/>
          <w:color w:val="000000"/>
          <w:sz w:val="22"/>
          <w:szCs w:val="22"/>
          <w:vertAlign w:val="superscript"/>
          <w:lang w:eastAsia="en-GB"/>
        </w:rPr>
        <w:footnoteReference w:id="5"/>
      </w:r>
      <w:r w:rsidRPr="00D95EC3">
        <w:rPr>
          <w:rFonts w:cs="Arial"/>
          <w:bCs/>
          <w:color w:val="000000"/>
          <w:sz w:val="22"/>
          <w:szCs w:val="22"/>
          <w:lang w:eastAsia="en-GB"/>
        </w:rPr>
        <w:t xml:space="preserve"> and </w:t>
      </w:r>
      <w:r w:rsidRPr="00D95EC3">
        <w:rPr>
          <w:rFonts w:cs="Arial"/>
          <w:bCs/>
          <w:i/>
          <w:color w:val="000000"/>
          <w:sz w:val="22"/>
          <w:szCs w:val="22"/>
          <w:lang w:eastAsia="en-GB"/>
        </w:rPr>
        <w:t>Singh v Secretary of State for the Home Department</w:t>
      </w:r>
      <w:r w:rsidRPr="00D95EC3">
        <w:rPr>
          <w:rFonts w:cs="Arial"/>
          <w:bCs/>
          <w:color w:val="000000"/>
          <w:sz w:val="22"/>
          <w:szCs w:val="22"/>
          <w:vertAlign w:val="superscript"/>
          <w:lang w:eastAsia="en-GB"/>
        </w:rPr>
        <w:footnoteReference w:id="6"/>
      </w:r>
      <w:r w:rsidRPr="00D95EC3">
        <w:rPr>
          <w:rFonts w:cs="Arial"/>
          <w:bCs/>
          <w:i/>
          <w:color w:val="000000"/>
          <w:sz w:val="22"/>
          <w:szCs w:val="22"/>
          <w:lang w:eastAsia="en-GB"/>
        </w:rPr>
        <w:t xml:space="preserve"> </w:t>
      </w:r>
      <w:r w:rsidRPr="00D95EC3">
        <w:rPr>
          <w:rFonts w:cs="Arial"/>
          <w:bCs/>
          <w:color w:val="000000"/>
          <w:sz w:val="22"/>
          <w:szCs w:val="22"/>
          <w:lang w:eastAsia="en-GB"/>
        </w:rPr>
        <w:t xml:space="preserve">illustrate problems which are caused by frequent updates to the Rules. </w:t>
      </w:r>
    </w:p>
    <w:p w14:paraId="695F7C9B" w14:textId="77777777" w:rsidR="00D95EC3" w:rsidRPr="00D95EC3" w:rsidRDefault="00D95EC3" w:rsidP="00D95EC3">
      <w:pPr>
        <w:spacing w:after="120"/>
        <w:ind w:left="1080"/>
        <w:rPr>
          <w:rFonts w:cs="Arial"/>
          <w:bCs/>
          <w:color w:val="000000"/>
          <w:sz w:val="22"/>
          <w:szCs w:val="22"/>
          <w:lang w:eastAsia="en-GB"/>
        </w:rPr>
      </w:pPr>
    </w:p>
    <w:p w14:paraId="0F3C28FE" w14:textId="77777777" w:rsidR="00D95EC3" w:rsidRPr="00D95EC3" w:rsidRDefault="00D95EC3" w:rsidP="00A92BFF">
      <w:pPr>
        <w:numPr>
          <w:ilvl w:val="2"/>
          <w:numId w:val="2"/>
        </w:numPr>
        <w:spacing w:after="120"/>
        <w:rPr>
          <w:rFonts w:cs="Arial"/>
          <w:bCs/>
          <w:color w:val="000000"/>
          <w:sz w:val="22"/>
          <w:szCs w:val="22"/>
          <w:u w:val="single"/>
          <w:lang w:eastAsia="en-GB"/>
        </w:rPr>
      </w:pPr>
      <w:r w:rsidRPr="00D95EC3">
        <w:rPr>
          <w:rFonts w:cs="Arial"/>
          <w:bCs/>
          <w:color w:val="000000"/>
          <w:sz w:val="22"/>
          <w:szCs w:val="22"/>
          <w:u w:val="single"/>
          <w:lang w:eastAsia="en-GB"/>
        </w:rPr>
        <w:t>Cost inefficiencies</w:t>
      </w:r>
    </w:p>
    <w:p w14:paraId="11FD5438" w14:textId="77777777" w:rsidR="00D95EC3" w:rsidRPr="00D95EC3" w:rsidRDefault="00D95EC3" w:rsidP="00D95EC3">
      <w:pPr>
        <w:spacing w:after="120"/>
        <w:ind w:left="1080"/>
        <w:rPr>
          <w:rFonts w:cs="Arial"/>
          <w:bCs/>
          <w:color w:val="000000"/>
          <w:sz w:val="22"/>
          <w:szCs w:val="22"/>
          <w:lang w:eastAsia="en-GB"/>
        </w:rPr>
      </w:pPr>
      <w:r w:rsidRPr="00D95EC3">
        <w:rPr>
          <w:rFonts w:cs="Arial"/>
          <w:bCs/>
          <w:color w:val="000000"/>
          <w:sz w:val="22"/>
          <w:szCs w:val="22"/>
          <w:lang w:eastAsia="en-GB"/>
        </w:rPr>
        <w:t>The Immigration Rules are difficult to use in practice; judges and Home Office caseworkers spend a disproportionate amount of time understanding the Rules. This contributes to a misallocation of resources which could be used more effectively if the Rules were more comprehensible.</w:t>
      </w:r>
    </w:p>
    <w:p w14:paraId="3E94A7CF" w14:textId="77777777" w:rsidR="00D95EC3" w:rsidRPr="00D95EC3" w:rsidRDefault="00D95EC3" w:rsidP="00D95EC3">
      <w:pPr>
        <w:spacing w:after="120"/>
        <w:ind w:left="1080"/>
        <w:rPr>
          <w:rFonts w:cs="Arial"/>
          <w:bCs/>
          <w:color w:val="000000"/>
          <w:sz w:val="22"/>
          <w:szCs w:val="22"/>
          <w:lang w:eastAsia="en-GB"/>
        </w:rPr>
      </w:pPr>
    </w:p>
    <w:p w14:paraId="67F68444" w14:textId="77777777" w:rsidR="00D95EC3" w:rsidRPr="00D95EC3" w:rsidRDefault="00D95EC3" w:rsidP="00A92BFF">
      <w:pPr>
        <w:numPr>
          <w:ilvl w:val="2"/>
          <w:numId w:val="2"/>
        </w:numPr>
        <w:spacing w:after="120"/>
        <w:rPr>
          <w:rFonts w:cs="Arial"/>
          <w:bCs/>
          <w:color w:val="000000"/>
          <w:sz w:val="22"/>
          <w:szCs w:val="22"/>
          <w:u w:val="single"/>
          <w:lang w:eastAsia="en-GB"/>
        </w:rPr>
      </w:pPr>
      <w:r w:rsidRPr="00D95EC3">
        <w:rPr>
          <w:rFonts w:cs="Arial"/>
          <w:bCs/>
          <w:color w:val="000000"/>
          <w:sz w:val="22"/>
          <w:szCs w:val="22"/>
          <w:u w:val="single"/>
          <w:lang w:eastAsia="en-GB"/>
        </w:rPr>
        <w:t>Lack of consultation or review</w:t>
      </w:r>
    </w:p>
    <w:p w14:paraId="773D1D42" w14:textId="4CD72394" w:rsidR="00D95EC3" w:rsidRPr="00D95EC3" w:rsidRDefault="00FB36B3" w:rsidP="00D95EC3">
      <w:pPr>
        <w:spacing w:after="120"/>
        <w:ind w:left="1080"/>
        <w:rPr>
          <w:rFonts w:cs="Arial"/>
          <w:bCs/>
          <w:color w:val="000000"/>
          <w:sz w:val="22"/>
          <w:szCs w:val="22"/>
          <w:u w:val="single"/>
          <w:lang w:eastAsia="en-GB"/>
        </w:rPr>
      </w:pPr>
      <w:r>
        <w:rPr>
          <w:rFonts w:cs="Arial"/>
          <w:bCs/>
          <w:color w:val="000000"/>
          <w:sz w:val="22"/>
          <w:szCs w:val="22"/>
          <w:lang w:eastAsia="en-GB"/>
        </w:rPr>
        <w:t>Informal consultation or review provides the opportunity to correct Rules which have generated confusion due, for example, to inaccuracies in definitions or unintended consequences. This may help to reduce the number of administrative reviews,</w:t>
      </w:r>
      <w:r w:rsidR="006E742D">
        <w:rPr>
          <w:rFonts w:cs="Arial"/>
          <w:bCs/>
          <w:color w:val="000000"/>
          <w:sz w:val="22"/>
          <w:szCs w:val="22"/>
          <w:lang w:eastAsia="en-GB"/>
        </w:rPr>
        <w:t xml:space="preserve"> appeals and judicial reviews</w:t>
      </w:r>
      <w:r w:rsidR="00D95EC3" w:rsidRPr="00D95EC3">
        <w:rPr>
          <w:rFonts w:cs="Arial"/>
          <w:bCs/>
          <w:color w:val="000000"/>
          <w:sz w:val="22"/>
          <w:szCs w:val="22"/>
          <w:lang w:eastAsia="en-GB"/>
        </w:rPr>
        <w:t>. For example, the definition of “same profession” in relation to the SOC Code of Practice could have benefit</w:t>
      </w:r>
      <w:r>
        <w:rPr>
          <w:rFonts w:cs="Arial"/>
          <w:bCs/>
          <w:color w:val="000000"/>
          <w:sz w:val="22"/>
          <w:szCs w:val="22"/>
          <w:lang w:eastAsia="en-GB"/>
        </w:rPr>
        <w:t>t</w:t>
      </w:r>
      <w:r w:rsidR="00D95EC3" w:rsidRPr="00D95EC3">
        <w:rPr>
          <w:rFonts w:cs="Arial"/>
          <w:bCs/>
          <w:color w:val="000000"/>
          <w:sz w:val="22"/>
          <w:szCs w:val="22"/>
          <w:lang w:eastAsia="en-GB"/>
        </w:rPr>
        <w:t>ed from consultation.</w:t>
      </w:r>
      <w:r w:rsidR="00D95EC3" w:rsidRPr="00D95EC3">
        <w:rPr>
          <w:rFonts w:cs="Arial"/>
          <w:bCs/>
          <w:color w:val="000000"/>
          <w:sz w:val="22"/>
          <w:szCs w:val="22"/>
          <w:vertAlign w:val="superscript"/>
          <w:lang w:eastAsia="en-GB"/>
        </w:rPr>
        <w:footnoteReference w:id="7"/>
      </w:r>
    </w:p>
    <w:p w14:paraId="7E987724" w14:textId="77777777" w:rsidR="00D95EC3" w:rsidRPr="00D95EC3" w:rsidRDefault="00D95EC3" w:rsidP="00D95EC3">
      <w:pPr>
        <w:spacing w:after="120"/>
        <w:ind w:left="1080"/>
        <w:rPr>
          <w:rFonts w:cs="Arial"/>
          <w:bCs/>
          <w:color w:val="000000"/>
          <w:sz w:val="22"/>
          <w:szCs w:val="22"/>
          <w:lang w:eastAsia="en-GB"/>
        </w:rPr>
      </w:pPr>
    </w:p>
    <w:p w14:paraId="3A1F9E2F" w14:textId="77777777" w:rsidR="00D95EC3" w:rsidRPr="00D95EC3" w:rsidRDefault="00D95EC3" w:rsidP="00D95EC3">
      <w:pPr>
        <w:spacing w:after="120"/>
        <w:ind w:left="1080"/>
        <w:rPr>
          <w:rFonts w:cs="Arial"/>
          <w:bCs/>
          <w:color w:val="000000"/>
          <w:sz w:val="22"/>
          <w:szCs w:val="22"/>
          <w:lang w:eastAsia="en-GB"/>
        </w:rPr>
      </w:pPr>
    </w:p>
    <w:p w14:paraId="6A043F86" w14:textId="77777777" w:rsidR="00D95EC3" w:rsidRPr="00D95EC3" w:rsidRDefault="00D95EC3" w:rsidP="00D95EC3">
      <w:pPr>
        <w:keepNext/>
        <w:spacing w:after="120"/>
        <w:ind w:firstLine="284"/>
        <w:rPr>
          <w:rFonts w:cs="Arial"/>
          <w:b/>
          <w:bCs/>
          <w:color w:val="000000"/>
          <w:sz w:val="22"/>
          <w:szCs w:val="22"/>
          <w:lang w:eastAsia="en-GB"/>
        </w:rPr>
      </w:pPr>
      <w:r w:rsidRPr="00D95EC3">
        <w:rPr>
          <w:rFonts w:cs="Arial"/>
          <w:b/>
          <w:bCs/>
          <w:color w:val="000000"/>
          <w:sz w:val="22"/>
          <w:szCs w:val="22"/>
          <w:lang w:eastAsia="en-GB"/>
        </w:rPr>
        <w:t xml:space="preserve">3. </w:t>
      </w:r>
      <w:r w:rsidRPr="00D95EC3">
        <w:rPr>
          <w:rFonts w:cs="Arial"/>
          <w:b/>
          <w:bCs/>
          <w:color w:val="000000"/>
          <w:lang w:eastAsia="en-GB"/>
        </w:rPr>
        <w:t>Rationale for intervention</w:t>
      </w:r>
      <w:r w:rsidRPr="00D95EC3">
        <w:rPr>
          <w:rFonts w:cs="Arial"/>
          <w:b/>
          <w:bCs/>
          <w:color w:val="000000"/>
          <w:sz w:val="22"/>
          <w:szCs w:val="22"/>
          <w:lang w:eastAsia="en-GB"/>
        </w:rPr>
        <w:t xml:space="preserve"> </w:t>
      </w:r>
    </w:p>
    <w:p w14:paraId="4005D856" w14:textId="154EDFBF"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The conventional economic approach to Government intervention to resolve a problem is based on efficiency or equity arguments. The Government may consider intervening if there are failures in the way markets operate (e.g. monopolies overcharging consumers) or if there are failures in existing Government interventions (e.g. waste generated by misdirected rules). In both cases the proposed intervention itself should avoid creating a further set of disproportionate costs and distortions. The Government may also intervene for equity (fairness) a</w:t>
      </w:r>
      <w:r w:rsidR="00DC53FC">
        <w:rPr>
          <w:rFonts w:cs="Arial"/>
          <w:bCs/>
          <w:color w:val="000000"/>
          <w:sz w:val="22"/>
          <w:szCs w:val="22"/>
          <w:lang w:eastAsia="en-GB"/>
        </w:rPr>
        <w:t>nd re-distributional reasons (e.g</w:t>
      </w:r>
      <w:r w:rsidRPr="00D95EC3">
        <w:rPr>
          <w:rFonts w:cs="Arial"/>
          <w:bCs/>
          <w:color w:val="000000"/>
          <w:sz w:val="22"/>
          <w:szCs w:val="22"/>
          <w:lang w:eastAsia="en-GB"/>
        </w:rPr>
        <w:t>. to reallocate goods and services to the more deprived groups in society).</w:t>
      </w:r>
    </w:p>
    <w:p w14:paraId="3B494138" w14:textId="77777777" w:rsidR="00D95EC3" w:rsidRPr="00D95EC3" w:rsidRDefault="00D95EC3" w:rsidP="00D95EC3">
      <w:pPr>
        <w:keepNext/>
        <w:spacing w:after="120"/>
        <w:ind w:left="284"/>
        <w:rPr>
          <w:rFonts w:cs="Arial"/>
          <w:bCs/>
          <w:color w:val="000000"/>
          <w:sz w:val="22"/>
          <w:szCs w:val="22"/>
          <w:lang w:eastAsia="en-GB"/>
        </w:rPr>
      </w:pPr>
      <w:r w:rsidRPr="00D95EC3">
        <w:rPr>
          <w:rFonts w:cs="Arial"/>
          <w:bCs/>
          <w:color w:val="000000"/>
          <w:sz w:val="22"/>
          <w:szCs w:val="22"/>
          <w:lang w:eastAsia="en-GB"/>
        </w:rPr>
        <w:t xml:space="preserve">As the above discussion demonstrates, the Immigration Rules suffer from significant failings. These failings result in significant economic costs for the state, and individual applicants, as well as harming the operation of efficient justice and public confidence in the law more broadly. There are a </w:t>
      </w:r>
      <w:r w:rsidRPr="00D95EC3">
        <w:rPr>
          <w:rFonts w:cs="Arial"/>
          <w:bCs/>
          <w:color w:val="000000"/>
          <w:sz w:val="22"/>
          <w:szCs w:val="22"/>
          <w:lang w:eastAsia="en-GB"/>
        </w:rPr>
        <w:lastRenderedPageBreak/>
        <w:t>considerable number of judicial reviews and appeals in the immigration system, a percentage of which may be wholly or in part caused by ambiguity in the Immigration Rules.</w:t>
      </w:r>
    </w:p>
    <w:p w14:paraId="0457E35B" w14:textId="77777777" w:rsidR="00D95EC3" w:rsidRPr="00D95EC3" w:rsidRDefault="00D95EC3" w:rsidP="00D95EC3">
      <w:pPr>
        <w:keepNext/>
        <w:spacing w:after="120"/>
        <w:ind w:left="284"/>
        <w:rPr>
          <w:rFonts w:cs="Arial"/>
          <w:bCs/>
          <w:color w:val="000000"/>
          <w:sz w:val="22"/>
          <w:szCs w:val="22"/>
          <w:lang w:eastAsia="en-GB"/>
        </w:rPr>
      </w:pPr>
      <w:r w:rsidRPr="00D95EC3">
        <w:rPr>
          <w:rFonts w:cs="Arial"/>
          <w:bCs/>
          <w:color w:val="000000"/>
          <w:sz w:val="22"/>
          <w:szCs w:val="22"/>
          <w:lang w:eastAsia="en-GB"/>
        </w:rPr>
        <w:t xml:space="preserve">Simplifying the Immigration Rules provides scope for efficiency savings for Home Office decision-makers and immigration practitioners (which may reduce expenditure in legal aid cases). </w:t>
      </w:r>
    </w:p>
    <w:p w14:paraId="3AB9BDA6" w14:textId="77777777" w:rsidR="00D95EC3" w:rsidRPr="00D95EC3" w:rsidRDefault="00D95EC3" w:rsidP="00D95EC3">
      <w:pPr>
        <w:keepNext/>
        <w:spacing w:after="120"/>
        <w:ind w:left="284"/>
        <w:rPr>
          <w:rFonts w:cs="Arial"/>
          <w:bCs/>
          <w:color w:val="000000"/>
          <w:sz w:val="22"/>
          <w:szCs w:val="22"/>
          <w:lang w:eastAsia="en-GB"/>
        </w:rPr>
      </w:pPr>
      <w:r w:rsidRPr="00D95EC3">
        <w:rPr>
          <w:rFonts w:cs="Arial"/>
          <w:bCs/>
          <w:color w:val="000000"/>
          <w:sz w:val="22"/>
          <w:szCs w:val="22"/>
          <w:lang w:eastAsia="en-GB"/>
        </w:rPr>
        <w:t>More correctly completed and evidenced applications may also reduce the numbers of administrative reviews, appeals and judicial reviews. This would increase judicial capacity and be more cost effective.</w:t>
      </w:r>
    </w:p>
    <w:p w14:paraId="02AD6DDD" w14:textId="77777777" w:rsidR="00D95EC3" w:rsidRPr="00D95EC3" w:rsidRDefault="00D95EC3" w:rsidP="00D95EC3">
      <w:pPr>
        <w:keepNext/>
        <w:spacing w:after="120"/>
        <w:rPr>
          <w:rFonts w:cs="Arial"/>
          <w:bCs/>
          <w:color w:val="000000"/>
          <w:sz w:val="22"/>
          <w:szCs w:val="22"/>
          <w:lang w:eastAsia="en-GB"/>
        </w:rPr>
      </w:pPr>
    </w:p>
    <w:p w14:paraId="525C619E" w14:textId="77777777" w:rsidR="00D95EC3" w:rsidRPr="00D95EC3" w:rsidRDefault="00D95EC3" w:rsidP="00D95EC3">
      <w:pPr>
        <w:keepNext/>
        <w:spacing w:after="120"/>
        <w:ind w:firstLine="284"/>
        <w:rPr>
          <w:rFonts w:cs="Arial"/>
          <w:b/>
          <w:bCs/>
          <w:color w:val="000000"/>
          <w:sz w:val="28"/>
          <w:szCs w:val="28"/>
          <w:lang w:eastAsia="en-GB"/>
        </w:rPr>
      </w:pPr>
      <w:r w:rsidRPr="00D95EC3">
        <w:rPr>
          <w:rFonts w:cs="Arial"/>
          <w:b/>
          <w:bCs/>
          <w:color w:val="000000"/>
          <w:sz w:val="28"/>
          <w:szCs w:val="28"/>
          <w:lang w:eastAsia="en-GB"/>
        </w:rPr>
        <w:t>4. Policy objectives</w:t>
      </w:r>
    </w:p>
    <w:p w14:paraId="3D19DC4B" w14:textId="77777777" w:rsidR="00D95EC3" w:rsidRPr="00D95EC3" w:rsidRDefault="00D95EC3" w:rsidP="00D95EC3">
      <w:pPr>
        <w:spacing w:after="120" w:line="264" w:lineRule="auto"/>
        <w:ind w:left="567"/>
        <w:rPr>
          <w:rFonts w:eastAsia="Calibri" w:cs="Arial"/>
          <w:sz w:val="22"/>
          <w:szCs w:val="22"/>
          <w:lang w:bidi="he-IL"/>
        </w:rPr>
      </w:pPr>
      <w:r w:rsidRPr="00D95EC3">
        <w:rPr>
          <w:rFonts w:eastAsia="Calibri" w:cs="Arial"/>
          <w:sz w:val="22"/>
          <w:szCs w:val="22"/>
          <w:lang w:bidi="he-IL"/>
        </w:rPr>
        <w:t>The project aims to:</w:t>
      </w:r>
    </w:p>
    <w:p w14:paraId="2424F753" w14:textId="77777777" w:rsidR="00D95EC3" w:rsidRPr="00D95EC3" w:rsidRDefault="00D95EC3" w:rsidP="00A92BFF">
      <w:pPr>
        <w:keepNext/>
        <w:numPr>
          <w:ilvl w:val="2"/>
          <w:numId w:val="2"/>
        </w:numPr>
        <w:spacing w:after="120"/>
        <w:rPr>
          <w:rFonts w:cs="Arial"/>
          <w:bCs/>
          <w:color w:val="000000"/>
          <w:sz w:val="22"/>
          <w:szCs w:val="22"/>
          <w:lang w:eastAsia="en-GB"/>
        </w:rPr>
      </w:pPr>
      <w:r w:rsidRPr="00D95EC3">
        <w:rPr>
          <w:rFonts w:cs="Arial"/>
          <w:bCs/>
          <w:color w:val="000000"/>
          <w:sz w:val="22"/>
          <w:szCs w:val="22"/>
          <w:lang w:eastAsia="en-GB"/>
        </w:rPr>
        <w:t>simplify and modernise the Immigration Rules by restructuring and redrafting them;</w:t>
      </w:r>
    </w:p>
    <w:p w14:paraId="3930E8F8" w14:textId="77777777" w:rsidR="00D95EC3" w:rsidRPr="00D95EC3" w:rsidRDefault="00D95EC3" w:rsidP="00A92BFF">
      <w:pPr>
        <w:keepNext/>
        <w:numPr>
          <w:ilvl w:val="2"/>
          <w:numId w:val="2"/>
        </w:numPr>
        <w:spacing w:after="120"/>
        <w:rPr>
          <w:rFonts w:cs="Arial"/>
          <w:bCs/>
          <w:color w:val="000000"/>
          <w:sz w:val="22"/>
          <w:szCs w:val="22"/>
          <w:lang w:eastAsia="en-GB"/>
        </w:rPr>
      </w:pPr>
      <w:r w:rsidRPr="00D95EC3">
        <w:rPr>
          <w:rFonts w:cs="Arial"/>
          <w:bCs/>
          <w:color w:val="000000"/>
          <w:sz w:val="22"/>
          <w:szCs w:val="22"/>
          <w:lang w:eastAsia="en-GB"/>
        </w:rPr>
        <w:t>reduce the frequency of amendments to the Rules;</w:t>
      </w:r>
    </w:p>
    <w:p w14:paraId="24664651" w14:textId="77777777" w:rsidR="00D95EC3" w:rsidRPr="00D95EC3" w:rsidRDefault="00D95EC3" w:rsidP="00A92BFF">
      <w:pPr>
        <w:keepNext/>
        <w:numPr>
          <w:ilvl w:val="2"/>
          <w:numId w:val="2"/>
        </w:numPr>
        <w:spacing w:after="120"/>
        <w:rPr>
          <w:rFonts w:cs="Arial"/>
          <w:bCs/>
          <w:color w:val="000000"/>
          <w:sz w:val="22"/>
          <w:szCs w:val="22"/>
          <w:lang w:eastAsia="en-GB"/>
        </w:rPr>
      </w:pPr>
      <w:r w:rsidRPr="00D95EC3">
        <w:rPr>
          <w:rFonts w:cs="Arial"/>
          <w:bCs/>
          <w:color w:val="000000"/>
          <w:sz w:val="22"/>
          <w:szCs w:val="22"/>
          <w:lang w:eastAsia="en-GB"/>
        </w:rPr>
        <w:t>enhance the capacity of Home Office caseworkers and the judiciary to make the right decision first time; and</w:t>
      </w:r>
    </w:p>
    <w:p w14:paraId="02A44B33" w14:textId="77777777" w:rsidR="00D95EC3" w:rsidRPr="00D95EC3" w:rsidRDefault="00D95EC3" w:rsidP="00A92BFF">
      <w:pPr>
        <w:keepNext/>
        <w:numPr>
          <w:ilvl w:val="2"/>
          <w:numId w:val="2"/>
        </w:numPr>
        <w:spacing w:after="120"/>
        <w:rPr>
          <w:rFonts w:cs="Arial"/>
          <w:bCs/>
          <w:color w:val="000000"/>
          <w:sz w:val="22"/>
          <w:szCs w:val="22"/>
          <w:lang w:eastAsia="en-GB"/>
        </w:rPr>
      </w:pPr>
      <w:r w:rsidRPr="00D95EC3">
        <w:rPr>
          <w:rFonts w:cs="Arial"/>
          <w:bCs/>
          <w:color w:val="000000"/>
          <w:sz w:val="22"/>
          <w:szCs w:val="22"/>
          <w:lang w:eastAsia="en-GB"/>
        </w:rPr>
        <w:t>reduce litigation costs.</w:t>
      </w:r>
    </w:p>
    <w:p w14:paraId="73E598B9" w14:textId="77777777" w:rsidR="00D95EC3" w:rsidRPr="00D95EC3" w:rsidRDefault="00D95EC3" w:rsidP="00D95EC3">
      <w:pPr>
        <w:keepNext/>
        <w:spacing w:after="120"/>
        <w:ind w:left="1080"/>
        <w:rPr>
          <w:rFonts w:cs="Arial"/>
          <w:bCs/>
          <w:color w:val="000000"/>
          <w:sz w:val="22"/>
          <w:szCs w:val="22"/>
          <w:lang w:eastAsia="en-GB"/>
        </w:rPr>
      </w:pPr>
    </w:p>
    <w:p w14:paraId="4A20F010" w14:textId="77777777" w:rsidR="00D95EC3" w:rsidRPr="00D95EC3" w:rsidRDefault="00D95EC3" w:rsidP="00A92BFF">
      <w:pPr>
        <w:keepNext/>
        <w:numPr>
          <w:ilvl w:val="0"/>
          <w:numId w:val="12"/>
        </w:numPr>
        <w:spacing w:after="120"/>
        <w:rPr>
          <w:rFonts w:cs="Arial"/>
          <w:b/>
          <w:bCs/>
          <w:color w:val="000000"/>
          <w:sz w:val="28"/>
          <w:szCs w:val="28"/>
          <w:lang w:eastAsia="en-GB"/>
        </w:rPr>
      </w:pPr>
      <w:r w:rsidRPr="00D95EC3">
        <w:rPr>
          <w:rFonts w:cs="Arial"/>
          <w:b/>
          <w:bCs/>
          <w:color w:val="000000"/>
          <w:sz w:val="28"/>
          <w:szCs w:val="28"/>
          <w:lang w:eastAsia="en-GB"/>
        </w:rPr>
        <w:t xml:space="preserve">Scale and scope </w:t>
      </w:r>
    </w:p>
    <w:p w14:paraId="6CA67425" w14:textId="77777777" w:rsidR="00D95EC3" w:rsidRPr="00D95EC3" w:rsidRDefault="00D95EC3" w:rsidP="00D95EC3">
      <w:pPr>
        <w:ind w:left="284"/>
        <w:rPr>
          <w:rFonts w:cs="Arial"/>
          <w:bCs/>
          <w:color w:val="000000"/>
          <w:sz w:val="22"/>
          <w:szCs w:val="22"/>
          <w:lang w:eastAsia="en-GB"/>
        </w:rPr>
      </w:pPr>
      <w:r w:rsidRPr="00D95EC3">
        <w:rPr>
          <w:rFonts w:cs="Arial"/>
          <w:bCs/>
          <w:color w:val="000000"/>
          <w:sz w:val="22"/>
          <w:szCs w:val="22"/>
          <w:lang w:eastAsia="en-GB"/>
        </w:rPr>
        <w:t>The Immigration Rules cover a wide range of applicants (including visitors) seeking to enter the UK. Within the Immigration Rules there is also a points-based system (which non-exhaustively addresses entrepreneurs, workers and students). The UK’s points-based system was introduced in 2008 and consists of five tiers</w:t>
      </w:r>
      <w:r w:rsidRPr="00D95EC3">
        <w:rPr>
          <w:rFonts w:cs="Arial"/>
          <w:bCs/>
          <w:color w:val="000000"/>
          <w:sz w:val="22"/>
          <w:szCs w:val="22"/>
          <w:vertAlign w:val="superscript"/>
          <w:lang w:eastAsia="en-GB"/>
        </w:rPr>
        <w:footnoteReference w:id="8"/>
      </w:r>
      <w:r w:rsidRPr="00D95EC3">
        <w:rPr>
          <w:rFonts w:cs="Arial"/>
          <w:bCs/>
          <w:color w:val="000000"/>
          <w:sz w:val="22"/>
          <w:szCs w:val="22"/>
          <w:lang w:eastAsia="en-GB"/>
        </w:rPr>
        <w:t xml:space="preserve"> spread across a number of Parts and Appendices in the Rules.  </w:t>
      </w:r>
    </w:p>
    <w:p w14:paraId="48C2A394" w14:textId="77777777" w:rsidR="00D95EC3" w:rsidRPr="00D95EC3" w:rsidRDefault="00D95EC3" w:rsidP="00D95EC3">
      <w:pPr>
        <w:spacing w:after="120"/>
        <w:ind w:left="284"/>
        <w:rPr>
          <w:rFonts w:cs="Arial"/>
          <w:bCs/>
          <w:color w:val="000000"/>
          <w:sz w:val="22"/>
          <w:szCs w:val="22"/>
          <w:lang w:eastAsia="en-GB"/>
        </w:rPr>
      </w:pPr>
    </w:p>
    <w:p w14:paraId="6E0A5395" w14:textId="77777777" w:rsidR="00D95EC3" w:rsidRPr="00AC2E9F"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In 2017 around 135.2 million passengers arrived in the UK including returning UK residents. Over 2.7 million visas were issued</w:t>
      </w:r>
      <w:r w:rsidRPr="00D95EC3">
        <w:rPr>
          <w:rFonts w:eastAsia="SimSun"/>
          <w:sz w:val="16"/>
          <w:szCs w:val="16"/>
        </w:rPr>
        <w:t xml:space="preserve"> </w:t>
      </w:r>
      <w:r w:rsidRPr="004004FF">
        <w:rPr>
          <w:rFonts w:eastAsia="SimSun"/>
          <w:sz w:val="22"/>
          <w:szCs w:val="22"/>
        </w:rPr>
        <w:t>of which 77% were visitor visas and 8% were for study. The following data identifies the types of visas granted in that period:</w:t>
      </w:r>
      <w:r w:rsidRPr="00AC2E9F">
        <w:rPr>
          <w:rFonts w:cs="Arial"/>
          <w:bCs/>
          <w:color w:val="000000"/>
          <w:sz w:val="22"/>
          <w:szCs w:val="22"/>
          <w:vertAlign w:val="superscript"/>
          <w:lang w:eastAsia="en-GB"/>
        </w:rPr>
        <w:footnoteReference w:id="9"/>
      </w:r>
    </w:p>
    <w:p w14:paraId="1D356DC6" w14:textId="77777777" w:rsidR="00D95EC3" w:rsidRPr="00D95EC3" w:rsidRDefault="00D95EC3" w:rsidP="00A92BFF">
      <w:pPr>
        <w:numPr>
          <w:ilvl w:val="0"/>
          <w:numId w:val="10"/>
        </w:numPr>
        <w:spacing w:after="120"/>
        <w:rPr>
          <w:rFonts w:cs="Arial"/>
          <w:bCs/>
          <w:color w:val="000000"/>
          <w:sz w:val="22"/>
          <w:szCs w:val="22"/>
          <w:lang w:eastAsia="en-GB"/>
        </w:rPr>
      </w:pPr>
      <w:r w:rsidRPr="00D95EC3">
        <w:rPr>
          <w:rFonts w:cs="Arial"/>
          <w:bCs/>
          <w:color w:val="000000"/>
          <w:sz w:val="22"/>
          <w:szCs w:val="22"/>
          <w:lang w:eastAsia="en-GB"/>
        </w:rPr>
        <w:t>2.1 million visitor visas</w:t>
      </w:r>
    </w:p>
    <w:p w14:paraId="25C0F51C" w14:textId="77777777" w:rsidR="00D95EC3" w:rsidRPr="00D95EC3" w:rsidRDefault="00D95EC3" w:rsidP="00A92BFF">
      <w:pPr>
        <w:numPr>
          <w:ilvl w:val="0"/>
          <w:numId w:val="10"/>
        </w:numPr>
        <w:spacing w:after="120"/>
        <w:rPr>
          <w:rFonts w:cs="Arial"/>
          <w:bCs/>
          <w:color w:val="000000"/>
          <w:sz w:val="22"/>
          <w:szCs w:val="22"/>
          <w:lang w:eastAsia="en-GB"/>
        </w:rPr>
      </w:pPr>
      <w:r w:rsidRPr="00D95EC3">
        <w:rPr>
          <w:rFonts w:cs="Arial"/>
          <w:bCs/>
          <w:color w:val="000000"/>
          <w:sz w:val="22"/>
          <w:szCs w:val="22"/>
          <w:lang w:eastAsia="en-GB"/>
        </w:rPr>
        <w:t>165,131 work-related visas</w:t>
      </w:r>
    </w:p>
    <w:p w14:paraId="76880524" w14:textId="77777777" w:rsidR="00D95EC3" w:rsidRPr="00D95EC3" w:rsidRDefault="00D95EC3" w:rsidP="00A92BFF">
      <w:pPr>
        <w:numPr>
          <w:ilvl w:val="1"/>
          <w:numId w:val="10"/>
        </w:numPr>
        <w:spacing w:after="120"/>
        <w:rPr>
          <w:rFonts w:cs="Arial"/>
          <w:bCs/>
          <w:color w:val="000000"/>
          <w:sz w:val="22"/>
          <w:szCs w:val="22"/>
          <w:lang w:eastAsia="en-GB"/>
        </w:rPr>
      </w:pPr>
      <w:r w:rsidRPr="00D95EC3">
        <w:rPr>
          <w:rFonts w:cs="Arial"/>
          <w:bCs/>
          <w:color w:val="000000"/>
          <w:sz w:val="22"/>
          <w:szCs w:val="22"/>
          <w:lang w:eastAsia="en-GB"/>
        </w:rPr>
        <w:t>5,127 high value migrants [tier 1] visas</w:t>
      </w:r>
    </w:p>
    <w:p w14:paraId="5B3A2B57" w14:textId="77777777" w:rsidR="00D95EC3" w:rsidRPr="00D95EC3" w:rsidRDefault="00D95EC3" w:rsidP="00A92BFF">
      <w:pPr>
        <w:numPr>
          <w:ilvl w:val="1"/>
          <w:numId w:val="10"/>
        </w:numPr>
        <w:spacing w:after="120"/>
        <w:rPr>
          <w:rFonts w:cs="Arial"/>
          <w:bCs/>
          <w:color w:val="000000"/>
          <w:sz w:val="22"/>
          <w:szCs w:val="22"/>
          <w:lang w:eastAsia="en-GB"/>
        </w:rPr>
      </w:pPr>
      <w:r w:rsidRPr="00D95EC3">
        <w:rPr>
          <w:rFonts w:cs="Arial"/>
          <w:bCs/>
          <w:color w:val="000000"/>
          <w:sz w:val="22"/>
          <w:szCs w:val="22"/>
          <w:lang w:eastAsia="en-GB"/>
        </w:rPr>
        <w:t>94,247 skilled worker [tier 2] visas</w:t>
      </w:r>
    </w:p>
    <w:p w14:paraId="619D8CC8" w14:textId="77777777" w:rsidR="00D95EC3" w:rsidRPr="00D95EC3" w:rsidRDefault="00D95EC3" w:rsidP="00A92BFF">
      <w:pPr>
        <w:numPr>
          <w:ilvl w:val="1"/>
          <w:numId w:val="10"/>
        </w:numPr>
        <w:spacing w:after="120"/>
        <w:rPr>
          <w:rFonts w:cs="Arial"/>
          <w:bCs/>
          <w:color w:val="000000"/>
          <w:sz w:val="22"/>
          <w:szCs w:val="22"/>
          <w:lang w:eastAsia="en-GB"/>
        </w:rPr>
      </w:pPr>
      <w:r w:rsidRPr="00D95EC3">
        <w:rPr>
          <w:rFonts w:cs="Arial"/>
          <w:bCs/>
          <w:color w:val="000000"/>
          <w:sz w:val="22"/>
          <w:szCs w:val="22"/>
          <w:lang w:eastAsia="en-GB"/>
        </w:rPr>
        <w:t>40,864 youth mobility and temporary workers [tier 5]</w:t>
      </w:r>
    </w:p>
    <w:p w14:paraId="742ECF3C" w14:textId="77777777" w:rsidR="00D95EC3" w:rsidRPr="00D95EC3" w:rsidRDefault="00D95EC3" w:rsidP="00A92BFF">
      <w:pPr>
        <w:numPr>
          <w:ilvl w:val="1"/>
          <w:numId w:val="10"/>
        </w:numPr>
        <w:spacing w:after="120"/>
        <w:rPr>
          <w:rFonts w:cs="Arial"/>
          <w:bCs/>
          <w:color w:val="000000"/>
          <w:sz w:val="22"/>
          <w:szCs w:val="22"/>
          <w:lang w:eastAsia="en-GB"/>
        </w:rPr>
      </w:pPr>
      <w:r w:rsidRPr="00D95EC3">
        <w:rPr>
          <w:rFonts w:cs="Arial"/>
          <w:bCs/>
          <w:color w:val="000000"/>
          <w:sz w:val="22"/>
          <w:szCs w:val="22"/>
          <w:lang w:eastAsia="en-GB"/>
        </w:rPr>
        <w:t xml:space="preserve">24,893 non points-based system </w:t>
      </w:r>
    </w:p>
    <w:p w14:paraId="42D1374B" w14:textId="77777777" w:rsidR="00D95EC3" w:rsidRPr="00D95EC3" w:rsidRDefault="00D95EC3" w:rsidP="00A92BFF">
      <w:pPr>
        <w:numPr>
          <w:ilvl w:val="0"/>
          <w:numId w:val="10"/>
        </w:numPr>
        <w:spacing w:after="120"/>
        <w:rPr>
          <w:rFonts w:cs="Arial"/>
          <w:bCs/>
          <w:color w:val="000000"/>
          <w:sz w:val="22"/>
          <w:szCs w:val="22"/>
          <w:lang w:eastAsia="en-GB"/>
        </w:rPr>
      </w:pPr>
      <w:r w:rsidRPr="00D95EC3">
        <w:rPr>
          <w:rFonts w:cs="Arial"/>
          <w:bCs/>
          <w:color w:val="000000"/>
          <w:sz w:val="22"/>
          <w:szCs w:val="22"/>
          <w:lang w:eastAsia="en-GB"/>
        </w:rPr>
        <w:t>223,536 study-related visas [tier 4]</w:t>
      </w:r>
    </w:p>
    <w:p w14:paraId="6F4313E1" w14:textId="77777777" w:rsidR="00D95EC3" w:rsidRPr="00D95EC3" w:rsidRDefault="00D95EC3" w:rsidP="00A92BFF">
      <w:pPr>
        <w:numPr>
          <w:ilvl w:val="0"/>
          <w:numId w:val="10"/>
        </w:numPr>
        <w:spacing w:after="120"/>
        <w:rPr>
          <w:rFonts w:cs="Arial"/>
          <w:bCs/>
          <w:color w:val="000000"/>
          <w:sz w:val="22"/>
          <w:szCs w:val="22"/>
          <w:lang w:eastAsia="en-GB"/>
        </w:rPr>
      </w:pPr>
      <w:r w:rsidRPr="00D95EC3">
        <w:rPr>
          <w:rFonts w:cs="Arial"/>
          <w:bCs/>
          <w:color w:val="000000"/>
          <w:sz w:val="22"/>
          <w:szCs w:val="22"/>
          <w:lang w:eastAsia="en-GB"/>
        </w:rPr>
        <w:t>134,857 family-related visas</w:t>
      </w:r>
    </w:p>
    <w:p w14:paraId="7B5EA48F" w14:textId="2DBA5C23"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There were 163</w:t>
      </w:r>
      <w:r w:rsidR="00AC2E9F">
        <w:rPr>
          <w:rFonts w:cs="Arial"/>
          <w:bCs/>
          <w:color w:val="000000"/>
          <w:sz w:val="22"/>
          <w:szCs w:val="22"/>
          <w:lang w:eastAsia="en-GB"/>
        </w:rPr>
        <w:t>,</w:t>
      </w:r>
      <w:r w:rsidRPr="00D95EC3">
        <w:rPr>
          <w:rFonts w:cs="Arial"/>
          <w:bCs/>
          <w:color w:val="000000"/>
          <w:sz w:val="22"/>
          <w:szCs w:val="22"/>
          <w:lang w:eastAsia="en-GB"/>
        </w:rPr>
        <w:t xml:space="preserve">817 extensions of leave granted in 2017 to applicants applying to extend their stay from within the UK. </w:t>
      </w:r>
    </w:p>
    <w:p w14:paraId="78DBEBAB" w14:textId="77777777" w:rsidR="00D95EC3" w:rsidRPr="00D95EC3" w:rsidRDefault="00D95EC3" w:rsidP="00D95EC3">
      <w:pPr>
        <w:spacing w:after="120"/>
        <w:rPr>
          <w:rFonts w:cs="Arial"/>
          <w:bCs/>
          <w:color w:val="000000"/>
          <w:sz w:val="22"/>
          <w:szCs w:val="22"/>
          <w:lang w:eastAsia="en-GB"/>
        </w:rPr>
      </w:pPr>
    </w:p>
    <w:p w14:paraId="27ED0AB7" w14:textId="77777777" w:rsidR="00D95EC3" w:rsidRPr="00D95EC3" w:rsidRDefault="00D95EC3" w:rsidP="00D95EC3">
      <w:pPr>
        <w:spacing w:after="120"/>
        <w:ind w:left="284"/>
        <w:rPr>
          <w:rFonts w:cs="Arial"/>
          <w:bCs/>
          <w:i/>
          <w:color w:val="000000"/>
          <w:lang w:eastAsia="en-GB"/>
        </w:rPr>
      </w:pPr>
      <w:r w:rsidRPr="00D95EC3">
        <w:rPr>
          <w:rFonts w:cs="Arial"/>
          <w:bCs/>
          <w:i/>
          <w:color w:val="000000"/>
          <w:lang w:eastAsia="en-GB"/>
        </w:rPr>
        <w:t>Immigration decision-making</w:t>
      </w:r>
    </w:p>
    <w:p w14:paraId="4BC0D13E" w14:textId="5E89A0EB"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The Home Office is the department responsible for all immigration matters and makes decisions on who can enter and remain in the UK. It is also responsible for assessing administrative reviews. An administrative review is an internal mechanism for determining if the Immigration Rules have been applied correctly. In addition, the Courts and Tribunals Service play</w:t>
      </w:r>
      <w:r w:rsidR="00DC53FC">
        <w:rPr>
          <w:rFonts w:cs="Arial"/>
          <w:bCs/>
          <w:color w:val="000000"/>
          <w:sz w:val="22"/>
          <w:szCs w:val="22"/>
          <w:lang w:eastAsia="en-GB"/>
        </w:rPr>
        <w:t>s</w:t>
      </w:r>
      <w:r w:rsidRPr="00D95EC3">
        <w:rPr>
          <w:rFonts w:cs="Arial"/>
          <w:bCs/>
          <w:color w:val="000000"/>
          <w:sz w:val="22"/>
          <w:szCs w:val="22"/>
          <w:lang w:eastAsia="en-GB"/>
        </w:rPr>
        <w:t xml:space="preserve"> a vital role in the UK’s immigration system by assessing whether Home Office decisions have been made correctly.</w:t>
      </w:r>
      <w:r w:rsidR="00DC53FC">
        <w:rPr>
          <w:rFonts w:cs="Arial"/>
          <w:bCs/>
          <w:color w:val="000000"/>
          <w:sz w:val="22"/>
          <w:szCs w:val="22"/>
          <w:lang w:eastAsia="en-GB"/>
        </w:rPr>
        <w:t xml:space="preserve"> The</w:t>
      </w:r>
      <w:r w:rsidRPr="00D95EC3">
        <w:rPr>
          <w:rFonts w:cs="Arial"/>
          <w:bCs/>
          <w:color w:val="000000"/>
          <w:sz w:val="22"/>
          <w:szCs w:val="22"/>
          <w:lang w:eastAsia="en-GB"/>
        </w:rPr>
        <w:t xml:space="preserve"> Upper Tribunal (Immigration and Asylum Chamber) hears the majority of judicial review immigration </w:t>
      </w:r>
      <w:r w:rsidRPr="00D95EC3">
        <w:rPr>
          <w:rFonts w:cs="Arial"/>
          <w:bCs/>
          <w:color w:val="000000"/>
          <w:sz w:val="22"/>
          <w:szCs w:val="22"/>
          <w:lang w:eastAsia="en-GB"/>
        </w:rPr>
        <w:lastRenderedPageBreak/>
        <w:t>cases. The First-tier Tribunal (Immigration and Asylum) hears the majority of appeals.</w:t>
      </w:r>
      <w:r w:rsidR="0017579A">
        <w:rPr>
          <w:rStyle w:val="FootnoteReference"/>
          <w:rFonts w:cs="Arial"/>
          <w:bCs/>
          <w:color w:val="000000"/>
          <w:szCs w:val="22"/>
          <w:lang w:eastAsia="en-GB"/>
        </w:rPr>
        <w:footnoteReference w:id="10"/>
      </w:r>
      <w:r w:rsidRPr="00D95EC3">
        <w:rPr>
          <w:rFonts w:cs="Arial"/>
          <w:bCs/>
          <w:color w:val="000000"/>
          <w:sz w:val="22"/>
          <w:szCs w:val="22"/>
          <w:lang w:eastAsia="en-GB"/>
        </w:rPr>
        <w:t xml:space="preserve"> The ways in which Home Office decisions may be challenged is set out in figure 1 below.</w:t>
      </w:r>
    </w:p>
    <w:p w14:paraId="3F280B4B" w14:textId="77777777" w:rsidR="00D95EC3" w:rsidRPr="00D95EC3" w:rsidRDefault="00D95EC3" w:rsidP="00D95EC3">
      <w:pPr>
        <w:spacing w:after="120"/>
        <w:ind w:left="284"/>
        <w:rPr>
          <w:rFonts w:cs="Arial"/>
          <w:bCs/>
          <w:color w:val="000000"/>
          <w:sz w:val="22"/>
          <w:szCs w:val="22"/>
          <w:lang w:eastAsia="en-GB"/>
        </w:rPr>
      </w:pPr>
    </w:p>
    <w:p w14:paraId="7E4618EE" w14:textId="77777777" w:rsidR="00D95EC3" w:rsidRPr="00D95EC3" w:rsidRDefault="00D95EC3" w:rsidP="00D95EC3">
      <w:pPr>
        <w:spacing w:after="120"/>
        <w:ind w:left="284"/>
        <w:rPr>
          <w:rFonts w:cs="Arial"/>
          <w:bCs/>
          <w:color w:val="000000"/>
          <w:sz w:val="22"/>
          <w:szCs w:val="22"/>
          <w:lang w:eastAsia="en-GB"/>
        </w:rPr>
      </w:pPr>
    </w:p>
    <w:p w14:paraId="623756BF" w14:textId="77777777" w:rsidR="00D95EC3" w:rsidRPr="00D95EC3" w:rsidRDefault="00D95EC3" w:rsidP="00D95EC3">
      <w:pPr>
        <w:spacing w:after="120"/>
        <w:ind w:left="284"/>
        <w:rPr>
          <w:rFonts w:cs="Arial"/>
          <w:bCs/>
          <w:color w:val="000000"/>
          <w:sz w:val="22"/>
          <w:szCs w:val="22"/>
          <w:lang w:eastAsia="en-GB"/>
        </w:rPr>
      </w:pPr>
    </w:p>
    <w:p w14:paraId="0007D9FF" w14:textId="77777777" w:rsidR="00D95EC3" w:rsidRPr="00D95EC3" w:rsidRDefault="00D95EC3" w:rsidP="00D95EC3">
      <w:pPr>
        <w:spacing w:after="120"/>
        <w:ind w:left="1080"/>
        <w:rPr>
          <w:rFonts w:cs="Arial"/>
          <w:bCs/>
          <w:color w:val="000000"/>
          <w:sz w:val="22"/>
          <w:szCs w:val="22"/>
          <w:lang w:eastAsia="en-GB"/>
        </w:rPr>
      </w:pPr>
      <w:r w:rsidRPr="00D95EC3">
        <w:rPr>
          <w:rFonts w:cs="Arial"/>
          <w:bCs/>
          <w:color w:val="000000"/>
          <w:sz w:val="22"/>
          <w:szCs w:val="22"/>
          <w:lang w:eastAsia="en-GB"/>
        </w:rPr>
        <w:t>Figure 1: Challenges to Home Office Immigration and Asylum decisions</w:t>
      </w:r>
    </w:p>
    <w:p w14:paraId="4842C1BC" w14:textId="77777777" w:rsidR="00D95EC3" w:rsidRPr="00D95EC3" w:rsidRDefault="00D95EC3" w:rsidP="00D95EC3">
      <w:pPr>
        <w:spacing w:after="120"/>
        <w:ind w:left="1080"/>
        <w:rPr>
          <w:rFonts w:cs="Arial"/>
          <w:bCs/>
          <w:color w:val="000000"/>
          <w:sz w:val="22"/>
          <w:szCs w:val="22"/>
          <w:lang w:eastAsia="en-GB"/>
        </w:rPr>
      </w:pPr>
    </w:p>
    <w:p w14:paraId="440F28AF" w14:textId="569165CD" w:rsidR="00D95EC3" w:rsidRPr="00D95EC3" w:rsidRDefault="00A92BFF" w:rsidP="00D95EC3">
      <w:pPr>
        <w:spacing w:after="120"/>
        <w:ind w:left="1080"/>
        <w:rPr>
          <w:rFonts w:cs="Arial"/>
          <w:bCs/>
          <w:color w:val="000000"/>
          <w:sz w:val="22"/>
          <w:szCs w:val="22"/>
          <w:lang w:eastAsia="en-GB"/>
        </w:rPr>
      </w:pPr>
      <w:r>
        <w:rPr>
          <w:noProof/>
        </w:rPr>
        <mc:AlternateContent>
          <mc:Choice Requires="wps">
            <w:drawing>
              <wp:anchor distT="0" distB="0" distL="114300" distR="114300" simplePos="0" relativeHeight="251664384" behindDoc="0" locked="0" layoutInCell="1" allowOverlap="1" wp14:anchorId="0D0CD0FC" wp14:editId="4670203C">
                <wp:simplePos x="0" y="0"/>
                <wp:positionH relativeFrom="column">
                  <wp:posOffset>1022350</wp:posOffset>
                </wp:positionH>
                <wp:positionV relativeFrom="paragraph">
                  <wp:posOffset>1021080</wp:posOffset>
                </wp:positionV>
                <wp:extent cx="2056130" cy="293370"/>
                <wp:effectExtent l="19050" t="19050" r="1270" b="11430"/>
                <wp:wrapNone/>
                <wp:docPr id="14" name="Arrow: Lef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6130" cy="293370"/>
                        </a:xfrm>
                        <a:prstGeom prst="lef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FB70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5" o:spid="_x0000_s1026" type="#_x0000_t66" style="position:absolute;margin-left:80.5pt;margin-top:80.4pt;width:161.9pt;height:2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84lAIAAFsFAAAOAAAAZHJzL2Uyb0RvYy54bWysVEtv2zAMvg/YfxB0X52kSR9GnSJo0WFA&#10;0BZoh55ZWYqNSaImKXGyXz9Kdtq03WEY5oMgmhT58ePj4nJrNNtIH1q0FR8fjTiTVmDd2lXFvz/e&#10;fDnjLESwNWi0suI7Gfjl/POni86VcoIN6lp6Rk5sKDtX8SZGVxZFEI00EI7QSUtKhd5AJNGvitpD&#10;R96NLiaj0UnRoa+dRyFDoL/XvZLPs3+lpIh3SgUZma44YYv59Pl8Tmcxv4By5cE1rRhgwD+gMNBa&#10;Cvri6hoisLVvP7gyrfAYUMUjgaZApVohcw6UzXj0LpuHBpzMuRA5wb3QFP6fW3G7ufesral2U84s&#10;GKrRwnvsSraUKrLxLFHUuVCS5YO79ynJ4JYofgRSFG80SQiDzVZ5k2wpRbbNfO9e+JbbyAT9nIxm&#10;J+NjKosg3eT8+Pg0F6SAcv/a+RC/SjQsXSquCVJGl7mGzTLEBALKvV1Gh7qtb1qts7ALV9qzDVD9&#10;qW1q7B4pOmcaQiQFQcpfSpLchMOn2rKOaJmcjhJCoOZUGuipMI7oCnbFGegVdb2IPuN58zr8ZeAM&#10;soFa9hhnCc4eTXbxEVhK9hpC07/IUfs+Nm2kYdKtqfjZYVrapigyj8NA2Wup0u0Z6x21gcd+PoIT&#10;Ny0FWRJJ9+BpIIgBGvJ4R4fSSLTgcOOsQf/rT/+TPfUpaTnraMCIsp9r8JK4/2apg8/H02mayCxM&#10;Z6cTEvyh5vlQY9fmCqmGY1onTuRrso96f1UezRPtgkWKSiqwgmL3xRmEq9gPPm0TIReLbEZT6CAu&#10;7YMTyXniKdH7uH0C74aui9Qxt7gfRijf9V1vm15aXKwjqjY35Suvw5jQBOdaDtsmrYhDOVu97sT5&#10;bwAAAP//AwBQSwMEFAAGAAgAAAAhAI1dFwnfAAAACwEAAA8AAABkcnMvZG93bnJldi54bWxMj8FO&#10;wzAQRO9I/IO1SNyonTYKJcSpAIkD4kKbSlzd2I0j4nWwnTb8PdsT3Ga0o9l51WZ2AzuZEHuPErKF&#10;AGaw9brHTsK+eb1bA4tJoVaDRyPhx0TY1NdXlSq1P+PWnHapY1SCsVQSbEpjyXlsrXEqLvxokG5H&#10;H5xKZEPHdVBnKncDXwpRcKd6pA9WjebFmvZrNzkJb+/NQ1O4lD1/r7Yfk91/HvOwkvL2Zn56BJbM&#10;nP7CcJlP06GmTQc/oY5sIF9kxJIuQhADJfJ1TuIgYSnuBfC64v8Z6l8AAAD//wMAUEsBAi0AFAAG&#10;AAgAAAAhALaDOJL+AAAA4QEAABMAAAAAAAAAAAAAAAAAAAAAAFtDb250ZW50X1R5cGVzXS54bWxQ&#10;SwECLQAUAAYACAAAACEAOP0h/9YAAACUAQAACwAAAAAAAAAAAAAAAAAvAQAAX3JlbHMvLnJlbHNQ&#10;SwECLQAUAAYACAAAACEAyoT/OJQCAABbBQAADgAAAAAAAAAAAAAAAAAuAgAAZHJzL2Uyb0RvYy54&#10;bWxQSwECLQAUAAYACAAAACEAjV0XCd8AAAALAQAADwAAAAAAAAAAAAAAAADuBAAAZHJzL2Rvd25y&#10;ZXYueG1sUEsFBgAAAAAEAAQA8wAAAPoFAAAAAA==&#10;" adj="1541" fillcolor="windowText" strokeweight="1pt">
                <v:path arrowok="t"/>
              </v:shape>
            </w:pict>
          </mc:Fallback>
        </mc:AlternateContent>
      </w:r>
      <w:r>
        <w:rPr>
          <w:noProof/>
        </w:rPr>
        <mc:AlternateContent>
          <mc:Choice Requires="wps">
            <w:drawing>
              <wp:anchor distT="0" distB="0" distL="114300" distR="114300" simplePos="0" relativeHeight="251660288" behindDoc="0" locked="0" layoutInCell="1" allowOverlap="1" wp14:anchorId="3FBA158F" wp14:editId="7A3DF019">
                <wp:simplePos x="0" y="0"/>
                <wp:positionH relativeFrom="margin">
                  <wp:posOffset>2339975</wp:posOffset>
                </wp:positionH>
                <wp:positionV relativeFrom="paragraph">
                  <wp:posOffset>10795</wp:posOffset>
                </wp:positionV>
                <wp:extent cx="1767205" cy="989330"/>
                <wp:effectExtent l="19050" t="19050" r="23495" b="3937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205" cy="989330"/>
                        </a:xfrm>
                        <a:prstGeom prst="rect">
                          <a:avLst/>
                        </a:prstGeom>
                        <a:solidFill>
                          <a:srgbClr val="A5A5A5">
                            <a:lumMod val="100000"/>
                            <a:lumOff val="0"/>
                          </a:srgbClr>
                        </a:solidFill>
                        <a:ln w="38100">
                          <a:solidFill>
                            <a:sysClr val="window" lastClr="FFFFFF">
                              <a:lumMod val="95000"/>
                              <a:lumOff val="0"/>
                            </a:sysClr>
                          </a:solidFill>
                          <a:miter lim="800000"/>
                          <a:headEnd/>
                          <a:tailEnd/>
                        </a:ln>
                        <a:effectLst>
                          <a:outerShdw dist="28398" dir="3806097" algn="ctr" rotWithShape="0">
                            <a:srgbClr val="A5A5A5">
                              <a:lumMod val="50000"/>
                              <a:lumOff val="0"/>
                              <a:alpha val="50000"/>
                            </a:srgbClr>
                          </a:outerShdw>
                        </a:effectLst>
                      </wps:spPr>
                      <wps:txbx>
                        <w:txbxContent>
                          <w:p w14:paraId="20768BAC" w14:textId="77777777" w:rsidR="00526BDB" w:rsidRPr="00C01097" w:rsidRDefault="00526BDB" w:rsidP="00D95EC3">
                            <w:pPr>
                              <w:jc w:val="center"/>
                              <w:rPr>
                                <w:rFonts w:cs="Arial"/>
                                <w:sz w:val="28"/>
                                <w:szCs w:val="28"/>
                              </w:rPr>
                            </w:pPr>
                            <w:r>
                              <w:rPr>
                                <w:rFonts w:cs="Arial"/>
                                <w:sz w:val="28"/>
                                <w:szCs w:val="28"/>
                              </w:rPr>
                              <w:t>Home Office decision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FBA158F" id="Rectangle 4" o:spid="_x0000_s1026" style="position:absolute;left:0;text-align:left;margin-left:184.25pt;margin-top:.85pt;width:139.15pt;height:77.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bIpAIAAJYFAAAOAAAAZHJzL2Uyb0RvYy54bWysVF1v0zAUfUfiP1h+Z0n6sbXR0mnaGEIa&#10;MDEQz7e2k1g4trHdpuXXc+20JWMCIUQiRbn+OD733ON7ebXrFNkK56XRFS3OckqEZoZL3VT086e7&#10;VwtKfADNQRktKroXnl6tXr647G0pJqY1igtHEET7srcVbUOwZZZ51ooO/JmxQuNkbVwHAUPXZNxB&#10;j+idyiZ5fp71xnHrDBPe4+jtMElXCb+uBQsf6tqLQFRFkVtIX5e+6/jNVpdQNg5sK9mBBvwDiw6k&#10;xkNPULcQgGycfAbVSeaMN3U4Y6bLTF1LJlIOmE2R/5LNYwtWpFxQHG9PMvn/B8vebx8ckRxrN6VE&#10;Q4c1+oiqgW6UILOoT299icse7YOLGXp7b9hXT7S5aXGVuHbO9K0AjqyKuD57siEGHreSdf/OcESH&#10;TTBJql3tugiIIpBdqsj+VBGxC4ThYHFxfjHJ55QwnFsultNpKlkG5XG3dT68EaYj8aeiDrkndNje&#10;+xDZQHlcktgbJfmdVCoFrlnfKEe2gO64nsc37VWbDrkOw0Uen8EnOI5uGsaPPPyAkQ7yY3ClSV/R&#10;6QIBEuiTSb/3p4PRzdz0lCjwAQcrepeeZ0yW8z8TSZDPeXQy4A1TsqvoYpRLrNhrzZP/A0g1/KNa&#10;SkdpRLo7KGGq0AYhHlveEy6jyJPFdIn3mkskO13k5/nyghJQDXYAFhwlzoQvMrTJvrGkf6t1TPB3&#10;UkMJyrYwiH9aiHzHBTBHokmGUQ7Jk9GGg53Dbr07OHtt+B7diZSTBbGV4U9r3HdKemwLFfXfNuAE&#10;luetRocvi9ks9pEUzOZoTkx3PLMez4BmCHVQZQhuAsa4aWOdbFo8q0jyaHON96KWybLxzgy8MI8Y&#10;4OVPGR0aVewu4zit+tlOVz8AAAD//wMAUEsDBBQABgAIAAAAIQAl3HZf3gAAAAkBAAAPAAAAZHJz&#10;L2Rvd25yZXYueG1sTI/LTsMwEEX3SPyDNUhsEHV4JK3SOFWpxIoFakv3bjyNo8bjKHaTlK9nWMHy&#10;6lzdR7GaXCsG7EPjScHTLAGBVHnTUK3ga//+uAARoiajW0+o4IoBVuXtTaFz40fa4rCLteAQCrlW&#10;YGPscilDZdHpMPMdErOT752OLPtaml6PHO5a+ZwkmXS6IW6wusONxeq8uzgF35+n9u06fES7Oawf&#10;DlU6dvvtqNT93bRegog4xT8z/M7n6VDypqO/kAmiVfCSLVK2MpiDYJ69ZnzlyDqdpyDLQv5/UP4A&#10;AAD//wMAUEsBAi0AFAAGAAgAAAAhALaDOJL+AAAA4QEAABMAAAAAAAAAAAAAAAAAAAAAAFtDb250&#10;ZW50X1R5cGVzXS54bWxQSwECLQAUAAYACAAAACEAOP0h/9YAAACUAQAACwAAAAAAAAAAAAAAAAAv&#10;AQAAX3JlbHMvLnJlbHNQSwECLQAUAAYACAAAACEAh4TGyKQCAACWBQAADgAAAAAAAAAAAAAAAAAu&#10;AgAAZHJzL2Uyb0RvYy54bWxQSwECLQAUAAYACAAAACEAJdx2X94AAAAJAQAADwAAAAAAAAAAAAAA&#10;AAD+BAAAZHJzL2Rvd25yZXYueG1sUEsFBgAAAAAEAAQA8wAAAAkGAAAAAA==&#10;" fillcolor="#a5a5a5" strokecolor="#f2f2f2" strokeweight="3pt">
                <v:shadow on="t" color="#525252" opacity=".5" offset="1pt"/>
                <v:textbox>
                  <w:txbxContent>
                    <w:p w14:paraId="20768BAC" w14:textId="77777777" w:rsidR="00526BDB" w:rsidRPr="00C01097" w:rsidRDefault="00526BDB" w:rsidP="00D95EC3">
                      <w:pPr>
                        <w:jc w:val="center"/>
                        <w:rPr>
                          <w:rFonts w:cs="Arial"/>
                          <w:sz w:val="28"/>
                          <w:szCs w:val="28"/>
                        </w:rPr>
                      </w:pPr>
                      <w:r>
                        <w:rPr>
                          <w:rFonts w:cs="Arial"/>
                          <w:sz w:val="28"/>
                          <w:szCs w:val="28"/>
                        </w:rPr>
                        <w:t>Home Office decision</w:t>
                      </w:r>
                    </w:p>
                  </w:txbxContent>
                </v:textbox>
                <w10:wrap anchorx="margin"/>
              </v:rect>
            </w:pict>
          </mc:Fallback>
        </mc:AlternateContent>
      </w:r>
      <w:r>
        <w:rPr>
          <w:noProof/>
        </w:rPr>
        <mc:AlternateContent>
          <mc:Choice Requires="wps">
            <w:drawing>
              <wp:anchor distT="0" distB="0" distL="114300" distR="114300" simplePos="0" relativeHeight="251659264" behindDoc="0" locked="0" layoutInCell="1" allowOverlap="1" wp14:anchorId="60D9E9C3" wp14:editId="6F1C4F82">
                <wp:simplePos x="0" y="0"/>
                <wp:positionH relativeFrom="margin">
                  <wp:posOffset>590550</wp:posOffset>
                </wp:positionH>
                <wp:positionV relativeFrom="paragraph">
                  <wp:posOffset>1677670</wp:posOffset>
                </wp:positionV>
                <wp:extent cx="1276350" cy="638175"/>
                <wp:effectExtent l="19050" t="19050" r="19050" b="47625"/>
                <wp:wrapNone/>
                <wp:docPr id="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638175"/>
                        </a:xfrm>
                        <a:prstGeom prst="rect">
                          <a:avLst/>
                        </a:prstGeom>
                        <a:solidFill>
                          <a:srgbClr val="A5A5A5">
                            <a:lumMod val="100000"/>
                            <a:lumOff val="0"/>
                          </a:srgbClr>
                        </a:solidFill>
                        <a:ln w="38100">
                          <a:solidFill>
                            <a:sysClr val="window" lastClr="FFFFFF">
                              <a:lumMod val="95000"/>
                              <a:lumOff val="0"/>
                            </a:sysClr>
                          </a:solidFill>
                          <a:miter lim="800000"/>
                          <a:headEnd/>
                          <a:tailEnd/>
                        </a:ln>
                        <a:effectLst>
                          <a:outerShdw dist="28398" dir="3806097" algn="ctr" rotWithShape="0">
                            <a:srgbClr val="A5A5A5">
                              <a:lumMod val="50000"/>
                              <a:lumOff val="0"/>
                              <a:alpha val="50000"/>
                            </a:srgbClr>
                          </a:outerShdw>
                        </a:effectLst>
                      </wps:spPr>
                      <wps:txbx>
                        <w:txbxContent>
                          <w:p w14:paraId="66C510AA" w14:textId="77777777" w:rsidR="00526BDB" w:rsidRPr="00C01097" w:rsidRDefault="00526BDB" w:rsidP="00D95EC3">
                            <w:pPr>
                              <w:jc w:val="center"/>
                              <w:rPr>
                                <w:rFonts w:cs="Arial"/>
                                <w:sz w:val="28"/>
                                <w:szCs w:val="28"/>
                              </w:rPr>
                            </w:pPr>
                            <w:r w:rsidRPr="00C01097">
                              <w:rPr>
                                <w:rFonts w:cs="Arial"/>
                                <w:sz w:val="28"/>
                                <w:szCs w:val="28"/>
                              </w:rPr>
                              <w:t>Judicial review</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0D9E9C3" id="Rectangle 1" o:spid="_x0000_s1027" style="position:absolute;left:0;text-align:left;margin-left:46.5pt;margin-top:132.1pt;width:100.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odooQIAAJ0FAAAOAAAAZHJzL2Uyb0RvYy54bWysVG1v0zAQ/o7Ef7D8nSVp17do6VR1DCEN&#10;mBiIz67tJBaObWy3afn1nC9bKatACJFIUe58fvzc3eO7ut53muykD8qaihYXOSXScCuUaSr6+dPt&#10;qzklITIjmLZGVvQgA71evnxx1btSjmxrtZCeAIgJZe8q2sboyiwLvJUdCxfWSQOLtfUdi2D6JhOe&#10;9YDe6WyU59Ost144b7kMAbw3wyJdIn5dSx4/1HWQkeiKAreIX4/fTfpmyytWNp65VvFHGuwfWHRM&#10;GTj0CHXDIiNbr86gOsW9DbaOF9x2ma1rxSXmANkU+bNsHlrmJOYCxQnuWKbw/2D5+929J0pA70aU&#10;GNZBjz5C1ZhptCRFqk/vQglhD+7epwyDu7P8ayDGrluIkivvbd9KJoAVxme/bEhGgK1k07+zAtDZ&#10;Nlos1b72XQKEIpA9duRw7IjcR8LBWYxm0/EEGsdhbTqeF7NJopSx8mm38yG+kbYj6aeiHrgjOtvd&#10;hTiEPoUge6uVuFVao+GbzVp7smOgjtUkvbhXbzvgOriLPD2DTsAPahr86AIeYcBATuEUXBvSVxQo&#10;w+7zkw/heDCoWdieEs1CBGdFb/E5Y7KY/JkIQp7z6FSEG6ZVV9H5SS6pY6+NQP1HpvTwDwlpk9hK&#10;vDtQwmTYLUA8tKInQqUij+bjBdxroYDseJ5P88WMEqYbmAA8ekq8jV9UbFG+qaV/W+uU4O9KzUqm&#10;XcuG4h8DnzXgSBTLcJIDajLJcJBz3G/2g+ifBL6x4gAiBeaoRJho8NNa/52SHqZDRcO3LfMSuvTW&#10;gNAXxeVlGidoXE5mIzD86crmdIUZDlCPxRmMdQQbNm2dV00LZxVYJWNXcD1qhcpNV2fgBekkA2YA&#10;JvY4r9KQObUx6udUXf4AAAD//wMAUEsDBBQABgAIAAAAIQAp1Ddo4QAAAAoBAAAPAAAAZHJzL2Rv&#10;d25yZXYueG1sTI/NTsMwEITvSLyDtUhcEHVIQ2jTbKpSiRMH1Jbe3XgbR/gnit0k5ekxJzjOzmj2&#10;m3I9Gc0G6n3rLMLTLAFGtnaytQ3C5+HtcQHMB2Gl0M4SwpU8rKvbm1IU0o12R8M+NCyWWF8IBBVC&#10;V3Dua0VG+JnryEbv7HojQpR9w2UvxlhuNE+TJOdGtDZ+UKKjraL6a38xCN8fZ/16Hd6D2h43D8f6&#10;eewOuxHx/m7arIAFmsJfGH7xIzpUkenkLlZ6phGW8zglIKR5lgKLgXSZxcsJYZ5nL8Crkv+fUP0A&#10;AAD//wMAUEsBAi0AFAAGAAgAAAAhALaDOJL+AAAA4QEAABMAAAAAAAAAAAAAAAAAAAAAAFtDb250&#10;ZW50X1R5cGVzXS54bWxQSwECLQAUAAYACAAAACEAOP0h/9YAAACUAQAACwAAAAAAAAAAAAAAAAAv&#10;AQAAX3JlbHMvLnJlbHNQSwECLQAUAAYACAAAACEAXC6HaKECAACdBQAADgAAAAAAAAAAAAAAAAAu&#10;AgAAZHJzL2Uyb0RvYy54bWxQSwECLQAUAAYACAAAACEAKdQ3aOEAAAAKAQAADwAAAAAAAAAAAAAA&#10;AAD7BAAAZHJzL2Rvd25yZXYueG1sUEsFBgAAAAAEAAQA8wAAAAkGAAAAAA==&#10;" fillcolor="#a5a5a5" strokecolor="#f2f2f2" strokeweight="3pt">
                <v:shadow on="t" color="#525252" opacity=".5" offset="1pt"/>
                <v:textbox>
                  <w:txbxContent>
                    <w:p w14:paraId="66C510AA" w14:textId="77777777" w:rsidR="00526BDB" w:rsidRPr="00C01097" w:rsidRDefault="00526BDB" w:rsidP="00D95EC3">
                      <w:pPr>
                        <w:jc w:val="center"/>
                        <w:rPr>
                          <w:rFonts w:cs="Arial"/>
                          <w:sz w:val="28"/>
                          <w:szCs w:val="28"/>
                        </w:rPr>
                      </w:pPr>
                      <w:r w:rsidRPr="00C01097">
                        <w:rPr>
                          <w:rFonts w:cs="Arial"/>
                          <w:sz w:val="28"/>
                          <w:szCs w:val="28"/>
                        </w:rPr>
                        <w:t>Judicial review</w:t>
                      </w:r>
                    </w:p>
                  </w:txbxContent>
                </v:textbox>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22E9BD60" wp14:editId="48F2E492">
                <wp:simplePos x="0" y="0"/>
                <wp:positionH relativeFrom="column">
                  <wp:posOffset>4587875</wp:posOffset>
                </wp:positionH>
                <wp:positionV relativeFrom="paragraph">
                  <wp:posOffset>1681480</wp:posOffset>
                </wp:positionV>
                <wp:extent cx="1276350" cy="638175"/>
                <wp:effectExtent l="19050" t="19050" r="19050" b="47625"/>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638175"/>
                        </a:xfrm>
                        <a:prstGeom prst="rect">
                          <a:avLst/>
                        </a:prstGeom>
                        <a:solidFill>
                          <a:srgbClr val="A5A5A5">
                            <a:lumMod val="100000"/>
                            <a:lumOff val="0"/>
                          </a:srgbClr>
                        </a:solidFill>
                        <a:ln w="38100">
                          <a:solidFill>
                            <a:sysClr val="window" lastClr="FFFFFF">
                              <a:lumMod val="95000"/>
                              <a:lumOff val="0"/>
                            </a:sysClr>
                          </a:solidFill>
                          <a:miter lim="800000"/>
                          <a:headEnd/>
                          <a:tailEnd/>
                        </a:ln>
                        <a:effectLst>
                          <a:outerShdw dist="28398" dir="3806097" algn="ctr" rotWithShape="0">
                            <a:srgbClr val="A5A5A5">
                              <a:lumMod val="50000"/>
                              <a:lumOff val="0"/>
                              <a:alpha val="50000"/>
                            </a:srgbClr>
                          </a:outerShdw>
                        </a:effectLst>
                      </wps:spPr>
                      <wps:txbx>
                        <w:txbxContent>
                          <w:p w14:paraId="48415B5B" w14:textId="77777777" w:rsidR="00526BDB" w:rsidRPr="00C01097" w:rsidRDefault="00526BDB" w:rsidP="00D95EC3">
                            <w:pPr>
                              <w:jc w:val="center"/>
                              <w:rPr>
                                <w:rFonts w:cs="Arial"/>
                                <w:sz w:val="28"/>
                                <w:szCs w:val="28"/>
                              </w:rPr>
                            </w:pPr>
                            <w:r>
                              <w:rPr>
                                <w:rFonts w:cs="Arial"/>
                                <w:sz w:val="28"/>
                                <w:szCs w:val="28"/>
                              </w:rPr>
                              <w:t>Appeal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2E9BD60" id="Rectangle 8" o:spid="_x0000_s1028" style="position:absolute;left:0;text-align:left;margin-left:361.25pt;margin-top:132.4pt;width:100.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fIwowIAAJ0FAAAOAAAAZHJzL2Uyb0RvYy54bWysVF1v0zAUfUfiP1h+Z0na9StaOk0bQ0gD&#10;Jgbi+dZ2GgvHDrbbtPx6rm+2UlaBECKRolx/HJ977vG9uNy1hm2VD9rZihdnOWfKCie1XVf886fb&#10;V3POQgQrwTirKr5XgV8uX7646LtSjVzjjFSeIYgNZd9VvImxK7MsiEa1EM5cpyxO1s63EDH060x6&#10;6BG9Ndkoz6dZ77zsvBMqBBy9GSb5kvDrWon4oa6DisxUHLlF+nr6rtI3W15AufbQNVo80oB/YNGC&#10;tnjoAeoGIrCN1ydQrRbeBVfHM+HazNW1FopywGyK/Fk2Dw10inJBcUJ3kCn8P1jxfnvvmZZYu4Iz&#10;Cy3W6COqBnZtFJsnffoulLjsobv3KcPQ3TnxNTDrrhtcpa68d32jQCKrIq3PftmQgoBb2ap/5ySi&#10;wyY6kmpX+zYBoghsRxXZHyqidpEJHCxGs+l4goUTODcdz4vZhI6A8ml350N8o1zL0k/FPXIndNje&#10;hZjYQPm0hNg7o+WtNoYCv15dG8+2gO64mqSX9ppNi1yH4SJPz+ATHEc3DeM0hOBhwKCDwjG4sayv&#10;OFLG3acn78PhYHSzdD1nBkLEwYrf0nPCZDH5MxGCPOXR6og3zOi24vOjXFLFXltJ/o+gzfCPCRmb&#10;2Cq6OyhhCtwGIR4a2TOpk8ij+XiB91pqJDue59N8MeMMzBo7gIieM+/iFx0bsm8q6d9qnRL8ndRQ&#10;gukaGMQ/LHxWgANRkuEoB/JksuFg57hb7cj0oyeDr5zco0mROTkROxr+NM5/56zH7lDx8G0DXmGV&#10;3lo0+qI4P0/thILzyWyEgT+eWR3PgBUI9SjOEFxHjHHTpvN63eBZBalk3RVej1qTc9PVGXhhOinA&#10;HkCJPfar1GSOY1r1s6sufwAAAP//AwBQSwMEFAAGAAgAAAAhAHLWw2/hAAAACwEAAA8AAABkcnMv&#10;ZG93bnJldi54bWxMj8FOwzAMhu9IvENkJC6IpbS0QGk6jUmcOEzb2D1rsqYicaomazueHnOCo+1P&#10;v7+/Ws7OslEPofMo4GGRANPYeNVhK+Bz/37/DCxEiUpaj1rARQdY1tdXlSyVn3Crx11sGYVgKKUA&#10;E2Nfch4ao50MC99rpNvJD05GGoeWq0FOFO4sT5Ok4E52SB+M7PXa6OZrd3YCvjcn+3YZP6JZH1Z3&#10;hyaf+v12EuL2Zl69Aot6jn8w/OqTOtTkdPRnVIFZAU9pmhMqIC0eqQMRL2lGm6OArMgz4HXF/3eo&#10;fwAAAP//AwBQSwECLQAUAAYACAAAACEAtoM4kv4AAADhAQAAEwAAAAAAAAAAAAAAAAAAAAAAW0Nv&#10;bnRlbnRfVHlwZXNdLnhtbFBLAQItABQABgAIAAAAIQA4/SH/1gAAAJQBAAALAAAAAAAAAAAAAAAA&#10;AC8BAABfcmVscy8ucmVsc1BLAQItABQABgAIAAAAIQC1MfIwowIAAJ0FAAAOAAAAAAAAAAAAAAAA&#10;AC4CAABkcnMvZTJvRG9jLnhtbFBLAQItABQABgAIAAAAIQBy1sNv4QAAAAsBAAAPAAAAAAAAAAAA&#10;AAAAAP0EAABkcnMvZG93bnJldi54bWxQSwUGAAAAAAQABADzAAAACwYAAAAA&#10;" fillcolor="#a5a5a5" strokecolor="#f2f2f2" strokeweight="3pt">
                <v:shadow on="t" color="#525252" opacity=".5" offset="1pt"/>
                <v:textbox>
                  <w:txbxContent>
                    <w:p w14:paraId="48415B5B" w14:textId="77777777" w:rsidR="00526BDB" w:rsidRPr="00C01097" w:rsidRDefault="00526BDB" w:rsidP="00D95EC3">
                      <w:pPr>
                        <w:jc w:val="center"/>
                        <w:rPr>
                          <w:rFonts w:cs="Arial"/>
                          <w:sz w:val="28"/>
                          <w:szCs w:val="28"/>
                        </w:rPr>
                      </w:pPr>
                      <w:r>
                        <w:rPr>
                          <w:rFonts w:cs="Arial"/>
                          <w:sz w:val="28"/>
                          <w:szCs w:val="28"/>
                        </w:rPr>
                        <w:t>Appeal</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7C12D60D" wp14:editId="233A6469">
                <wp:simplePos x="0" y="0"/>
                <wp:positionH relativeFrom="column">
                  <wp:posOffset>5234940</wp:posOffset>
                </wp:positionH>
                <wp:positionV relativeFrom="paragraph">
                  <wp:posOffset>1348740</wp:posOffset>
                </wp:positionV>
                <wp:extent cx="194945" cy="304800"/>
                <wp:effectExtent l="19050" t="0" r="0" b="19050"/>
                <wp:wrapNone/>
                <wp:docPr id="10" name="Arrow: Dow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3048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EA416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9" o:spid="_x0000_s1026" type="#_x0000_t67" style="position:absolute;margin-left:412.2pt;margin-top:106.2pt;width:15.3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kzSkwIAAFoFAAAOAAAAZHJzL2Uyb0RvYy54bWysVE1v2zAMvQ/YfxB0X51k6doYTYqgQYcB&#10;QRugHXpmZTkWJomapMTJfv0o2WnSdodhmA+CaFLk4+PH1fXOaLaVPii0Uz48G3AmrcBK2fWUf3+8&#10;/XTJWYhgK9Bo5ZTvZeDXs48frlpXyhE2qCvpGTmxoWzdlDcxurIogmikgXCGTlpS1ugNRBL9uqg8&#10;tOTd6GI0GHwpWvSV8yhkCPR30Sn5LPuvaynifV0HGZmecsIW8+nz+ZzOYnYF5dqDa5ToYcA/oDCg&#10;LAV9cbWACGzj1TtXRgmPAet4JtAUWNdKyJwDZTMcvMnmoQEncy5ETnAvNIX/51bcbVeeqYpqR/RY&#10;MFSjuffYlmyBrWXDSaKodaEkywe38inJ4JYofgRSFK80SQi9za72JtlSimyX+d6/8C13kQn6OZyM&#10;J+NzzgSpPg/Gl4NcjwLKw2PnQ/wq0bB0mfKKEGVwmWrYLkNMGKA82GVwqFV1q7TOwj7caM+2QOWn&#10;riEHjxScMw0hkoIQ5S/lSG7C6VNtWUsQRxeEigmg3qw10FNhHLEV7Joz0GtqehF9xvPqdfjLwBlk&#10;A5XsMJ4nOAc02cV7YCnZBYSme5Gjdm1sVKRZ0spMOVF5dKRtiiLzNPSUHSuVbs9Y7akLPHbjEZy4&#10;VRRkSSStwNM8EAM04/Gejloj0YL9jbMG/a8//U/21Kak5ayl+SLKfm7AS+L+m6UGngzH4zSQWRif&#10;X4xI8Kea51ON3ZgbpBoOaZs4ka/JPurDtfZonmgVzFNUUoEVFLsrTi/cxG7uaZkIOZ9nMxpCB3Fp&#10;H5xIzhNPid7H3RN413ddpI65w8MsQvmm7zrb9NLifBOxVrkpj7z2U0IDnGvZL5u0IU7lbHVcibPf&#10;AAAA//8DAFBLAwQUAAYACAAAACEAJnxYs9wAAAALAQAADwAAAGRycy9kb3ducmV2LnhtbEyPz06E&#10;MBCH7ya+QzMm3twWBIJI2WxM1GRvrj5AoSMQ6ZTQLotv73jS2/z58ptv6v3mJrHiEkZPGpKdAoHU&#10;eTtSr+Hj/fmuBBGiIWsmT6jhGwPsm+ur2lTWX+gN11PsBYdQqIyGIca5kjJ0AzoTdn5G4t2nX5yJ&#10;3C69tIu5cLibZKpUIZ0ZiS8MZsanAbuv09lpaF8L166UH5063j+4Q/myLei0vr3ZDo8gIm7xD4Zf&#10;fVaHhp1afyYbxKShTLOMUQ1pknLBRJnnCYiWJ4XKQDa1/P9D8wMAAP//AwBQSwECLQAUAAYACAAA&#10;ACEAtoM4kv4AAADhAQAAEwAAAAAAAAAAAAAAAAAAAAAAW0NvbnRlbnRfVHlwZXNdLnhtbFBLAQIt&#10;ABQABgAIAAAAIQA4/SH/1gAAAJQBAAALAAAAAAAAAAAAAAAAAC8BAABfcmVscy8ucmVsc1BLAQIt&#10;ABQABgAIAAAAIQA8vkzSkwIAAFoFAAAOAAAAAAAAAAAAAAAAAC4CAABkcnMvZTJvRG9jLnhtbFBL&#10;AQItABQABgAIAAAAIQAmfFiz3AAAAAsBAAAPAAAAAAAAAAAAAAAAAO0EAABkcnMvZG93bnJldi54&#10;bWxQSwUGAAAAAAQABADzAAAA9gUAAAAA&#10;" adj="14693" fillcolor="windowText" strokeweight="1pt">
                <v:path arrowok="t"/>
              </v:shape>
            </w:pict>
          </mc:Fallback>
        </mc:AlternateContent>
      </w:r>
      <w:r>
        <w:rPr>
          <w:noProof/>
        </w:rPr>
        <mc:AlternateContent>
          <mc:Choice Requires="wps">
            <w:drawing>
              <wp:anchor distT="0" distB="0" distL="114300" distR="114300" simplePos="0" relativeHeight="251666432" behindDoc="0" locked="0" layoutInCell="1" allowOverlap="1" wp14:anchorId="79AAAA2E" wp14:editId="430A4135">
                <wp:simplePos x="0" y="0"/>
                <wp:positionH relativeFrom="column">
                  <wp:posOffset>1004570</wp:posOffset>
                </wp:positionH>
                <wp:positionV relativeFrom="paragraph">
                  <wp:posOffset>1348740</wp:posOffset>
                </wp:positionV>
                <wp:extent cx="194945" cy="304800"/>
                <wp:effectExtent l="19050" t="0" r="0" b="19050"/>
                <wp:wrapNone/>
                <wp:docPr id="9" name="Arrow: Down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3048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C5E5551" id="Arrow: Down 18" o:spid="_x0000_s1026" type="#_x0000_t67" style="position:absolute;margin-left:79.1pt;margin-top:106.2pt;width:15.3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Db6kwIAAFkFAAAOAAAAZHJzL2Uyb0RvYy54bWysVE1v2zAMvQ/YfxB0X51k6doYdYqgQYcB&#10;QVugHXpmZTkWJomapMTJfv0o2WnTdodhmA+CaFLk4+PHxeXOaLaVPii0FR+fjDiTVmCt7Lri3x+u&#10;P51zFiLYGjRaWfG9DPxy/vHDRedKOcEWdS09Iyc2lJ2reBujK4siiFYaCCfopCVlg95AJNGvi9pD&#10;R96NLiaj0ZeiQ187j0KGQH+XvZLPs/+mkSLeNk2QkemKE7aYT5/Pp3QW8wso1x5cq8QAA/4BhQFl&#10;KeizqyVEYBuv3rkySngM2MQTgabAplFC5hwom/HoTTb3LTiZcyFygnumKfw/t+Jme+eZqis+48yC&#10;oRItvMeuZEvsLBufJ4Y6F0oyvHd3PuUY3ArFj0CK4pUmCWGw2TXeJFvKkO0y3ftnuuUuMkE/x7Pp&#10;bHrKmSDV59H0fJTLUUB5eOx8iF8lGpYuFa8JUQaXmYbtKsSEAcqDXQaHWtXXSuss7MOV9mwLVH1q&#10;GnLwQME50xAiKQhR/lKO5CYcP9WWdQRxckaomABqzUYDPRXGEVnBrjkDvaaeF9FnPK9eh78MnEG2&#10;UMse42mCc0CTXbwHlpJdQmj7Fzlq38VGRRolrUzFicoXR9qmKDIPw0DZS6XS7QnrPTWBx346ghPX&#10;ioKsiKQ78DQOxACNeLylo9FItOBw46xF/+tP/5M9dSlpOetovIiynxvwkrj/Zql/Z+PpNM1jFqan&#10;ZxMS/LHm6VhjN+YKqYZjWiZO5Guyj/pwbTyaR9oEixSVVGAFxe6LMwhXsR972iVCLhbZjGbQQVzZ&#10;eyeS88RTovdh9wjeDV0XqWNu8DCKUL7pu942vbS42ERsVG7KF16HKaH5zbUcdk1aEMdytnrZiPPf&#10;AAAA//8DAFBLAwQUAAYACAAAACEApNLebtwAAAALAQAADwAAAGRycy9kb3ducmV2LnhtbEyPwU7D&#10;MAyG70i8Q2QkbixZ2aqsNJ0mJEDajcEDpI1pK2qnarKuvD3ZCY6//en353K/0CBmnELv2cB6pUAg&#10;N9713Br4/Hh50CBCtOzs4BkN/GCAfXV7U9rC+Qu/43yKrUglHAproItxLKQMTYdkw8qPyGn35Sey&#10;McWplW6yl1ROg8yUyiXZntOFzo743GHzfTqTgfotp3rm7ZHU8XFHB/26TEjG3N8thycQEZf4B8NV&#10;P6lDlZxqf2YXxJDyVmcJNZCtsw2IK6H1DkSdJrnagKxK+f+H6hcAAP//AwBQSwECLQAUAAYACAAA&#10;ACEAtoM4kv4AAADhAQAAEwAAAAAAAAAAAAAAAAAAAAAAW0NvbnRlbnRfVHlwZXNdLnhtbFBLAQIt&#10;ABQABgAIAAAAIQA4/SH/1gAAAJQBAAALAAAAAAAAAAAAAAAAAC8BAABfcmVscy8ucmVsc1BLAQIt&#10;ABQABgAIAAAAIQBsaDb6kwIAAFkFAAAOAAAAAAAAAAAAAAAAAC4CAABkcnMvZTJvRG9jLnhtbFBL&#10;AQItABQABgAIAAAAIQCk0t5u3AAAAAsBAAAPAAAAAAAAAAAAAAAAAO0EAABkcnMvZG93bnJldi54&#10;bWxQSwUGAAAAAAQABADzAAAA9gUAAAAA&#10;" adj="14693" fillcolor="windowText" strokeweight="1pt">
                <v:path arrowok="t"/>
              </v:shape>
            </w:pict>
          </mc:Fallback>
        </mc:AlternateContent>
      </w:r>
      <w:r>
        <w:rPr>
          <w:noProof/>
        </w:rPr>
        <mc:AlternateContent>
          <mc:Choice Requires="wps">
            <w:drawing>
              <wp:anchor distT="0" distB="0" distL="114300" distR="114300" simplePos="0" relativeHeight="251661312" behindDoc="0" locked="0" layoutInCell="1" allowOverlap="1" wp14:anchorId="234F917C" wp14:editId="072F5A7A">
                <wp:simplePos x="0" y="0"/>
                <wp:positionH relativeFrom="margin">
                  <wp:posOffset>3012440</wp:posOffset>
                </wp:positionH>
                <wp:positionV relativeFrom="paragraph">
                  <wp:posOffset>851535</wp:posOffset>
                </wp:positionV>
                <wp:extent cx="434975" cy="1143000"/>
                <wp:effectExtent l="19050" t="0" r="22225" b="19050"/>
                <wp:wrapNone/>
                <wp:docPr id="8" name="Arrow: Dow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975" cy="11430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32708" id="Arrow: Down 5" o:spid="_x0000_s1026" type="#_x0000_t67" style="position:absolute;margin-left:237.2pt;margin-top:67.05pt;width:34.25pt;height:9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tXkQIAAFkFAAAOAAAAZHJzL2Uyb0RvYy54bWysVE1v2zAMvQ/YfxB0X52kyboadYqgQYcB&#10;QVugHXpmZTkWJomapMTJfv0o2WnTdodhmA+CaFLk4+PHxeXOaLaVPii0FR+fjDiTVmCt7Lri3x+u&#10;P33hLESwNWi0suJ7Gfjl/OOHi86VcoIt6lp6Rk5sKDtX8TZGVxZFEK00EE7QSUvKBr2BSKJfF7WH&#10;jrwbXUxGo89Fh752HoUMgf4ueyWfZ/9NI0W8bZogI9MVJ2wxnz6fT+ks5hdQrj24VokBBvwDCgPK&#10;UtBnV0uIwDZevXNllPAYsIknAk2BTaOEzDlQNuPRm2zuW3Ay50LkBPdMU/h/bsXN9s4zVVecCmXB&#10;UIkW3mNXsiV2ls0SQZ0LJdnduzufUgxuheJHIEXxSpOEMNjsGm+SLSXIdpnt/TPbcheZoJ/T0+n5&#10;2YwzQarxeHo6GuVyFFAeXjsf4leJhqVLxWtClMFlpmG7CjGBgPJgl9GhVvW10joL+3ClPdsCVZ+a&#10;hhw8UHTONIRICoKUv5QkuQnHT7VlHeGanBEqJoBas9FAT4VxRFawa85Ar6nnRfQZz6vX4S8DZ5At&#10;1LLHOEtwDmiyi/fAUrJLCG3/Ikftu9ioSKOklaFaHqelbYoi8zAMlL2UKt2esN5TE3jspyM4ca0o&#10;yIpIugNP40AM0IjHWzoajUQLDjfOWvS//vQ/2VOXkpazjsaLKPu5AS+J+2+W+vd8PJ2meczCdHY2&#10;IcEfa56ONXZjrpBqOKZl4kS+JvuoD9fGo3mkTbBIUUkFVlDsvjiDcBX7saddIuRikc1oBh3Elb13&#10;IjlPPCV6H3aP4N3QdZE65gYPowjlm77rbdNLi4tNxEblpnzhdRgTmt9cy2HXpAVxLGerl404/w0A&#10;AP//AwBQSwMEFAAGAAgAAAAhALRK+pLfAAAACwEAAA8AAABkcnMvZG93bnJldi54bWxMj8FOwzAM&#10;hu9IvENkJG4s7RoYlKYTA43DuMDGhZvXmLaiSUqTdd3bY05wtP9Pvz8Xy8l2YqQhtN5pSGcJCHKV&#10;N62rNbzv1le3IEJEZ7DzjjScKMCyPD8rMDf+6N5o3MZacIkLOWpoYuxzKUPVkMUw8z05zj79YDHy&#10;ONTSDHjkctvJeZLcSIut4wsN9vTYUPW1PVgNqzWdjMleN/6p+lip6RlxfPnW+vJiergHEWmKfzD8&#10;6rM6lOy09wdngug0qIVSjHKQqRQEE9dqfgdiryFLeSPLQv7/ofwBAAD//wMAUEsBAi0AFAAGAAgA&#10;AAAhALaDOJL+AAAA4QEAABMAAAAAAAAAAAAAAAAAAAAAAFtDb250ZW50X1R5cGVzXS54bWxQSwEC&#10;LQAUAAYACAAAACEAOP0h/9YAAACUAQAACwAAAAAAAAAAAAAAAAAvAQAAX3JlbHMvLnJlbHNQSwEC&#10;LQAUAAYACAAAACEAkj67V5ECAABZBQAADgAAAAAAAAAAAAAAAAAuAgAAZHJzL2Uyb0RvYy54bWxQ&#10;SwECLQAUAAYACAAAACEAtEr6kt8AAAALAQAADwAAAAAAAAAAAAAAAADrBAAAZHJzL2Rvd25yZXYu&#10;eG1sUEsFBgAAAAAEAAQA8wAAAPcFAAAAAA==&#10;" adj="17490" fillcolor="windowText" strokeweight="1pt">
                <v:path arrowok="t"/>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3E8D15BE" wp14:editId="65337946">
                <wp:simplePos x="0" y="0"/>
                <wp:positionH relativeFrom="column">
                  <wp:posOffset>3378835</wp:posOffset>
                </wp:positionH>
                <wp:positionV relativeFrom="paragraph">
                  <wp:posOffset>1021080</wp:posOffset>
                </wp:positionV>
                <wp:extent cx="2033270" cy="292735"/>
                <wp:effectExtent l="0" t="19050" r="24130" b="12065"/>
                <wp:wrapNone/>
                <wp:docPr id="7" name="Arrow: Righ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3270" cy="29273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1DF4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7" o:spid="_x0000_s1026" type="#_x0000_t13" style="position:absolute;margin-left:266.05pt;margin-top:80.4pt;width:160.1pt;height:2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TskwIAAFwFAAAOAAAAZHJzL2Uyb0RvYy54bWysVN9P2zAQfp+0/8Hy+0gbYIWIFFUgpkkV&#10;Q4OJ58NxGmu2z7Pdpt1fv7OTQmF7mKblwfLlfn33+e4uLrdGs430QaGt+fRowpm0AhtlVzX/9nDz&#10;4YyzEME2oNHKmu9k4Jfz9+8uelfJEjvUjfSMgthQ9a7mXYyuKoogOmkgHKGTlpQtegORRL8qGg89&#10;RTe6KCeTj0WPvnEehQyB/l4PSj7P8dtWivilbYOMTNecsMV8+nw+pbOYX0C18uA6JUYY8A8oDChL&#10;SZ9DXUMEtvbqt1BGCY8B23gk0BTYtkrIXANVM528qea+AydzLUROcM80hf8XVtxu7jxTTc1nnFkw&#10;9EQL77Gv2Fe16iKbzhJFvQsVWd67O5+KDG6J4nsgRfFKk4Qw2mxbb5Itlci2me/dM99yG5mgn+Xk&#10;+Lic0bMI0pXn5ez4NGUroNp7Ox/iJ4mGpUvNfcKU8WWyYbMMcXDYG2Z4qFVzo7TOwi5cac82QA1A&#10;fdNg/0DpOdMQIikIU/7GvOHQVVvWU08TwgQRqDtbDeQqjCO+gl1xBnpFbS+iz3heeYe/TJxBdtDI&#10;AeNpgrNHk0NkQl6FTsVeQ+gGj6xKHlAZFWmatDI1PzssS9uklXkeRspe3irdnrDZUR94HAYkOHGj&#10;KMmSSLoDTxNBDNCUxy90tBqJFhxvnHXof/7pf7KnRiUtZz1NGFH2Yw1eEvefLbXw+fTkJI1kFk5O&#10;ZyUJ/lDzdKixa3OF9IZT2idO5Guyj3p/bT2aR1oGi5SVVGAF5R4eZxSu4jD5tE6EXCyyGY2hg7i0&#10;906k4ImnRO/D9hG8G9suUsfc4n4aoXrTd4Nt8rS4WEdsVW7KF17HOaERzm85rpu0Iw7lbPWyFOe/&#10;AAAA//8DAFBLAwQUAAYACAAAACEA5Rv+deIAAAALAQAADwAAAGRycy9kb3ducmV2LnhtbEyPwU7D&#10;MBBE70j8g7VI3KidRIlCGqeqkHpAAlpKDz268TaJiO0Qu034e5YTHFfzNPumXM2mZ1ccfeeshGgh&#10;gKGtne5sI+HwsXnIgfmgrFa9syjhGz2sqtubUhXaTfYdr/vQMCqxvlAS2hCGgnNft2iUX7gBLWVn&#10;NxoV6Bwbrkc1UbnpeSxExo3qLH1o1YBPLdaf+4uRsH2dtvnLs/lK0nTXv23CMVqfj1Le383rJbCA&#10;c/iD4Vef1KEip5O7WO1ZLyFN4ohQCjJBG4jI0zgBdpIQi+wReFXy/xuqHwAAAP//AwBQSwECLQAU&#10;AAYACAAAACEAtoM4kv4AAADhAQAAEwAAAAAAAAAAAAAAAAAAAAAAW0NvbnRlbnRfVHlwZXNdLnht&#10;bFBLAQItABQABgAIAAAAIQA4/SH/1gAAAJQBAAALAAAAAAAAAAAAAAAAAC8BAABfcmVscy8ucmVs&#10;c1BLAQItABQABgAIAAAAIQB0L/TskwIAAFwFAAAOAAAAAAAAAAAAAAAAAC4CAABkcnMvZTJvRG9j&#10;LnhtbFBLAQItABQABgAIAAAAIQDlG/514gAAAAsBAAAPAAAAAAAAAAAAAAAAAO0EAABkcnMvZG93&#10;bnJldi54bWxQSwUGAAAAAAQABADzAAAA/AUAAAAA&#10;" adj="20045" fillcolor="windowText" strokeweight="1pt">
                <v:path arrowok="t"/>
              </v:shape>
            </w:pict>
          </mc:Fallback>
        </mc:AlternateContent>
      </w:r>
    </w:p>
    <w:p w14:paraId="14988B75" w14:textId="77777777" w:rsidR="00D95EC3" w:rsidRPr="00D95EC3" w:rsidRDefault="00D95EC3" w:rsidP="00D95EC3">
      <w:pPr>
        <w:spacing w:after="120"/>
        <w:ind w:left="1080"/>
        <w:rPr>
          <w:rFonts w:cs="Arial"/>
          <w:bCs/>
          <w:color w:val="000000"/>
          <w:sz w:val="22"/>
          <w:szCs w:val="22"/>
          <w:lang w:eastAsia="en-GB"/>
        </w:rPr>
      </w:pPr>
    </w:p>
    <w:p w14:paraId="3B2ABEBA" w14:textId="77777777" w:rsidR="00D95EC3" w:rsidRPr="00D95EC3" w:rsidRDefault="00D95EC3" w:rsidP="00D95EC3">
      <w:pPr>
        <w:spacing w:after="120"/>
        <w:ind w:left="1080"/>
        <w:rPr>
          <w:rFonts w:cs="Arial"/>
          <w:bCs/>
          <w:color w:val="000000"/>
          <w:sz w:val="22"/>
          <w:szCs w:val="22"/>
          <w:lang w:eastAsia="en-GB"/>
        </w:rPr>
      </w:pPr>
    </w:p>
    <w:p w14:paraId="71E3BA63" w14:textId="77777777" w:rsidR="00D95EC3" w:rsidRPr="00D95EC3" w:rsidRDefault="00D95EC3" w:rsidP="00D95EC3">
      <w:pPr>
        <w:keepNext/>
        <w:keepLines/>
        <w:spacing w:before="360" w:after="240"/>
        <w:outlineLvl w:val="2"/>
        <w:rPr>
          <w:rFonts w:cs="Arial"/>
          <w:b/>
          <w:bCs/>
          <w:color w:val="000000"/>
          <w:szCs w:val="22"/>
          <w:lang w:eastAsia="en-GB"/>
        </w:rPr>
      </w:pPr>
    </w:p>
    <w:p w14:paraId="4872597B" w14:textId="77777777" w:rsidR="00D95EC3" w:rsidRPr="00D95EC3" w:rsidRDefault="00D95EC3" w:rsidP="00D95EC3">
      <w:pPr>
        <w:spacing w:after="120"/>
        <w:rPr>
          <w:rFonts w:cs="Arial"/>
          <w:bCs/>
          <w:color w:val="000000"/>
          <w:sz w:val="22"/>
          <w:szCs w:val="22"/>
          <w:lang w:eastAsia="en-GB"/>
        </w:rPr>
      </w:pPr>
    </w:p>
    <w:p w14:paraId="65DFA4B7" w14:textId="1BBD855C" w:rsidR="00D95EC3" w:rsidRPr="00D95EC3" w:rsidRDefault="00A92BFF" w:rsidP="00D95EC3">
      <w:pPr>
        <w:keepNext/>
        <w:keepLines/>
        <w:spacing w:before="360" w:after="240"/>
        <w:outlineLvl w:val="2"/>
        <w:rPr>
          <w:rFonts w:cs="Arial"/>
          <w:b/>
          <w:bCs/>
          <w:color w:val="000000"/>
          <w:szCs w:val="22"/>
          <w:lang w:eastAsia="en-GB"/>
        </w:rPr>
      </w:pPr>
      <w:r>
        <w:rPr>
          <w:noProof/>
        </w:rPr>
        <mc:AlternateContent>
          <mc:Choice Requires="wps">
            <w:drawing>
              <wp:anchor distT="0" distB="0" distL="114300" distR="114300" simplePos="0" relativeHeight="251662336" behindDoc="0" locked="0" layoutInCell="1" allowOverlap="1" wp14:anchorId="4587EFBE" wp14:editId="742DCA79">
                <wp:simplePos x="0" y="0"/>
                <wp:positionH relativeFrom="margin">
                  <wp:posOffset>2592705</wp:posOffset>
                </wp:positionH>
                <wp:positionV relativeFrom="paragraph">
                  <wp:posOffset>251460</wp:posOffset>
                </wp:positionV>
                <wp:extent cx="1418590" cy="638175"/>
                <wp:effectExtent l="19050" t="19050" r="10160" b="476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8590" cy="638175"/>
                        </a:xfrm>
                        <a:prstGeom prst="rect">
                          <a:avLst/>
                        </a:prstGeom>
                        <a:solidFill>
                          <a:srgbClr val="A5A5A5">
                            <a:lumMod val="100000"/>
                            <a:lumOff val="0"/>
                          </a:srgbClr>
                        </a:solidFill>
                        <a:ln w="38100">
                          <a:solidFill>
                            <a:sysClr val="window" lastClr="FFFFFF">
                              <a:lumMod val="95000"/>
                              <a:lumOff val="0"/>
                            </a:sysClr>
                          </a:solidFill>
                          <a:miter lim="800000"/>
                          <a:headEnd/>
                          <a:tailEnd/>
                        </a:ln>
                        <a:effectLst>
                          <a:outerShdw dist="28398" dir="3806097" algn="ctr" rotWithShape="0">
                            <a:srgbClr val="A5A5A5">
                              <a:lumMod val="50000"/>
                              <a:lumOff val="0"/>
                              <a:alpha val="50000"/>
                            </a:srgbClr>
                          </a:outerShdw>
                        </a:effectLst>
                      </wps:spPr>
                      <wps:txbx>
                        <w:txbxContent>
                          <w:p w14:paraId="40AA9FC4" w14:textId="77777777" w:rsidR="00526BDB" w:rsidRPr="00C01097" w:rsidRDefault="00526BDB" w:rsidP="00D95EC3">
                            <w:pPr>
                              <w:jc w:val="center"/>
                              <w:rPr>
                                <w:rFonts w:cs="Arial"/>
                                <w:sz w:val="28"/>
                                <w:szCs w:val="28"/>
                              </w:rPr>
                            </w:pPr>
                            <w:r>
                              <w:rPr>
                                <w:rFonts w:cs="Arial"/>
                                <w:sz w:val="28"/>
                                <w:szCs w:val="28"/>
                              </w:rPr>
                              <w:t>Administrative</w:t>
                            </w:r>
                            <w:r w:rsidRPr="00C01097">
                              <w:rPr>
                                <w:rFonts w:cs="Arial"/>
                                <w:sz w:val="28"/>
                                <w:szCs w:val="28"/>
                              </w:rPr>
                              <w:t xml:space="preserve"> review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587EFBE" id="Rectangle 6" o:spid="_x0000_s1029" style="position:absolute;margin-left:204.15pt;margin-top:19.8pt;width:111.7pt;height:5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qdowIAAJwFAAAOAAAAZHJzL2Uyb0RvYy54bWysVF1v0zAUfUfiP1h+Z0n6tTZaOk0bQ0gD&#10;Jgbi+dZ2GgvHDrbbtPx6rm+2UlaBECKRolx/HJ977vG9uNy1hm2VD9rZihdnOWfKCie1XVf886fb&#10;V3POQgQrwTirKr5XgV8uX7646LtSjVzjjFSeIYgNZd9VvImxK7MsiEa1EM5cpyxO1s63EDH060x6&#10;6BG9Ndkoz2dZ77zsvBMqBBy9GSb5kvDrWon4oa6DisxUHLlF+nr6rtI3W15AufbQNVo80oB/YNGC&#10;tnjoAeoGIrCN1ydQrRbeBVfHM+HazNW1FopywGyK/Fk2Dw10inJBcUJ3kCn8P1jxfnvvmZYVn3Fm&#10;ocUSfUTRwK6NYrMkT9+FElc9dPc+JRi6Oye+BmbddYOr1JX3rm8USCRVpPXZLxtSEHArW/XvnER0&#10;2ERHSu1q3yZA1IDtqCD7Q0HULjKBg8WkmE8XWDeBc7PxvDif0hFQPu3ufIhvlGtZ+qm4R+6EDtu7&#10;EBMbKJ+WEHtntLzVxlDg16tr49kW0BxX0/TSXrNpkeswXOTpGWyC42imYZyGEDwMGHRQOAY3lvUV&#10;R8q4+/TkfTgcjGaWrufMQIg4WPFbek6YLKZ/JkKQpzxaHfGCGd1WfH6US6rYayvJ/hG0Gf4xIWMT&#10;W0VXByVMgdsgxEMjeyZ1Enk0Hy/wWkuNZMfzfJYvzjkDs8YGIKLnzLv4RceG3JtK+rdapwR/JzWU&#10;YLoGBvEPC58V4ECUZDjKgTyZbDjYOe5WO/L8+MngKyf3aFJkTk7EhoY/jfPfOeuxOVQ8fNuAV1il&#10;txaNvigmk9RNKJhMz0cY+OOZ1fEMWIFQj+IMwXXEGDdtOq/XDZ5VkErWXeH1qDU5N12dgRemkwJs&#10;AZTYY7tKPeY4plU/m+ryBwAAAP//AwBQSwMEFAAGAAgAAAAhAPBHmmDhAAAACgEAAA8AAABkcnMv&#10;ZG93bnJldi54bWxMj8tOwzAQRfdI/IM1SGwQdUJKaNM4VanEigVqS/duPI0j/IhiN0n5eoYVLEf3&#10;6N4z5Xqyhg3Yh9Y7AeksAYau9qp1jYDPw9vjAliI0ilpvEMBVwywrm5vSlkoP7odDvvYMCpxoZAC&#10;dIxdwXmoNVoZZr5DR9nZ91ZGOvuGq16OVG4Nf0qSnFvZOlrQssOtxvprf7ECvj/O5vU6vEe9PW4e&#10;jvXz2B12oxD3d9NmBSziFP9g+NUndajI6eQvTgVmBMyTRUaogGyZAyMgz9IXYCci50kKvCr5/xeq&#10;HwAAAP//AwBQSwECLQAUAAYACAAAACEAtoM4kv4AAADhAQAAEwAAAAAAAAAAAAAAAAAAAAAAW0Nv&#10;bnRlbnRfVHlwZXNdLnhtbFBLAQItABQABgAIAAAAIQA4/SH/1gAAAJQBAAALAAAAAAAAAAAAAAAA&#10;AC8BAABfcmVscy8ucmVsc1BLAQItABQABgAIAAAAIQDeUdqdowIAAJwFAAAOAAAAAAAAAAAAAAAA&#10;AC4CAABkcnMvZTJvRG9jLnhtbFBLAQItABQABgAIAAAAIQDwR5pg4QAAAAoBAAAPAAAAAAAAAAAA&#10;AAAAAP0EAABkcnMvZG93bnJldi54bWxQSwUGAAAAAAQABADzAAAACwYAAAAA&#10;" fillcolor="#a5a5a5" strokecolor="#f2f2f2" strokeweight="3pt">
                <v:shadow on="t" color="#525252" opacity=".5" offset="1pt"/>
                <v:textbox>
                  <w:txbxContent>
                    <w:p w14:paraId="40AA9FC4" w14:textId="77777777" w:rsidR="00526BDB" w:rsidRPr="00C01097" w:rsidRDefault="00526BDB" w:rsidP="00D95EC3">
                      <w:pPr>
                        <w:jc w:val="center"/>
                        <w:rPr>
                          <w:rFonts w:cs="Arial"/>
                          <w:sz w:val="28"/>
                          <w:szCs w:val="28"/>
                        </w:rPr>
                      </w:pPr>
                      <w:r>
                        <w:rPr>
                          <w:rFonts w:cs="Arial"/>
                          <w:sz w:val="28"/>
                          <w:szCs w:val="28"/>
                        </w:rPr>
                        <w:t>Administrative</w:t>
                      </w:r>
                      <w:r w:rsidRPr="00C01097">
                        <w:rPr>
                          <w:rFonts w:cs="Arial"/>
                          <w:sz w:val="28"/>
                          <w:szCs w:val="28"/>
                        </w:rPr>
                        <w:t xml:space="preserve"> review</w:t>
                      </w:r>
                    </w:p>
                  </w:txbxContent>
                </v:textbox>
                <w10:wrap anchorx="margin"/>
              </v:rect>
            </w:pict>
          </mc:Fallback>
        </mc:AlternateContent>
      </w:r>
    </w:p>
    <w:p w14:paraId="4FBEE2F0" w14:textId="77777777" w:rsidR="00D95EC3" w:rsidRPr="00D95EC3" w:rsidRDefault="00D95EC3" w:rsidP="00D95EC3">
      <w:pPr>
        <w:spacing w:after="120"/>
        <w:rPr>
          <w:rFonts w:cs="Arial"/>
          <w:bCs/>
          <w:color w:val="000000"/>
          <w:sz w:val="22"/>
          <w:szCs w:val="22"/>
          <w:lang w:eastAsia="en-GB"/>
        </w:rPr>
      </w:pPr>
    </w:p>
    <w:p w14:paraId="6914DE96" w14:textId="77777777" w:rsidR="00D95EC3" w:rsidRPr="00D95EC3" w:rsidRDefault="00D95EC3" w:rsidP="00D95EC3">
      <w:pPr>
        <w:spacing w:after="120"/>
        <w:rPr>
          <w:rFonts w:cs="Arial"/>
          <w:bCs/>
          <w:color w:val="000000"/>
          <w:sz w:val="22"/>
          <w:szCs w:val="22"/>
          <w:lang w:eastAsia="en-GB"/>
        </w:rPr>
      </w:pPr>
    </w:p>
    <w:p w14:paraId="60AC12AE" w14:textId="77777777" w:rsidR="00D95EC3" w:rsidRPr="00D95EC3" w:rsidRDefault="00D95EC3" w:rsidP="00D95EC3">
      <w:pPr>
        <w:spacing w:after="120"/>
        <w:rPr>
          <w:rFonts w:cs="Arial"/>
          <w:bCs/>
          <w:color w:val="000000"/>
          <w:sz w:val="22"/>
          <w:szCs w:val="22"/>
          <w:lang w:eastAsia="en-GB"/>
        </w:rPr>
      </w:pPr>
    </w:p>
    <w:p w14:paraId="44559685" w14:textId="77777777" w:rsidR="00D95EC3" w:rsidRPr="00D95EC3" w:rsidRDefault="00D95EC3" w:rsidP="00D95EC3">
      <w:pPr>
        <w:keepNext/>
        <w:keepLines/>
        <w:spacing w:before="360" w:after="240"/>
        <w:outlineLvl w:val="2"/>
        <w:rPr>
          <w:rFonts w:cs="Arial"/>
          <w:b/>
          <w:bCs/>
          <w:color w:val="000000"/>
          <w:szCs w:val="22"/>
          <w:lang w:eastAsia="en-GB"/>
        </w:rPr>
      </w:pPr>
      <w:r w:rsidRPr="00D95EC3">
        <w:rPr>
          <w:rFonts w:cs="Arial"/>
          <w:b/>
          <w:bCs/>
          <w:color w:val="000000"/>
          <w:szCs w:val="22"/>
          <w:lang w:eastAsia="en-GB"/>
        </w:rPr>
        <w:t>Appeals</w:t>
      </w:r>
    </w:p>
    <w:p w14:paraId="227C4914" w14:textId="2038401A" w:rsidR="00D95EC3" w:rsidRPr="00D95EC3" w:rsidRDefault="00D95EC3" w:rsidP="00D95EC3">
      <w:pPr>
        <w:spacing w:after="120"/>
        <w:rPr>
          <w:rFonts w:cs="Arial"/>
          <w:bCs/>
          <w:color w:val="000000"/>
          <w:sz w:val="22"/>
          <w:szCs w:val="22"/>
          <w:lang w:eastAsia="en-GB"/>
        </w:rPr>
      </w:pPr>
      <w:bookmarkStart w:id="45" w:name="_Hlk511311430"/>
      <w:r w:rsidRPr="00D95EC3">
        <w:rPr>
          <w:rFonts w:cs="Arial"/>
          <w:bCs/>
          <w:color w:val="000000"/>
          <w:sz w:val="22"/>
          <w:szCs w:val="22"/>
          <w:lang w:eastAsia="en-GB"/>
        </w:rPr>
        <w:t>The Immigration Act 2014 made largescale reforms to immigration law. For example, the Act provided for a system of administrative review to be incorporated into the Immigration Rules and prescribed the regard that courts and tribunals must have to the public interest when considering whether a decision breaches a person’s rights to respect for private and family life under Article 8 of the European Convention on Human Rights. In addition, grounds of appeal were limited to refugee, humanitarian protection and human rights claims</w:t>
      </w:r>
      <w:bookmarkEnd w:id="45"/>
      <w:r w:rsidRPr="00D95EC3">
        <w:rPr>
          <w:rFonts w:cs="Arial"/>
          <w:bCs/>
          <w:color w:val="000000"/>
          <w:sz w:val="22"/>
          <w:szCs w:val="22"/>
          <w:lang w:eastAsia="en-GB"/>
        </w:rPr>
        <w:t xml:space="preserve">. It is no longer possible to appeal a decision solely because it was not in accordance with the Immigration Rules. Instead, applicants may be able to challenge such decisions under the Home Office’s internal system of administrative review. Where there is a right of appeal, this will initially be made to the First-tier Tribunal (Immigration and Asylum). There may be a further right of appeal to the Upper Tribunal (Immigration and Asylum Chamber), the Court of Appeal and lastly the Supreme Court. The average number of appeal applications [receipts] and disposals for the </w:t>
      </w:r>
      <w:r w:rsidR="00370540">
        <w:rPr>
          <w:rFonts w:cs="Arial"/>
          <w:bCs/>
          <w:color w:val="000000"/>
          <w:sz w:val="22"/>
          <w:szCs w:val="22"/>
          <w:lang w:eastAsia="en-GB"/>
        </w:rPr>
        <w:t>three</w:t>
      </w:r>
      <w:r w:rsidRPr="00D95EC3">
        <w:rPr>
          <w:rFonts w:cs="Arial"/>
          <w:bCs/>
          <w:color w:val="000000"/>
          <w:sz w:val="22"/>
          <w:szCs w:val="22"/>
          <w:lang w:eastAsia="en-GB"/>
        </w:rPr>
        <w:t>-year period ending 2018 is indicated in table 1 below.</w:t>
      </w:r>
    </w:p>
    <w:p w14:paraId="150C592A" w14:textId="77777777" w:rsidR="00D95EC3" w:rsidRPr="00D95EC3" w:rsidRDefault="00D95EC3" w:rsidP="00D95EC3">
      <w:pPr>
        <w:spacing w:after="120"/>
        <w:rPr>
          <w:rFonts w:cs="Arial"/>
          <w:bCs/>
          <w:color w:val="000000"/>
          <w:sz w:val="22"/>
          <w:szCs w:val="22"/>
          <w:lang w:eastAsia="en-GB"/>
        </w:rPr>
      </w:pPr>
    </w:p>
    <w:p w14:paraId="15C54C05" w14:textId="77777777" w:rsidR="00D95EC3" w:rsidRPr="00D95EC3" w:rsidRDefault="00D95EC3" w:rsidP="00A5230D">
      <w:pPr>
        <w:keepNext/>
        <w:spacing w:after="120"/>
        <w:rPr>
          <w:rFonts w:cs="Arial"/>
          <w:bCs/>
          <w:color w:val="000000"/>
          <w:sz w:val="22"/>
          <w:szCs w:val="22"/>
          <w:u w:val="single"/>
          <w:lang w:eastAsia="en-GB"/>
        </w:rPr>
      </w:pPr>
      <w:r w:rsidRPr="00D95EC3">
        <w:rPr>
          <w:rFonts w:cs="Arial"/>
          <w:bCs/>
          <w:color w:val="000000"/>
          <w:sz w:val="22"/>
          <w:szCs w:val="22"/>
          <w:u w:val="single"/>
          <w:lang w:eastAsia="en-GB"/>
        </w:rPr>
        <w:t xml:space="preserve">Table 1: Number of Appeal Receipts and Disposals in IAC First and Upper Tribunals, </w:t>
      </w:r>
    </w:p>
    <w:p w14:paraId="4D02124A" w14:textId="7BA75697" w:rsidR="00D95EC3" w:rsidRPr="00D95EC3" w:rsidRDefault="00D95EC3" w:rsidP="00D95EC3">
      <w:pPr>
        <w:spacing w:after="120"/>
        <w:ind w:left="720"/>
        <w:rPr>
          <w:rFonts w:cs="Arial"/>
          <w:bCs/>
          <w:color w:val="000000"/>
          <w:sz w:val="22"/>
          <w:szCs w:val="22"/>
          <w:lang w:eastAsia="en-GB"/>
        </w:rPr>
      </w:pPr>
      <w:r w:rsidRPr="00D95EC3">
        <w:rPr>
          <w:rFonts w:cs="Arial"/>
          <w:bCs/>
          <w:color w:val="000000"/>
          <w:sz w:val="22"/>
          <w:szCs w:val="22"/>
          <w:lang w:eastAsia="en-GB"/>
        </w:rPr>
        <w:t xml:space="preserve">     </w:t>
      </w:r>
      <w:r w:rsidRPr="00D95EC3">
        <w:rPr>
          <w:rFonts w:cs="Arial"/>
          <w:bCs/>
          <w:color w:val="000000"/>
          <w:sz w:val="22"/>
          <w:szCs w:val="22"/>
          <w:u w:val="single"/>
          <w:lang w:eastAsia="en-GB"/>
        </w:rPr>
        <w:t>201</w:t>
      </w:r>
      <w:r w:rsidR="00370540">
        <w:rPr>
          <w:rFonts w:cs="Arial"/>
          <w:bCs/>
          <w:color w:val="000000"/>
          <w:sz w:val="22"/>
          <w:szCs w:val="22"/>
          <w:u w:val="single"/>
          <w:lang w:eastAsia="en-GB"/>
        </w:rPr>
        <w:t>5</w:t>
      </w:r>
      <w:r w:rsidRPr="00D95EC3">
        <w:rPr>
          <w:rFonts w:cs="Arial"/>
          <w:bCs/>
          <w:color w:val="000000"/>
          <w:sz w:val="22"/>
          <w:szCs w:val="22"/>
          <w:u w:val="single"/>
          <w:lang w:eastAsia="en-GB"/>
        </w:rPr>
        <w:t>/1</w:t>
      </w:r>
      <w:r w:rsidR="00370540">
        <w:rPr>
          <w:rFonts w:cs="Arial"/>
          <w:bCs/>
          <w:color w:val="000000"/>
          <w:sz w:val="22"/>
          <w:szCs w:val="22"/>
          <w:u w:val="single"/>
          <w:lang w:eastAsia="en-GB"/>
        </w:rPr>
        <w:t>6</w:t>
      </w:r>
      <w:r w:rsidRPr="00D95EC3">
        <w:rPr>
          <w:rFonts w:cs="Arial"/>
          <w:bCs/>
          <w:color w:val="000000"/>
          <w:sz w:val="22"/>
          <w:szCs w:val="22"/>
          <w:u w:val="single"/>
          <w:lang w:eastAsia="en-GB"/>
        </w:rPr>
        <w:t xml:space="preserve"> – 2017/18</w:t>
      </w:r>
      <w:r w:rsidRPr="00D95EC3">
        <w:rPr>
          <w:rFonts w:cs="Arial"/>
          <w:bCs/>
          <w:color w:val="000000"/>
          <w:sz w:val="22"/>
          <w:szCs w:val="22"/>
          <w:vertAlign w:val="superscript"/>
          <w:lang w:eastAsia="en-GB"/>
        </w:rPr>
        <w:footnoteReference w:id="11"/>
      </w:r>
    </w:p>
    <w:p w14:paraId="63847CBE" w14:textId="77777777" w:rsidR="00D95EC3" w:rsidRPr="00D95EC3" w:rsidRDefault="00D95EC3" w:rsidP="00D95EC3">
      <w:pPr>
        <w:spacing w:after="120"/>
        <w:rPr>
          <w:rFonts w:cs="Arial"/>
          <w:bCs/>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340"/>
        <w:gridCol w:w="1544"/>
        <w:gridCol w:w="1544"/>
        <w:gridCol w:w="1304"/>
        <w:gridCol w:w="1356"/>
        <w:gridCol w:w="1559"/>
      </w:tblGrid>
      <w:tr w:rsidR="00D95EC3" w:rsidRPr="00D95EC3" w14:paraId="6B73A5B2" w14:textId="77777777" w:rsidTr="00D95EC3">
        <w:tc>
          <w:tcPr>
            <w:tcW w:w="1384" w:type="dxa"/>
            <w:vMerge w:val="restart"/>
            <w:shd w:val="clear" w:color="auto" w:fill="D9D9D9"/>
          </w:tcPr>
          <w:p w14:paraId="6CB27962" w14:textId="77777777" w:rsidR="00D95EC3" w:rsidRPr="00D95EC3" w:rsidRDefault="00D95EC3" w:rsidP="00A5230D">
            <w:pPr>
              <w:keepNext/>
              <w:spacing w:after="120"/>
              <w:rPr>
                <w:rFonts w:cs="Arial"/>
                <w:bCs/>
                <w:sz w:val="22"/>
                <w:szCs w:val="22"/>
                <w:lang w:eastAsia="en-GB"/>
              </w:rPr>
            </w:pPr>
            <w:r w:rsidRPr="00D95EC3">
              <w:rPr>
                <w:rFonts w:cs="Arial"/>
                <w:bCs/>
                <w:sz w:val="22"/>
                <w:szCs w:val="22"/>
                <w:lang w:eastAsia="en-GB"/>
              </w:rPr>
              <w:lastRenderedPageBreak/>
              <w:t>Year</w:t>
            </w:r>
          </w:p>
        </w:tc>
        <w:tc>
          <w:tcPr>
            <w:tcW w:w="4428" w:type="dxa"/>
            <w:gridSpan w:val="3"/>
            <w:shd w:val="clear" w:color="auto" w:fill="D9D9D9"/>
          </w:tcPr>
          <w:p w14:paraId="15E7A82E" w14:textId="77777777" w:rsidR="00D95EC3" w:rsidRPr="00D95EC3" w:rsidRDefault="00D95EC3" w:rsidP="00A5230D">
            <w:pPr>
              <w:keepNext/>
              <w:spacing w:after="120"/>
              <w:rPr>
                <w:rFonts w:cs="Arial"/>
                <w:bCs/>
                <w:sz w:val="22"/>
                <w:szCs w:val="22"/>
                <w:lang w:eastAsia="en-GB"/>
              </w:rPr>
            </w:pPr>
            <w:r w:rsidRPr="00D95EC3">
              <w:rPr>
                <w:rFonts w:cs="Arial"/>
                <w:bCs/>
                <w:sz w:val="22"/>
                <w:szCs w:val="22"/>
                <w:lang w:eastAsia="en-GB"/>
              </w:rPr>
              <w:t>IAC First Tier Tribunal</w:t>
            </w:r>
          </w:p>
        </w:tc>
        <w:tc>
          <w:tcPr>
            <w:tcW w:w="4219" w:type="dxa"/>
            <w:gridSpan w:val="3"/>
            <w:shd w:val="clear" w:color="auto" w:fill="D9D9D9"/>
          </w:tcPr>
          <w:p w14:paraId="732B9EAF" w14:textId="77777777" w:rsidR="00D95EC3" w:rsidRPr="00D95EC3" w:rsidRDefault="00D95EC3" w:rsidP="00A5230D">
            <w:pPr>
              <w:keepNext/>
              <w:spacing w:after="120"/>
              <w:rPr>
                <w:rFonts w:cs="Arial"/>
                <w:bCs/>
                <w:sz w:val="22"/>
                <w:szCs w:val="22"/>
                <w:lang w:eastAsia="en-GB"/>
              </w:rPr>
            </w:pPr>
            <w:r w:rsidRPr="00D95EC3">
              <w:rPr>
                <w:rFonts w:cs="Arial"/>
                <w:bCs/>
                <w:sz w:val="22"/>
                <w:szCs w:val="22"/>
                <w:lang w:eastAsia="en-GB"/>
              </w:rPr>
              <w:t xml:space="preserve"> IAC Upper Tribunal</w:t>
            </w:r>
          </w:p>
        </w:tc>
      </w:tr>
      <w:tr w:rsidR="00D95EC3" w:rsidRPr="00D95EC3" w14:paraId="47CEAEB1" w14:textId="77777777" w:rsidTr="00D95EC3">
        <w:tc>
          <w:tcPr>
            <w:tcW w:w="1384" w:type="dxa"/>
            <w:vMerge/>
            <w:shd w:val="clear" w:color="auto" w:fill="D9D9D9"/>
          </w:tcPr>
          <w:p w14:paraId="4EA87CE6" w14:textId="77777777" w:rsidR="00D95EC3" w:rsidRPr="00D95EC3" w:rsidRDefault="00D95EC3" w:rsidP="00D95EC3">
            <w:pPr>
              <w:spacing w:after="120"/>
              <w:rPr>
                <w:rFonts w:cs="Arial"/>
                <w:bCs/>
                <w:sz w:val="22"/>
                <w:szCs w:val="22"/>
                <w:lang w:eastAsia="en-GB"/>
              </w:rPr>
            </w:pPr>
          </w:p>
        </w:tc>
        <w:tc>
          <w:tcPr>
            <w:tcW w:w="1340" w:type="dxa"/>
            <w:shd w:val="clear" w:color="auto" w:fill="D9D9D9"/>
          </w:tcPr>
          <w:p w14:paraId="30CC584D" w14:textId="038020B4" w:rsidR="00D95EC3" w:rsidRPr="00D95EC3" w:rsidRDefault="00D95EC3" w:rsidP="00D95EC3">
            <w:pPr>
              <w:spacing w:after="120"/>
              <w:rPr>
                <w:rFonts w:cs="Arial"/>
                <w:bCs/>
                <w:sz w:val="22"/>
                <w:szCs w:val="22"/>
                <w:lang w:eastAsia="en-GB"/>
              </w:rPr>
            </w:pPr>
            <w:r w:rsidRPr="00D95EC3">
              <w:rPr>
                <w:rFonts w:cs="Arial"/>
                <w:bCs/>
                <w:sz w:val="22"/>
                <w:szCs w:val="22"/>
                <w:lang w:eastAsia="en-GB"/>
              </w:rPr>
              <w:t>Total Receipts</w:t>
            </w:r>
            <w:r w:rsidR="00B55123">
              <w:rPr>
                <w:rStyle w:val="FootnoteReference"/>
                <w:rFonts w:cs="Arial"/>
                <w:bCs/>
                <w:szCs w:val="22"/>
                <w:lang w:eastAsia="en-GB"/>
              </w:rPr>
              <w:footnoteReference w:id="12"/>
            </w:r>
          </w:p>
        </w:tc>
        <w:tc>
          <w:tcPr>
            <w:tcW w:w="1544" w:type="dxa"/>
            <w:shd w:val="clear" w:color="auto" w:fill="D9D9D9"/>
          </w:tcPr>
          <w:p w14:paraId="2A644629" w14:textId="77777777" w:rsidR="00D95EC3" w:rsidRPr="00D95EC3" w:rsidRDefault="00D95EC3" w:rsidP="00D95EC3">
            <w:pPr>
              <w:spacing w:after="120"/>
              <w:rPr>
                <w:rFonts w:cs="Arial"/>
                <w:bCs/>
                <w:sz w:val="22"/>
                <w:szCs w:val="22"/>
                <w:lang w:eastAsia="en-GB"/>
              </w:rPr>
            </w:pPr>
            <w:r w:rsidRPr="00D95EC3">
              <w:rPr>
                <w:rFonts w:cs="Arial"/>
                <w:bCs/>
                <w:sz w:val="22"/>
                <w:szCs w:val="22"/>
                <w:lang w:eastAsia="en-GB"/>
              </w:rPr>
              <w:t>Human Rights Receipts</w:t>
            </w:r>
          </w:p>
        </w:tc>
        <w:tc>
          <w:tcPr>
            <w:tcW w:w="1544" w:type="dxa"/>
            <w:shd w:val="clear" w:color="auto" w:fill="D9D9D9"/>
          </w:tcPr>
          <w:p w14:paraId="63E4519C" w14:textId="40B6F671" w:rsidR="00D95EC3" w:rsidRPr="00D95EC3" w:rsidRDefault="00D95EC3" w:rsidP="00D95EC3">
            <w:pPr>
              <w:spacing w:after="120"/>
              <w:rPr>
                <w:rFonts w:cs="Arial"/>
                <w:bCs/>
                <w:sz w:val="22"/>
                <w:szCs w:val="22"/>
                <w:lang w:eastAsia="en-GB"/>
              </w:rPr>
            </w:pPr>
            <w:r w:rsidRPr="00D95EC3">
              <w:rPr>
                <w:rFonts w:cs="Arial"/>
                <w:bCs/>
                <w:sz w:val="22"/>
                <w:szCs w:val="22"/>
                <w:lang w:eastAsia="en-GB"/>
              </w:rPr>
              <w:t>Human Rights D</w:t>
            </w:r>
            <w:r w:rsidR="009E7289">
              <w:rPr>
                <w:rFonts w:cs="Arial"/>
                <w:bCs/>
                <w:sz w:val="22"/>
                <w:szCs w:val="22"/>
                <w:lang w:eastAsia="en-GB"/>
              </w:rPr>
              <w:t>etermined</w:t>
            </w:r>
            <w:r w:rsidR="009E7289">
              <w:rPr>
                <w:rStyle w:val="FootnoteReference"/>
                <w:rFonts w:cs="Arial"/>
                <w:bCs/>
                <w:szCs w:val="22"/>
                <w:lang w:eastAsia="en-GB"/>
              </w:rPr>
              <w:footnoteReference w:id="13"/>
            </w:r>
            <w:r w:rsidRPr="00D95EC3">
              <w:rPr>
                <w:rFonts w:cs="Arial"/>
                <w:bCs/>
                <w:sz w:val="22"/>
                <w:szCs w:val="22"/>
                <w:lang w:eastAsia="en-GB"/>
              </w:rPr>
              <w:t xml:space="preserve"> </w:t>
            </w:r>
          </w:p>
        </w:tc>
        <w:tc>
          <w:tcPr>
            <w:tcW w:w="1304" w:type="dxa"/>
            <w:shd w:val="clear" w:color="auto" w:fill="D9D9D9"/>
          </w:tcPr>
          <w:p w14:paraId="491BA8C9" w14:textId="77777777" w:rsidR="00D95EC3" w:rsidRPr="00D95EC3" w:rsidRDefault="00D95EC3" w:rsidP="00D95EC3">
            <w:pPr>
              <w:rPr>
                <w:rFonts w:cs="Arial"/>
                <w:bCs/>
                <w:sz w:val="22"/>
                <w:szCs w:val="22"/>
                <w:lang w:eastAsia="en-GB"/>
              </w:rPr>
            </w:pPr>
            <w:r w:rsidRPr="00D95EC3">
              <w:rPr>
                <w:rFonts w:cs="Arial"/>
                <w:bCs/>
                <w:sz w:val="22"/>
                <w:szCs w:val="22"/>
                <w:lang w:eastAsia="en-GB"/>
              </w:rPr>
              <w:t xml:space="preserve">Total </w:t>
            </w:r>
          </w:p>
          <w:p w14:paraId="4526FC10" w14:textId="77777777" w:rsidR="00D95EC3" w:rsidRPr="00D95EC3" w:rsidRDefault="00D95EC3" w:rsidP="00D95EC3">
            <w:pPr>
              <w:spacing w:after="120"/>
              <w:rPr>
                <w:rFonts w:cs="Arial"/>
                <w:bCs/>
                <w:sz w:val="22"/>
                <w:szCs w:val="22"/>
                <w:lang w:eastAsia="en-GB"/>
              </w:rPr>
            </w:pPr>
            <w:r w:rsidRPr="00D95EC3">
              <w:rPr>
                <w:rFonts w:cs="Arial"/>
                <w:bCs/>
                <w:sz w:val="22"/>
                <w:szCs w:val="22"/>
                <w:lang w:eastAsia="en-GB"/>
              </w:rPr>
              <w:t>Receipts</w:t>
            </w:r>
          </w:p>
        </w:tc>
        <w:tc>
          <w:tcPr>
            <w:tcW w:w="1356" w:type="dxa"/>
            <w:shd w:val="clear" w:color="auto" w:fill="D9D9D9"/>
          </w:tcPr>
          <w:p w14:paraId="03A0D1E0" w14:textId="77777777" w:rsidR="00D95EC3" w:rsidRPr="00D95EC3" w:rsidRDefault="00D95EC3" w:rsidP="00D95EC3">
            <w:pPr>
              <w:spacing w:after="120"/>
              <w:rPr>
                <w:rFonts w:cs="Arial"/>
                <w:bCs/>
                <w:sz w:val="22"/>
                <w:szCs w:val="22"/>
                <w:lang w:eastAsia="en-GB"/>
              </w:rPr>
            </w:pPr>
            <w:r w:rsidRPr="00D95EC3">
              <w:rPr>
                <w:rFonts w:cs="Arial"/>
                <w:bCs/>
                <w:sz w:val="22"/>
                <w:szCs w:val="22"/>
                <w:lang w:eastAsia="en-GB"/>
              </w:rPr>
              <w:t>Human Rights Receipts</w:t>
            </w:r>
          </w:p>
        </w:tc>
        <w:tc>
          <w:tcPr>
            <w:tcW w:w="1559" w:type="dxa"/>
            <w:shd w:val="clear" w:color="auto" w:fill="D9D9D9"/>
          </w:tcPr>
          <w:p w14:paraId="4BA02C9B" w14:textId="77777777" w:rsidR="00D95EC3" w:rsidRPr="00D95EC3" w:rsidRDefault="00D95EC3" w:rsidP="00D95EC3">
            <w:pPr>
              <w:spacing w:after="120"/>
              <w:rPr>
                <w:rFonts w:cs="Arial"/>
                <w:bCs/>
                <w:sz w:val="22"/>
                <w:szCs w:val="22"/>
                <w:lang w:eastAsia="en-GB"/>
              </w:rPr>
            </w:pPr>
            <w:r w:rsidRPr="00D95EC3">
              <w:rPr>
                <w:rFonts w:cs="Arial"/>
                <w:bCs/>
                <w:sz w:val="22"/>
                <w:szCs w:val="22"/>
                <w:lang w:eastAsia="en-GB"/>
              </w:rPr>
              <w:t>Human Rights</w:t>
            </w:r>
          </w:p>
          <w:p w14:paraId="5ADC12EB" w14:textId="46191821" w:rsidR="00D95EC3" w:rsidRPr="00D95EC3" w:rsidRDefault="00D95EC3" w:rsidP="00D95EC3">
            <w:pPr>
              <w:spacing w:after="120"/>
              <w:rPr>
                <w:rFonts w:cs="Arial"/>
                <w:bCs/>
                <w:sz w:val="22"/>
                <w:szCs w:val="22"/>
                <w:lang w:eastAsia="en-GB"/>
              </w:rPr>
            </w:pPr>
            <w:r w:rsidRPr="00D95EC3">
              <w:rPr>
                <w:rFonts w:cs="Arial"/>
                <w:bCs/>
                <w:sz w:val="22"/>
                <w:szCs w:val="22"/>
                <w:lang w:eastAsia="en-GB"/>
              </w:rPr>
              <w:t>D</w:t>
            </w:r>
            <w:r w:rsidR="009E7289">
              <w:rPr>
                <w:rFonts w:cs="Arial"/>
                <w:bCs/>
                <w:sz w:val="22"/>
                <w:szCs w:val="22"/>
                <w:lang w:eastAsia="en-GB"/>
              </w:rPr>
              <w:t>etermined</w:t>
            </w:r>
            <w:r w:rsidR="009E7289">
              <w:rPr>
                <w:rStyle w:val="FootnoteReference"/>
                <w:rFonts w:cs="Arial"/>
                <w:bCs/>
                <w:szCs w:val="22"/>
                <w:lang w:eastAsia="en-GB"/>
              </w:rPr>
              <w:footnoteReference w:id="14"/>
            </w:r>
            <w:r w:rsidRPr="00D95EC3">
              <w:rPr>
                <w:rFonts w:cs="Arial"/>
                <w:bCs/>
                <w:sz w:val="22"/>
                <w:szCs w:val="22"/>
                <w:lang w:eastAsia="en-GB"/>
              </w:rPr>
              <w:t xml:space="preserve"> </w:t>
            </w:r>
          </w:p>
        </w:tc>
      </w:tr>
      <w:tr w:rsidR="00D95EC3" w:rsidRPr="00D95EC3" w14:paraId="3E6FC5A2" w14:textId="77777777" w:rsidTr="00D95EC3">
        <w:tc>
          <w:tcPr>
            <w:tcW w:w="1384" w:type="dxa"/>
          </w:tcPr>
          <w:p w14:paraId="6A8CBF07"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2015/16</w:t>
            </w:r>
          </w:p>
        </w:tc>
        <w:tc>
          <w:tcPr>
            <w:tcW w:w="1340" w:type="dxa"/>
          </w:tcPr>
          <w:p w14:paraId="34896209"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76,920</w:t>
            </w:r>
          </w:p>
        </w:tc>
        <w:tc>
          <w:tcPr>
            <w:tcW w:w="1544" w:type="dxa"/>
          </w:tcPr>
          <w:p w14:paraId="1582BBBA"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23,463</w:t>
            </w:r>
          </w:p>
        </w:tc>
        <w:tc>
          <w:tcPr>
            <w:tcW w:w="1544" w:type="dxa"/>
          </w:tcPr>
          <w:p w14:paraId="53689AD9"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693</w:t>
            </w:r>
          </w:p>
        </w:tc>
        <w:tc>
          <w:tcPr>
            <w:tcW w:w="1304" w:type="dxa"/>
          </w:tcPr>
          <w:p w14:paraId="6F094D39"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7,970</w:t>
            </w:r>
          </w:p>
        </w:tc>
        <w:tc>
          <w:tcPr>
            <w:tcW w:w="1356" w:type="dxa"/>
          </w:tcPr>
          <w:p w14:paraId="52E46E1B"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24</w:t>
            </w:r>
          </w:p>
        </w:tc>
        <w:tc>
          <w:tcPr>
            <w:tcW w:w="1559" w:type="dxa"/>
          </w:tcPr>
          <w:p w14:paraId="2060D8F4"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8</w:t>
            </w:r>
          </w:p>
        </w:tc>
      </w:tr>
      <w:tr w:rsidR="00D95EC3" w:rsidRPr="00D95EC3" w14:paraId="217A8B31" w14:textId="77777777" w:rsidTr="00D95EC3">
        <w:tc>
          <w:tcPr>
            <w:tcW w:w="1384" w:type="dxa"/>
          </w:tcPr>
          <w:p w14:paraId="60FDAC25"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2016/17</w:t>
            </w:r>
          </w:p>
        </w:tc>
        <w:tc>
          <w:tcPr>
            <w:tcW w:w="1340" w:type="dxa"/>
          </w:tcPr>
          <w:p w14:paraId="7EC1EE8A"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54,439</w:t>
            </w:r>
          </w:p>
        </w:tc>
        <w:tc>
          <w:tcPr>
            <w:tcW w:w="1544" w:type="dxa"/>
          </w:tcPr>
          <w:p w14:paraId="70E921EF"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23,887</w:t>
            </w:r>
          </w:p>
        </w:tc>
        <w:tc>
          <w:tcPr>
            <w:tcW w:w="1544" w:type="dxa"/>
          </w:tcPr>
          <w:p w14:paraId="3AC7CD21"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9,544</w:t>
            </w:r>
          </w:p>
        </w:tc>
        <w:tc>
          <w:tcPr>
            <w:tcW w:w="1304" w:type="dxa"/>
          </w:tcPr>
          <w:p w14:paraId="1E1535D8"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6,276</w:t>
            </w:r>
          </w:p>
        </w:tc>
        <w:tc>
          <w:tcPr>
            <w:tcW w:w="1356" w:type="dxa"/>
          </w:tcPr>
          <w:p w14:paraId="2EBF648E"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499</w:t>
            </w:r>
          </w:p>
        </w:tc>
        <w:tc>
          <w:tcPr>
            <w:tcW w:w="1559" w:type="dxa"/>
          </w:tcPr>
          <w:p w14:paraId="7F816131"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206</w:t>
            </w:r>
          </w:p>
        </w:tc>
      </w:tr>
      <w:tr w:rsidR="00D95EC3" w:rsidRPr="00D95EC3" w14:paraId="760FE0C1" w14:textId="77777777" w:rsidTr="00D95EC3">
        <w:tc>
          <w:tcPr>
            <w:tcW w:w="1384" w:type="dxa"/>
          </w:tcPr>
          <w:p w14:paraId="753A89F9"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2017/18</w:t>
            </w:r>
          </w:p>
        </w:tc>
        <w:tc>
          <w:tcPr>
            <w:tcW w:w="1340" w:type="dxa"/>
          </w:tcPr>
          <w:p w14:paraId="61CC17FB"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45,340</w:t>
            </w:r>
          </w:p>
        </w:tc>
        <w:tc>
          <w:tcPr>
            <w:tcW w:w="1544" w:type="dxa"/>
          </w:tcPr>
          <w:p w14:paraId="6DC0E234"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20,099</w:t>
            </w:r>
          </w:p>
        </w:tc>
        <w:tc>
          <w:tcPr>
            <w:tcW w:w="1544" w:type="dxa"/>
          </w:tcPr>
          <w:p w14:paraId="1BB2E5EB"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22,787</w:t>
            </w:r>
          </w:p>
        </w:tc>
        <w:tc>
          <w:tcPr>
            <w:tcW w:w="1304" w:type="dxa"/>
          </w:tcPr>
          <w:p w14:paraId="392B3A1E"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8,264</w:t>
            </w:r>
          </w:p>
        </w:tc>
        <w:tc>
          <w:tcPr>
            <w:tcW w:w="1356" w:type="dxa"/>
          </w:tcPr>
          <w:p w14:paraId="4A617142"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2,469</w:t>
            </w:r>
          </w:p>
        </w:tc>
        <w:tc>
          <w:tcPr>
            <w:tcW w:w="1559" w:type="dxa"/>
          </w:tcPr>
          <w:p w14:paraId="1742BB15"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1,139</w:t>
            </w:r>
          </w:p>
        </w:tc>
      </w:tr>
      <w:tr w:rsidR="00D95EC3" w:rsidRPr="00D95EC3" w14:paraId="1FA9790C" w14:textId="77777777" w:rsidTr="00D95EC3">
        <w:tc>
          <w:tcPr>
            <w:tcW w:w="1384" w:type="dxa"/>
          </w:tcPr>
          <w:p w14:paraId="5A2E3AEE" w14:textId="3D9D201F" w:rsidR="00D95EC3" w:rsidRPr="00D95EC3" w:rsidRDefault="006E742D" w:rsidP="00D95EC3">
            <w:pPr>
              <w:spacing w:after="120"/>
              <w:rPr>
                <w:rFonts w:cs="Arial"/>
                <w:bCs/>
                <w:color w:val="000000"/>
                <w:sz w:val="22"/>
                <w:szCs w:val="22"/>
                <w:lang w:eastAsia="en-GB"/>
              </w:rPr>
            </w:pPr>
            <w:r>
              <w:rPr>
                <w:rFonts w:cs="Arial"/>
                <w:bCs/>
                <w:color w:val="000000"/>
                <w:sz w:val="22"/>
                <w:szCs w:val="22"/>
                <w:lang w:eastAsia="en-GB"/>
              </w:rPr>
              <w:t>3 year</w:t>
            </w:r>
            <w:r w:rsidR="00D95EC3" w:rsidRPr="00D95EC3">
              <w:rPr>
                <w:rFonts w:cs="Arial"/>
                <w:bCs/>
                <w:color w:val="000000"/>
                <w:sz w:val="22"/>
                <w:szCs w:val="22"/>
                <w:lang w:eastAsia="en-GB"/>
              </w:rPr>
              <w:t xml:space="preserve"> Average</w:t>
            </w:r>
            <w:r w:rsidR="00D95EC3" w:rsidRPr="00D95EC3">
              <w:rPr>
                <w:rFonts w:cs="Arial"/>
                <w:bCs/>
                <w:color w:val="000000"/>
                <w:sz w:val="22"/>
                <w:szCs w:val="22"/>
                <w:vertAlign w:val="superscript"/>
                <w:lang w:eastAsia="en-GB"/>
              </w:rPr>
              <w:footnoteReference w:id="15"/>
            </w:r>
          </w:p>
        </w:tc>
        <w:tc>
          <w:tcPr>
            <w:tcW w:w="1340" w:type="dxa"/>
          </w:tcPr>
          <w:p w14:paraId="3A97AF2D" w14:textId="4BBF83FA" w:rsidR="00D95EC3" w:rsidRPr="00D95EC3" w:rsidRDefault="0062551D" w:rsidP="00D95EC3">
            <w:pPr>
              <w:spacing w:after="120"/>
              <w:rPr>
                <w:rFonts w:cs="Arial"/>
                <w:bCs/>
                <w:color w:val="000000"/>
                <w:sz w:val="22"/>
                <w:szCs w:val="22"/>
                <w:lang w:eastAsia="en-GB"/>
              </w:rPr>
            </w:pPr>
            <w:r>
              <w:rPr>
                <w:rFonts w:cs="Arial"/>
                <w:bCs/>
                <w:color w:val="000000"/>
                <w:sz w:val="22"/>
                <w:szCs w:val="22"/>
                <w:lang w:eastAsia="en-GB"/>
              </w:rPr>
              <w:t>58,900</w:t>
            </w:r>
          </w:p>
        </w:tc>
        <w:tc>
          <w:tcPr>
            <w:tcW w:w="1544" w:type="dxa"/>
          </w:tcPr>
          <w:p w14:paraId="68282EB5"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22,483</w:t>
            </w:r>
          </w:p>
        </w:tc>
        <w:tc>
          <w:tcPr>
            <w:tcW w:w="1544" w:type="dxa"/>
          </w:tcPr>
          <w:p w14:paraId="6894BC07"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16,512</w:t>
            </w:r>
          </w:p>
        </w:tc>
        <w:tc>
          <w:tcPr>
            <w:tcW w:w="1304" w:type="dxa"/>
          </w:tcPr>
          <w:p w14:paraId="2CFE566D" w14:textId="0D36ED6F"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7,</w:t>
            </w:r>
            <w:r w:rsidR="0062551D">
              <w:rPr>
                <w:rFonts w:cs="Arial"/>
                <w:bCs/>
                <w:color w:val="000000"/>
                <w:sz w:val="22"/>
                <w:szCs w:val="22"/>
                <w:lang w:eastAsia="en-GB"/>
              </w:rPr>
              <w:t>503</w:t>
            </w:r>
          </w:p>
        </w:tc>
        <w:tc>
          <w:tcPr>
            <w:tcW w:w="1356" w:type="dxa"/>
          </w:tcPr>
          <w:p w14:paraId="34464D12" w14:textId="0F3F661D" w:rsidR="00D95EC3" w:rsidRPr="00D95EC3" w:rsidRDefault="0062551D" w:rsidP="00D95EC3">
            <w:pPr>
              <w:spacing w:after="120"/>
              <w:rPr>
                <w:rFonts w:cs="Arial"/>
                <w:bCs/>
                <w:color w:val="000000"/>
                <w:sz w:val="22"/>
                <w:szCs w:val="22"/>
                <w:lang w:eastAsia="en-GB"/>
              </w:rPr>
            </w:pPr>
            <w:r>
              <w:rPr>
                <w:rFonts w:cs="Arial"/>
                <w:bCs/>
                <w:color w:val="000000"/>
                <w:sz w:val="22"/>
                <w:szCs w:val="22"/>
                <w:lang w:eastAsia="en-GB"/>
              </w:rPr>
              <w:t xml:space="preserve"> 997   </w:t>
            </w:r>
          </w:p>
        </w:tc>
        <w:tc>
          <w:tcPr>
            <w:tcW w:w="1559" w:type="dxa"/>
          </w:tcPr>
          <w:p w14:paraId="08076B3B" w14:textId="0E3D0F26" w:rsidR="00D95EC3" w:rsidRPr="00D95EC3" w:rsidRDefault="0062551D" w:rsidP="00D95EC3">
            <w:pPr>
              <w:spacing w:after="120"/>
              <w:rPr>
                <w:rFonts w:cs="Arial"/>
                <w:bCs/>
                <w:color w:val="000000"/>
                <w:sz w:val="22"/>
                <w:szCs w:val="22"/>
                <w:lang w:eastAsia="en-GB"/>
              </w:rPr>
            </w:pPr>
            <w:r>
              <w:rPr>
                <w:rFonts w:cs="Arial"/>
                <w:bCs/>
                <w:color w:val="000000"/>
                <w:sz w:val="22"/>
                <w:szCs w:val="22"/>
                <w:lang w:eastAsia="en-GB"/>
              </w:rPr>
              <w:t>451</w:t>
            </w:r>
          </w:p>
        </w:tc>
      </w:tr>
    </w:tbl>
    <w:p w14:paraId="43958731" w14:textId="2164276B" w:rsidR="00D95EC3" w:rsidRPr="00B14E9C" w:rsidRDefault="00D95EC3" w:rsidP="00D95EC3">
      <w:pPr>
        <w:keepNext/>
        <w:keepLines/>
        <w:spacing w:before="360" w:after="240"/>
        <w:outlineLvl w:val="2"/>
        <w:rPr>
          <w:rFonts w:cs="Arial"/>
          <w:bCs/>
          <w:szCs w:val="22"/>
          <w:lang w:eastAsia="en-GB"/>
        </w:rPr>
      </w:pPr>
      <w:r w:rsidRPr="00B14E9C">
        <w:rPr>
          <w:rFonts w:cs="Arial"/>
          <w:bCs/>
          <w:sz w:val="22"/>
          <w:szCs w:val="22"/>
          <w:lang w:eastAsia="en-GB"/>
        </w:rPr>
        <w:t xml:space="preserve">As a result of the changes in rights of appeal made by the 2014 Act, we consider the impact of our proposals </w:t>
      </w:r>
      <w:r w:rsidR="005F6E13">
        <w:rPr>
          <w:rFonts w:cs="Arial"/>
          <w:bCs/>
          <w:sz w:val="22"/>
          <w:szCs w:val="22"/>
          <w:lang w:eastAsia="en-GB"/>
        </w:rPr>
        <w:t xml:space="preserve">only </w:t>
      </w:r>
      <w:r w:rsidRPr="00B14E9C">
        <w:rPr>
          <w:rFonts w:cs="Arial"/>
          <w:bCs/>
          <w:sz w:val="22"/>
          <w:szCs w:val="22"/>
          <w:lang w:eastAsia="en-GB"/>
        </w:rPr>
        <w:t>on human rights appeals</w:t>
      </w:r>
      <w:r w:rsidR="005F6E13">
        <w:rPr>
          <w:rFonts w:cs="Arial"/>
          <w:bCs/>
          <w:sz w:val="22"/>
          <w:szCs w:val="22"/>
          <w:lang w:eastAsia="en-GB"/>
        </w:rPr>
        <w:t>,</w:t>
      </w:r>
      <w:r w:rsidRPr="00B14E9C">
        <w:rPr>
          <w:rFonts w:cs="Arial"/>
          <w:bCs/>
          <w:sz w:val="22"/>
          <w:szCs w:val="22"/>
          <w:lang w:eastAsia="en-GB"/>
        </w:rPr>
        <w:t xml:space="preserve"> </w:t>
      </w:r>
      <w:r w:rsidR="005F6E13">
        <w:rPr>
          <w:rFonts w:cs="Arial"/>
          <w:bCs/>
          <w:sz w:val="22"/>
          <w:szCs w:val="22"/>
          <w:lang w:eastAsia="en-GB"/>
        </w:rPr>
        <w:t>as a remaining group of appeals of a significant size</w:t>
      </w:r>
      <w:r w:rsidRPr="00B14E9C">
        <w:rPr>
          <w:rFonts w:cs="Arial"/>
          <w:bCs/>
          <w:sz w:val="22"/>
          <w:szCs w:val="22"/>
          <w:lang w:eastAsia="en-GB"/>
        </w:rPr>
        <w:t xml:space="preserve">. </w:t>
      </w:r>
    </w:p>
    <w:p w14:paraId="207C9E1D" w14:textId="77777777" w:rsidR="00D95EC3" w:rsidRPr="00D95EC3" w:rsidRDefault="00D95EC3" w:rsidP="00D95EC3">
      <w:pPr>
        <w:keepNext/>
        <w:keepLines/>
        <w:spacing w:before="360" w:after="240"/>
        <w:outlineLvl w:val="2"/>
        <w:rPr>
          <w:rFonts w:cs="Arial"/>
          <w:bCs/>
          <w:i/>
          <w:color w:val="000000"/>
          <w:szCs w:val="22"/>
          <w:lang w:eastAsia="en-GB"/>
        </w:rPr>
      </w:pPr>
      <w:r w:rsidRPr="00D95EC3">
        <w:rPr>
          <w:rFonts w:cs="Arial"/>
          <w:bCs/>
          <w:i/>
          <w:color w:val="000000"/>
          <w:szCs w:val="22"/>
          <w:lang w:eastAsia="en-GB"/>
        </w:rPr>
        <w:t>Cost of appeals</w:t>
      </w:r>
    </w:p>
    <w:p w14:paraId="67CA7575" w14:textId="00FDC661"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The average cost of an appeal to the Upper Tribunal is about £1,400 and takes about 3 hours.</w:t>
      </w:r>
      <w:r w:rsidR="005860D7" w:rsidRPr="00D95EC3">
        <w:rPr>
          <w:rFonts w:cs="Arial"/>
          <w:bCs/>
          <w:color w:val="000000"/>
          <w:sz w:val="22"/>
          <w:szCs w:val="22"/>
          <w:vertAlign w:val="superscript"/>
          <w:lang w:eastAsia="en-GB"/>
        </w:rPr>
        <w:footnoteReference w:id="16"/>
      </w:r>
      <w:r w:rsidRPr="00D95EC3">
        <w:rPr>
          <w:rFonts w:cs="Arial"/>
          <w:bCs/>
          <w:color w:val="000000"/>
          <w:sz w:val="22"/>
          <w:szCs w:val="22"/>
          <w:lang w:eastAsia="en-GB"/>
        </w:rPr>
        <w:t xml:space="preserve"> Appeals to the First-tier Tribunal exhibit considerable variation depending on the case type. The average cost is about £1,000 and on average cases take about 3 and a half hours.</w:t>
      </w:r>
    </w:p>
    <w:p w14:paraId="5D08E8D0" w14:textId="77777777" w:rsidR="00D95EC3" w:rsidRPr="00D95EC3" w:rsidRDefault="00D95EC3" w:rsidP="00D95EC3">
      <w:pPr>
        <w:keepNext/>
        <w:keepLines/>
        <w:spacing w:before="360" w:after="240"/>
        <w:outlineLvl w:val="2"/>
        <w:rPr>
          <w:rFonts w:cs="Arial"/>
          <w:b/>
          <w:bCs/>
          <w:color w:val="000000"/>
          <w:szCs w:val="22"/>
          <w:lang w:eastAsia="en-GB"/>
        </w:rPr>
      </w:pPr>
      <w:r w:rsidRPr="00D95EC3">
        <w:rPr>
          <w:rFonts w:cs="Arial"/>
          <w:b/>
          <w:bCs/>
          <w:color w:val="000000"/>
          <w:szCs w:val="22"/>
          <w:lang w:eastAsia="en-GB"/>
        </w:rPr>
        <w:t>Judicial review</w:t>
      </w:r>
    </w:p>
    <w:p w14:paraId="39D84F33"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Judicial review is a procedure which determines the lawfulness of an administrative action; it is also a remedy of last resort. This means that if an applicant has access to an alternative remedy such as an appeal then judicial review will not be available. Where an applicant has a right to an administrative review, this avenue must be exhausted before a judicial review can be pursued.</w:t>
      </w:r>
    </w:p>
    <w:p w14:paraId="3A6336FD" w14:textId="2075A5E5"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 xml:space="preserve">Until 2014, the High Court (Administrative Court) heard judicial reviews. However, the Upper Tribunal (Immigration and Asylum Chamber) now determines the majority of immigration judicial reviews. The Administrative Court continues to determine judicial reviews if </w:t>
      </w:r>
      <w:r w:rsidR="009D4B49">
        <w:rPr>
          <w:rFonts w:cs="Arial"/>
          <w:bCs/>
          <w:color w:val="000000"/>
          <w:sz w:val="22"/>
          <w:szCs w:val="22"/>
          <w:lang w:eastAsia="en-GB"/>
        </w:rPr>
        <w:t>they fall within certain categories. These include</w:t>
      </w:r>
      <w:r w:rsidR="003202C7">
        <w:rPr>
          <w:rFonts w:cs="Arial"/>
          <w:bCs/>
          <w:color w:val="000000"/>
          <w:sz w:val="22"/>
          <w:szCs w:val="22"/>
          <w:lang w:eastAsia="en-GB"/>
        </w:rPr>
        <w:t xml:space="preserve"> </w:t>
      </w:r>
      <w:r w:rsidR="009D4B49">
        <w:rPr>
          <w:rFonts w:cs="Arial"/>
          <w:bCs/>
          <w:color w:val="000000"/>
          <w:sz w:val="22"/>
          <w:szCs w:val="22"/>
          <w:lang w:eastAsia="en-GB"/>
        </w:rPr>
        <w:t>challenges to the lawfulness of primary or secondary legislation or to the Immigration Rules, to the lawfulness of detention, to decisions on nationality, and applications for a declaration of incompatibility.</w:t>
      </w:r>
      <w:r w:rsidR="009D4B49">
        <w:rPr>
          <w:rStyle w:val="FootnoteReference"/>
          <w:rFonts w:cs="Arial"/>
          <w:bCs/>
          <w:color w:val="000000"/>
          <w:szCs w:val="22"/>
          <w:lang w:eastAsia="en-GB"/>
        </w:rPr>
        <w:footnoteReference w:id="17"/>
      </w:r>
      <w:r w:rsidR="009D4B49">
        <w:rPr>
          <w:rFonts w:cs="Arial"/>
          <w:bCs/>
          <w:color w:val="000000"/>
          <w:sz w:val="22"/>
          <w:szCs w:val="22"/>
          <w:lang w:eastAsia="en-GB"/>
        </w:rPr>
        <w:t xml:space="preserve"> The Administrative Court </w:t>
      </w:r>
      <w:r w:rsidRPr="00D95EC3">
        <w:rPr>
          <w:rFonts w:cs="Arial"/>
          <w:bCs/>
          <w:color w:val="000000"/>
          <w:sz w:val="22"/>
          <w:szCs w:val="22"/>
          <w:lang w:eastAsia="en-GB"/>
        </w:rPr>
        <w:t xml:space="preserve">has the power to transfer suitable cases to the Upper Tribunal. The number of judicial reviews lodged in the Upper Tribunal for the four-year period ending April 2018 is indicated in table 2 below. The applications are subject to an initial permission stage decision. They proceed to a full judicial review hearing only if permission is granted. </w:t>
      </w:r>
    </w:p>
    <w:p w14:paraId="0B414B20" w14:textId="77777777" w:rsidR="00D95EC3" w:rsidRPr="00D95EC3" w:rsidRDefault="00D95EC3" w:rsidP="00D95EC3">
      <w:pPr>
        <w:rPr>
          <w:sz w:val="22"/>
          <w:szCs w:val="22"/>
        </w:rPr>
      </w:pPr>
      <w:bookmarkStart w:id="46" w:name="_Hlk509989126"/>
    </w:p>
    <w:p w14:paraId="62EBBB7A" w14:textId="77777777" w:rsidR="00D95EC3" w:rsidRPr="00D95EC3" w:rsidRDefault="00D95EC3" w:rsidP="00D95EC3">
      <w:pPr>
        <w:rPr>
          <w:sz w:val="22"/>
          <w:szCs w:val="22"/>
        </w:rPr>
      </w:pPr>
      <w:r w:rsidRPr="00D95EC3">
        <w:rPr>
          <w:sz w:val="22"/>
          <w:szCs w:val="22"/>
          <w:u w:val="single"/>
        </w:rPr>
        <w:t>Table 2: Number of UTIAC Judicial Reviews and Disposals, 2014/15 – 2017/18</w:t>
      </w:r>
      <w:r w:rsidRPr="00D95EC3">
        <w:rPr>
          <w:sz w:val="22"/>
          <w:szCs w:val="22"/>
          <w:vertAlign w:val="superscript"/>
        </w:rPr>
        <w:footnoteReference w:id="18"/>
      </w:r>
    </w:p>
    <w:bookmarkEnd w:id="46"/>
    <w:p w14:paraId="088421A6" w14:textId="77777777" w:rsidR="00D95EC3" w:rsidRPr="00D95EC3" w:rsidRDefault="00D95EC3" w:rsidP="00D95EC3">
      <w:pPr>
        <w:spacing w:after="120"/>
        <w:rPr>
          <w:rFonts w:cs="Arial"/>
          <w:bCs/>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2361"/>
        <w:gridCol w:w="1985"/>
        <w:gridCol w:w="1985"/>
      </w:tblGrid>
      <w:tr w:rsidR="00D95EC3" w:rsidRPr="00D95EC3" w14:paraId="06F97362" w14:textId="77777777" w:rsidTr="00D95EC3">
        <w:tc>
          <w:tcPr>
            <w:tcW w:w="1036" w:type="dxa"/>
          </w:tcPr>
          <w:p w14:paraId="500B871D" w14:textId="77777777" w:rsidR="00D95EC3" w:rsidRPr="00D95EC3" w:rsidRDefault="00D95EC3" w:rsidP="00D95EC3">
            <w:pPr>
              <w:rPr>
                <w:sz w:val="22"/>
                <w:szCs w:val="22"/>
              </w:rPr>
            </w:pPr>
            <w:r w:rsidRPr="00D95EC3">
              <w:rPr>
                <w:sz w:val="22"/>
                <w:szCs w:val="22"/>
              </w:rPr>
              <w:t>Year</w:t>
            </w:r>
          </w:p>
        </w:tc>
        <w:tc>
          <w:tcPr>
            <w:tcW w:w="2361" w:type="dxa"/>
          </w:tcPr>
          <w:p w14:paraId="654B4B02" w14:textId="77777777" w:rsidR="00D95EC3" w:rsidRPr="00D95EC3" w:rsidRDefault="00D95EC3" w:rsidP="00D95EC3">
            <w:pPr>
              <w:rPr>
                <w:sz w:val="22"/>
                <w:szCs w:val="22"/>
              </w:rPr>
            </w:pPr>
            <w:r w:rsidRPr="00D95EC3">
              <w:rPr>
                <w:sz w:val="22"/>
                <w:szCs w:val="22"/>
              </w:rPr>
              <w:t>UTIAC Judicial review receipts</w:t>
            </w:r>
          </w:p>
        </w:tc>
        <w:tc>
          <w:tcPr>
            <w:tcW w:w="1985" w:type="dxa"/>
          </w:tcPr>
          <w:p w14:paraId="14898603" w14:textId="77777777" w:rsidR="00D95EC3" w:rsidRPr="00D95EC3" w:rsidRDefault="00D95EC3" w:rsidP="00D95EC3">
            <w:pPr>
              <w:rPr>
                <w:sz w:val="22"/>
                <w:szCs w:val="22"/>
              </w:rPr>
            </w:pPr>
            <w:r w:rsidRPr="00D95EC3">
              <w:rPr>
                <w:sz w:val="22"/>
                <w:szCs w:val="22"/>
              </w:rPr>
              <w:t>UTIAC Judicial Review disposals</w:t>
            </w:r>
          </w:p>
        </w:tc>
        <w:tc>
          <w:tcPr>
            <w:tcW w:w="1985" w:type="dxa"/>
          </w:tcPr>
          <w:p w14:paraId="7AE6E559" w14:textId="77777777" w:rsidR="00D95EC3" w:rsidRPr="00D95EC3" w:rsidRDefault="00D95EC3" w:rsidP="00D95EC3">
            <w:pPr>
              <w:rPr>
                <w:sz w:val="22"/>
                <w:szCs w:val="22"/>
              </w:rPr>
            </w:pPr>
            <w:r w:rsidRPr="00D95EC3">
              <w:rPr>
                <w:sz w:val="22"/>
                <w:szCs w:val="22"/>
              </w:rPr>
              <w:t>UTIAC Judicial Reviews determined</w:t>
            </w:r>
          </w:p>
        </w:tc>
      </w:tr>
      <w:tr w:rsidR="00D95EC3" w:rsidRPr="00D95EC3" w14:paraId="73D54BAF" w14:textId="77777777" w:rsidTr="00D95EC3">
        <w:tc>
          <w:tcPr>
            <w:tcW w:w="1036" w:type="dxa"/>
          </w:tcPr>
          <w:p w14:paraId="2ACC2762" w14:textId="77777777" w:rsidR="00D95EC3" w:rsidRPr="00D95EC3" w:rsidRDefault="00D95EC3" w:rsidP="00D95EC3">
            <w:pPr>
              <w:rPr>
                <w:sz w:val="22"/>
                <w:szCs w:val="22"/>
              </w:rPr>
            </w:pPr>
            <w:r w:rsidRPr="00D95EC3">
              <w:rPr>
                <w:sz w:val="22"/>
                <w:szCs w:val="22"/>
              </w:rPr>
              <w:t>2014/15</w:t>
            </w:r>
          </w:p>
        </w:tc>
        <w:tc>
          <w:tcPr>
            <w:tcW w:w="2361" w:type="dxa"/>
          </w:tcPr>
          <w:p w14:paraId="750F9797" w14:textId="77777777" w:rsidR="00D95EC3" w:rsidRPr="00D95EC3" w:rsidRDefault="00D95EC3" w:rsidP="00D95EC3">
            <w:pPr>
              <w:jc w:val="center"/>
              <w:rPr>
                <w:sz w:val="22"/>
                <w:szCs w:val="22"/>
              </w:rPr>
            </w:pPr>
            <w:r w:rsidRPr="00D95EC3">
              <w:rPr>
                <w:sz w:val="22"/>
                <w:szCs w:val="22"/>
              </w:rPr>
              <w:t>15,179</w:t>
            </w:r>
          </w:p>
        </w:tc>
        <w:tc>
          <w:tcPr>
            <w:tcW w:w="1985" w:type="dxa"/>
          </w:tcPr>
          <w:p w14:paraId="72377683" w14:textId="77777777" w:rsidR="00D95EC3" w:rsidRPr="00D95EC3" w:rsidRDefault="00D95EC3" w:rsidP="00D95EC3">
            <w:pPr>
              <w:jc w:val="center"/>
              <w:rPr>
                <w:sz w:val="22"/>
                <w:szCs w:val="22"/>
              </w:rPr>
            </w:pPr>
            <w:r w:rsidRPr="00D95EC3">
              <w:rPr>
                <w:sz w:val="22"/>
                <w:szCs w:val="22"/>
              </w:rPr>
              <w:t>15,084</w:t>
            </w:r>
          </w:p>
        </w:tc>
        <w:tc>
          <w:tcPr>
            <w:tcW w:w="1985" w:type="dxa"/>
          </w:tcPr>
          <w:p w14:paraId="54CA66C4" w14:textId="77777777" w:rsidR="00D95EC3" w:rsidRPr="00D95EC3" w:rsidRDefault="00D95EC3" w:rsidP="00D95EC3">
            <w:pPr>
              <w:jc w:val="center"/>
              <w:rPr>
                <w:sz w:val="22"/>
                <w:szCs w:val="22"/>
              </w:rPr>
            </w:pPr>
            <w:r w:rsidRPr="00D95EC3">
              <w:rPr>
                <w:sz w:val="22"/>
                <w:szCs w:val="22"/>
              </w:rPr>
              <w:t>8,296</w:t>
            </w:r>
          </w:p>
        </w:tc>
      </w:tr>
      <w:tr w:rsidR="00D95EC3" w:rsidRPr="00D95EC3" w14:paraId="57390263" w14:textId="77777777" w:rsidTr="00D95EC3">
        <w:tc>
          <w:tcPr>
            <w:tcW w:w="1036" w:type="dxa"/>
          </w:tcPr>
          <w:p w14:paraId="58C57AA6" w14:textId="77777777" w:rsidR="00D95EC3" w:rsidRPr="00D95EC3" w:rsidRDefault="00D95EC3" w:rsidP="00D95EC3">
            <w:pPr>
              <w:rPr>
                <w:sz w:val="22"/>
                <w:szCs w:val="22"/>
              </w:rPr>
            </w:pPr>
            <w:r w:rsidRPr="00D95EC3">
              <w:rPr>
                <w:sz w:val="22"/>
                <w:szCs w:val="22"/>
              </w:rPr>
              <w:lastRenderedPageBreak/>
              <w:t>2015/16</w:t>
            </w:r>
          </w:p>
        </w:tc>
        <w:tc>
          <w:tcPr>
            <w:tcW w:w="2361" w:type="dxa"/>
          </w:tcPr>
          <w:p w14:paraId="2AFF18BC" w14:textId="77777777" w:rsidR="00D95EC3" w:rsidRPr="00D95EC3" w:rsidRDefault="00D95EC3" w:rsidP="00D95EC3">
            <w:pPr>
              <w:jc w:val="center"/>
              <w:rPr>
                <w:sz w:val="22"/>
                <w:szCs w:val="22"/>
              </w:rPr>
            </w:pPr>
            <w:r w:rsidRPr="00D95EC3">
              <w:rPr>
                <w:sz w:val="22"/>
                <w:szCs w:val="22"/>
              </w:rPr>
              <w:t>15,727</w:t>
            </w:r>
          </w:p>
        </w:tc>
        <w:tc>
          <w:tcPr>
            <w:tcW w:w="1985" w:type="dxa"/>
          </w:tcPr>
          <w:p w14:paraId="1764A364" w14:textId="77777777" w:rsidR="00D95EC3" w:rsidRPr="00D95EC3" w:rsidRDefault="00D95EC3" w:rsidP="00D95EC3">
            <w:pPr>
              <w:jc w:val="center"/>
              <w:rPr>
                <w:sz w:val="22"/>
                <w:szCs w:val="22"/>
              </w:rPr>
            </w:pPr>
            <w:r w:rsidRPr="00D95EC3">
              <w:rPr>
                <w:sz w:val="22"/>
                <w:szCs w:val="22"/>
              </w:rPr>
              <w:t>19,128</w:t>
            </w:r>
          </w:p>
        </w:tc>
        <w:tc>
          <w:tcPr>
            <w:tcW w:w="1985" w:type="dxa"/>
          </w:tcPr>
          <w:p w14:paraId="0ADCE48F" w14:textId="77777777" w:rsidR="00D95EC3" w:rsidRPr="00D95EC3" w:rsidRDefault="00D95EC3" w:rsidP="00D95EC3">
            <w:pPr>
              <w:jc w:val="center"/>
              <w:rPr>
                <w:sz w:val="22"/>
                <w:szCs w:val="22"/>
              </w:rPr>
            </w:pPr>
            <w:r w:rsidRPr="00D95EC3">
              <w:rPr>
                <w:sz w:val="22"/>
                <w:szCs w:val="22"/>
              </w:rPr>
              <w:t>13,963</w:t>
            </w:r>
          </w:p>
        </w:tc>
      </w:tr>
      <w:tr w:rsidR="00D95EC3" w:rsidRPr="00D95EC3" w14:paraId="5B846DBA" w14:textId="77777777" w:rsidTr="00D95EC3">
        <w:tc>
          <w:tcPr>
            <w:tcW w:w="1036" w:type="dxa"/>
          </w:tcPr>
          <w:p w14:paraId="411D71E5" w14:textId="77777777" w:rsidR="00D95EC3" w:rsidRPr="00D95EC3" w:rsidRDefault="00D95EC3" w:rsidP="00D95EC3">
            <w:pPr>
              <w:rPr>
                <w:sz w:val="22"/>
                <w:szCs w:val="22"/>
              </w:rPr>
            </w:pPr>
            <w:r w:rsidRPr="00D95EC3">
              <w:rPr>
                <w:sz w:val="22"/>
                <w:szCs w:val="22"/>
              </w:rPr>
              <w:t>2016/17</w:t>
            </w:r>
          </w:p>
        </w:tc>
        <w:tc>
          <w:tcPr>
            <w:tcW w:w="2361" w:type="dxa"/>
          </w:tcPr>
          <w:p w14:paraId="21A7478B" w14:textId="77777777" w:rsidR="00D95EC3" w:rsidRPr="00D95EC3" w:rsidRDefault="00D95EC3" w:rsidP="00D95EC3">
            <w:pPr>
              <w:jc w:val="center"/>
              <w:rPr>
                <w:sz w:val="22"/>
                <w:szCs w:val="22"/>
              </w:rPr>
            </w:pPr>
            <w:r w:rsidRPr="00D95EC3">
              <w:rPr>
                <w:sz w:val="22"/>
                <w:szCs w:val="22"/>
              </w:rPr>
              <w:t>13,372</w:t>
            </w:r>
          </w:p>
        </w:tc>
        <w:tc>
          <w:tcPr>
            <w:tcW w:w="1985" w:type="dxa"/>
          </w:tcPr>
          <w:p w14:paraId="297061CF" w14:textId="77777777" w:rsidR="00D95EC3" w:rsidRPr="00D95EC3" w:rsidRDefault="00D95EC3" w:rsidP="00D95EC3">
            <w:pPr>
              <w:jc w:val="center"/>
              <w:rPr>
                <w:sz w:val="22"/>
                <w:szCs w:val="22"/>
              </w:rPr>
            </w:pPr>
            <w:r w:rsidRPr="00D95EC3">
              <w:rPr>
                <w:sz w:val="22"/>
                <w:szCs w:val="22"/>
              </w:rPr>
              <w:t>13,720</w:t>
            </w:r>
          </w:p>
        </w:tc>
        <w:tc>
          <w:tcPr>
            <w:tcW w:w="1985" w:type="dxa"/>
          </w:tcPr>
          <w:p w14:paraId="57651285" w14:textId="77777777" w:rsidR="00D95EC3" w:rsidRPr="00D95EC3" w:rsidRDefault="00D95EC3" w:rsidP="00D95EC3">
            <w:pPr>
              <w:jc w:val="center"/>
              <w:rPr>
                <w:sz w:val="22"/>
                <w:szCs w:val="22"/>
              </w:rPr>
            </w:pPr>
            <w:r w:rsidRPr="00D95EC3">
              <w:rPr>
                <w:sz w:val="22"/>
                <w:szCs w:val="22"/>
              </w:rPr>
              <w:t>9,741</w:t>
            </w:r>
          </w:p>
        </w:tc>
      </w:tr>
      <w:tr w:rsidR="00D95EC3" w:rsidRPr="00D95EC3" w14:paraId="58D6E9C6" w14:textId="77777777" w:rsidTr="00D95EC3">
        <w:tc>
          <w:tcPr>
            <w:tcW w:w="1036" w:type="dxa"/>
          </w:tcPr>
          <w:p w14:paraId="02726A9E" w14:textId="77777777" w:rsidR="00D95EC3" w:rsidRPr="00D95EC3" w:rsidRDefault="00D95EC3" w:rsidP="00D95EC3">
            <w:pPr>
              <w:rPr>
                <w:sz w:val="22"/>
                <w:szCs w:val="22"/>
              </w:rPr>
            </w:pPr>
            <w:r w:rsidRPr="00D95EC3">
              <w:rPr>
                <w:sz w:val="22"/>
                <w:szCs w:val="22"/>
              </w:rPr>
              <w:t>2017/18</w:t>
            </w:r>
          </w:p>
        </w:tc>
        <w:tc>
          <w:tcPr>
            <w:tcW w:w="2361" w:type="dxa"/>
          </w:tcPr>
          <w:p w14:paraId="7A70CE0A" w14:textId="77777777" w:rsidR="00D95EC3" w:rsidRPr="00D95EC3" w:rsidRDefault="00D95EC3" w:rsidP="00D95EC3">
            <w:pPr>
              <w:jc w:val="center"/>
              <w:rPr>
                <w:sz w:val="22"/>
                <w:szCs w:val="22"/>
              </w:rPr>
            </w:pPr>
            <w:r w:rsidRPr="00D95EC3">
              <w:rPr>
                <w:sz w:val="22"/>
                <w:szCs w:val="22"/>
              </w:rPr>
              <w:t>10,011</w:t>
            </w:r>
          </w:p>
        </w:tc>
        <w:tc>
          <w:tcPr>
            <w:tcW w:w="1985" w:type="dxa"/>
          </w:tcPr>
          <w:p w14:paraId="549D6100" w14:textId="77777777" w:rsidR="00D95EC3" w:rsidRPr="00D95EC3" w:rsidRDefault="00D95EC3" w:rsidP="00D95EC3">
            <w:pPr>
              <w:jc w:val="center"/>
              <w:rPr>
                <w:sz w:val="22"/>
                <w:szCs w:val="22"/>
              </w:rPr>
            </w:pPr>
            <w:r w:rsidRPr="00D95EC3">
              <w:rPr>
                <w:sz w:val="22"/>
                <w:szCs w:val="22"/>
              </w:rPr>
              <w:t>11,120</w:t>
            </w:r>
          </w:p>
        </w:tc>
        <w:tc>
          <w:tcPr>
            <w:tcW w:w="1985" w:type="dxa"/>
          </w:tcPr>
          <w:p w14:paraId="349F2839" w14:textId="77777777" w:rsidR="00D95EC3" w:rsidRPr="00D95EC3" w:rsidRDefault="00D95EC3" w:rsidP="00D95EC3">
            <w:pPr>
              <w:jc w:val="center"/>
              <w:rPr>
                <w:sz w:val="22"/>
                <w:szCs w:val="22"/>
              </w:rPr>
            </w:pPr>
            <w:r w:rsidRPr="00D95EC3">
              <w:rPr>
                <w:sz w:val="22"/>
                <w:szCs w:val="22"/>
              </w:rPr>
              <w:t>7,895</w:t>
            </w:r>
          </w:p>
        </w:tc>
      </w:tr>
      <w:tr w:rsidR="00D95EC3" w:rsidRPr="00D95EC3" w14:paraId="4E6C1713" w14:textId="77777777" w:rsidTr="00D95EC3">
        <w:tc>
          <w:tcPr>
            <w:tcW w:w="1036" w:type="dxa"/>
          </w:tcPr>
          <w:p w14:paraId="47D32D51" w14:textId="77777777" w:rsidR="00D95EC3" w:rsidRPr="00D95EC3" w:rsidRDefault="00D95EC3" w:rsidP="00D95EC3">
            <w:pPr>
              <w:rPr>
                <w:sz w:val="22"/>
                <w:szCs w:val="22"/>
              </w:rPr>
            </w:pPr>
            <w:r w:rsidRPr="00D95EC3">
              <w:rPr>
                <w:sz w:val="22"/>
                <w:szCs w:val="22"/>
              </w:rPr>
              <w:t>Average</w:t>
            </w:r>
          </w:p>
        </w:tc>
        <w:tc>
          <w:tcPr>
            <w:tcW w:w="2361" w:type="dxa"/>
          </w:tcPr>
          <w:p w14:paraId="0B7E54D8" w14:textId="77777777" w:rsidR="00D95EC3" w:rsidRPr="00D95EC3" w:rsidRDefault="00D95EC3" w:rsidP="00D95EC3">
            <w:pPr>
              <w:jc w:val="center"/>
              <w:rPr>
                <w:sz w:val="22"/>
                <w:szCs w:val="22"/>
              </w:rPr>
            </w:pPr>
            <w:r w:rsidRPr="00D95EC3">
              <w:rPr>
                <w:sz w:val="22"/>
                <w:szCs w:val="22"/>
              </w:rPr>
              <w:t>13,572</w:t>
            </w:r>
          </w:p>
        </w:tc>
        <w:tc>
          <w:tcPr>
            <w:tcW w:w="1985" w:type="dxa"/>
          </w:tcPr>
          <w:p w14:paraId="0889A2D6" w14:textId="77777777" w:rsidR="00D95EC3" w:rsidRPr="00D95EC3" w:rsidRDefault="00D95EC3" w:rsidP="00D95EC3">
            <w:pPr>
              <w:jc w:val="center"/>
              <w:rPr>
                <w:sz w:val="22"/>
                <w:szCs w:val="22"/>
              </w:rPr>
            </w:pPr>
            <w:r w:rsidRPr="00D95EC3">
              <w:rPr>
                <w:sz w:val="22"/>
                <w:szCs w:val="22"/>
              </w:rPr>
              <w:t>14,763</w:t>
            </w:r>
          </w:p>
        </w:tc>
        <w:tc>
          <w:tcPr>
            <w:tcW w:w="1985" w:type="dxa"/>
          </w:tcPr>
          <w:p w14:paraId="2338A058" w14:textId="77777777" w:rsidR="00D95EC3" w:rsidRPr="00D95EC3" w:rsidRDefault="00D95EC3" w:rsidP="00D95EC3">
            <w:pPr>
              <w:jc w:val="center"/>
              <w:rPr>
                <w:sz w:val="22"/>
                <w:szCs w:val="22"/>
              </w:rPr>
            </w:pPr>
            <w:r w:rsidRPr="00D95EC3">
              <w:rPr>
                <w:sz w:val="22"/>
                <w:szCs w:val="22"/>
              </w:rPr>
              <w:t>9,974</w:t>
            </w:r>
          </w:p>
        </w:tc>
      </w:tr>
    </w:tbl>
    <w:p w14:paraId="23BE1C34" w14:textId="77777777" w:rsidR="00D95EC3" w:rsidRPr="00D95EC3" w:rsidRDefault="00D95EC3" w:rsidP="00D95EC3">
      <w:pPr>
        <w:spacing w:after="120"/>
        <w:rPr>
          <w:rFonts w:cs="Arial"/>
          <w:bCs/>
          <w:i/>
          <w:color w:val="000000"/>
          <w:sz w:val="22"/>
          <w:szCs w:val="22"/>
          <w:lang w:eastAsia="en-GB"/>
        </w:rPr>
      </w:pPr>
    </w:p>
    <w:p w14:paraId="4F4CCABC" w14:textId="77777777" w:rsidR="00D95EC3" w:rsidRPr="00D95EC3" w:rsidRDefault="00D95EC3" w:rsidP="00D95EC3">
      <w:pPr>
        <w:spacing w:after="120"/>
        <w:rPr>
          <w:rFonts w:cs="Arial"/>
          <w:bCs/>
          <w:i/>
          <w:color w:val="000000"/>
          <w:sz w:val="22"/>
          <w:szCs w:val="22"/>
          <w:lang w:eastAsia="en-GB"/>
        </w:rPr>
      </w:pPr>
    </w:p>
    <w:p w14:paraId="500A71F3" w14:textId="77777777" w:rsidR="00D95EC3" w:rsidRPr="00D95EC3" w:rsidRDefault="00D95EC3" w:rsidP="00D95EC3">
      <w:pPr>
        <w:spacing w:after="120"/>
        <w:rPr>
          <w:rFonts w:cs="Arial"/>
          <w:bCs/>
          <w:i/>
          <w:color w:val="000000"/>
          <w:sz w:val="22"/>
          <w:szCs w:val="22"/>
          <w:lang w:eastAsia="en-GB"/>
        </w:rPr>
      </w:pPr>
      <w:r w:rsidRPr="00D95EC3">
        <w:rPr>
          <w:rFonts w:cs="Arial"/>
          <w:bCs/>
          <w:i/>
          <w:color w:val="000000"/>
          <w:sz w:val="22"/>
          <w:szCs w:val="22"/>
          <w:lang w:eastAsia="en-GB"/>
        </w:rPr>
        <w:t>Cost of judicial reviews</w:t>
      </w:r>
    </w:p>
    <w:p w14:paraId="3BC26772" w14:textId="03CB1792" w:rsidR="00D95EC3" w:rsidRPr="00D95EC3" w:rsidRDefault="00D95EC3" w:rsidP="00D95EC3">
      <w:pPr>
        <w:spacing w:after="120"/>
        <w:rPr>
          <w:rFonts w:cs="Arial"/>
          <w:bCs/>
          <w:color w:val="000000"/>
          <w:sz w:val="22"/>
          <w:szCs w:val="22"/>
          <w:lang w:eastAsia="en-GB"/>
        </w:rPr>
      </w:pPr>
      <w:bookmarkStart w:id="47" w:name="_Hlk531962812"/>
      <w:r w:rsidRPr="00B14E9C">
        <w:rPr>
          <w:rFonts w:cs="Arial"/>
          <w:bCs/>
          <w:color w:val="000000"/>
          <w:sz w:val="22"/>
          <w:szCs w:val="22"/>
          <w:lang w:eastAsia="en-GB"/>
        </w:rPr>
        <w:t>In 2017/18 figures the cost of a judicial review to the Upper Tribunal was on average about £1,700 per application. The average time required was just over 8 hours per review.</w:t>
      </w:r>
      <w:r w:rsidRPr="00B14E9C">
        <w:rPr>
          <w:rFonts w:cs="Arial"/>
          <w:bCs/>
          <w:color w:val="000000"/>
          <w:sz w:val="22"/>
          <w:szCs w:val="22"/>
          <w:vertAlign w:val="superscript"/>
          <w:lang w:eastAsia="en-GB"/>
        </w:rPr>
        <w:footnoteReference w:id="19"/>
      </w:r>
      <w:r w:rsidRPr="00D95EC3">
        <w:rPr>
          <w:rFonts w:cs="Arial"/>
          <w:bCs/>
          <w:color w:val="000000"/>
          <w:sz w:val="22"/>
          <w:szCs w:val="22"/>
          <w:lang w:eastAsia="en-GB"/>
        </w:rPr>
        <w:t xml:space="preserve">This average figure reflects the higher costs of a substantive judicial review hearing which follows if permission to apply for judicial review is granted. As only approximately 20 % of cases in immigration judicial review proceed past the permission stage, we have based our </w:t>
      </w:r>
      <w:r w:rsidR="004E1B5C">
        <w:rPr>
          <w:rFonts w:cs="Arial"/>
          <w:bCs/>
          <w:color w:val="000000"/>
          <w:sz w:val="22"/>
          <w:szCs w:val="22"/>
          <w:lang w:eastAsia="en-GB"/>
        </w:rPr>
        <w:t>cost estimate on 80% of total judicial review case numbers concluding at the permission stage, and 20% of cases concluding at the substantive s</w:t>
      </w:r>
      <w:r w:rsidR="006E742D">
        <w:rPr>
          <w:rFonts w:cs="Arial"/>
          <w:bCs/>
          <w:color w:val="000000"/>
          <w:sz w:val="22"/>
          <w:szCs w:val="22"/>
          <w:lang w:eastAsia="en-GB"/>
        </w:rPr>
        <w:t>tage</w:t>
      </w:r>
      <w:r w:rsidRPr="00D95EC3">
        <w:rPr>
          <w:rFonts w:cs="Arial"/>
          <w:bCs/>
          <w:color w:val="000000"/>
          <w:sz w:val="22"/>
          <w:szCs w:val="22"/>
          <w:lang w:eastAsia="en-GB"/>
        </w:rPr>
        <w:t>.</w:t>
      </w:r>
      <w:r w:rsidR="009D4B49">
        <w:rPr>
          <w:rStyle w:val="FootnoteReference"/>
          <w:rFonts w:cs="Arial"/>
          <w:bCs/>
          <w:color w:val="000000"/>
          <w:szCs w:val="22"/>
          <w:lang w:eastAsia="en-GB"/>
        </w:rPr>
        <w:footnoteReference w:id="20"/>
      </w:r>
      <w:r w:rsidRPr="00D95EC3">
        <w:rPr>
          <w:rFonts w:cs="Arial"/>
          <w:bCs/>
          <w:color w:val="000000"/>
          <w:sz w:val="22"/>
          <w:szCs w:val="22"/>
          <w:lang w:eastAsia="en-GB"/>
        </w:rPr>
        <w:t xml:space="preserve"> </w:t>
      </w:r>
      <w:r w:rsidRPr="00D95EC3">
        <w:rPr>
          <w:rFonts w:cs="Arial"/>
          <w:bCs/>
          <w:color w:val="000000"/>
          <w:sz w:val="22"/>
          <w:szCs w:val="22"/>
          <w:highlight w:val="yellow"/>
          <w:lang w:eastAsia="en-GB"/>
        </w:rPr>
        <w:t xml:space="preserve"> </w:t>
      </w:r>
      <w:bookmarkEnd w:id="47"/>
    </w:p>
    <w:p w14:paraId="1434FA5D" w14:textId="77777777" w:rsidR="00F11032" w:rsidRDefault="00D95EC3" w:rsidP="00F11032">
      <w:pPr>
        <w:keepNext/>
        <w:keepLines/>
        <w:spacing w:before="360" w:after="240"/>
        <w:outlineLvl w:val="2"/>
        <w:rPr>
          <w:rFonts w:cs="Arial"/>
          <w:b/>
          <w:bCs/>
          <w:color w:val="000000"/>
          <w:szCs w:val="22"/>
          <w:lang w:eastAsia="en-GB"/>
        </w:rPr>
      </w:pPr>
      <w:r w:rsidRPr="00D95EC3">
        <w:rPr>
          <w:rFonts w:cs="Arial"/>
          <w:b/>
          <w:bCs/>
          <w:color w:val="000000"/>
          <w:szCs w:val="22"/>
          <w:lang w:eastAsia="en-GB"/>
        </w:rPr>
        <w:t>Administrative review</w:t>
      </w:r>
    </w:p>
    <w:p w14:paraId="30A2A6D9" w14:textId="4B18DF22" w:rsidR="00D95EC3" w:rsidRPr="00F11032" w:rsidRDefault="00D95EC3" w:rsidP="00F11032">
      <w:pPr>
        <w:keepNext/>
        <w:keepLines/>
        <w:spacing w:before="360" w:after="240"/>
        <w:outlineLvl w:val="2"/>
        <w:rPr>
          <w:rFonts w:cs="Arial"/>
          <w:b/>
          <w:bCs/>
          <w:color w:val="000000"/>
          <w:szCs w:val="22"/>
          <w:lang w:eastAsia="en-GB"/>
        </w:rPr>
      </w:pPr>
      <w:r w:rsidRPr="00D95EC3">
        <w:rPr>
          <w:rFonts w:cs="Arial"/>
          <w:bCs/>
          <w:color w:val="000000"/>
          <w:sz w:val="22"/>
          <w:szCs w:val="22"/>
          <w:lang w:eastAsia="en-GB"/>
        </w:rPr>
        <w:t>Administrative review is the Home Office’s internal mechanism for addressing challenges to their decisions. The current regime was implemented between 20 October 2014 and 6 April 2015 in response to the Immigration Act 2014 reducing rights of appeal in the courts and tribunals.</w:t>
      </w:r>
    </w:p>
    <w:p w14:paraId="6AE79D9C"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 xml:space="preserve">Administrative review provides for a caseworker to review an eligible decision taken by one of his or her colleagues to see whether it is wrong because of a caseworker error. </w:t>
      </w:r>
    </w:p>
    <w:p w14:paraId="52964E26"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In the Immigration Rules, Appendix AR (Administrative review) explains which Home Office decisions are “eligible” for administrative review. These include:</w:t>
      </w:r>
    </w:p>
    <w:p w14:paraId="6B40F7F8" w14:textId="77777777" w:rsidR="00D95EC3" w:rsidRPr="00D95EC3" w:rsidRDefault="00D95EC3" w:rsidP="00A92BFF">
      <w:pPr>
        <w:numPr>
          <w:ilvl w:val="0"/>
          <w:numId w:val="2"/>
        </w:numPr>
        <w:spacing w:after="120"/>
        <w:rPr>
          <w:rFonts w:cs="Arial"/>
          <w:bCs/>
          <w:color w:val="000000"/>
          <w:sz w:val="22"/>
          <w:szCs w:val="22"/>
          <w:lang w:eastAsia="en-GB"/>
        </w:rPr>
      </w:pPr>
      <w:r w:rsidRPr="00D95EC3">
        <w:rPr>
          <w:rFonts w:cs="Arial"/>
          <w:bCs/>
          <w:color w:val="000000"/>
          <w:sz w:val="22"/>
          <w:szCs w:val="22"/>
          <w:lang w:eastAsia="en-GB"/>
        </w:rPr>
        <w:t>Tier 1, Tier 2, Tier 4 and Tier 5 under the points-based system; and</w:t>
      </w:r>
    </w:p>
    <w:p w14:paraId="3675E213" w14:textId="77777777" w:rsidR="00D95EC3" w:rsidRPr="00D95EC3" w:rsidRDefault="00D95EC3" w:rsidP="00A92BFF">
      <w:pPr>
        <w:numPr>
          <w:ilvl w:val="0"/>
          <w:numId w:val="2"/>
        </w:numPr>
        <w:spacing w:after="120"/>
        <w:rPr>
          <w:rFonts w:cs="Arial"/>
          <w:bCs/>
          <w:color w:val="000000"/>
          <w:sz w:val="22"/>
          <w:szCs w:val="22"/>
          <w:lang w:eastAsia="en-GB"/>
        </w:rPr>
      </w:pPr>
      <w:r w:rsidRPr="00D95EC3">
        <w:rPr>
          <w:rFonts w:cs="Arial"/>
          <w:bCs/>
          <w:color w:val="000000"/>
          <w:sz w:val="22"/>
          <w:szCs w:val="22"/>
          <w:lang w:eastAsia="en-GB"/>
        </w:rPr>
        <w:t>partners and children of the above applicants.</w:t>
      </w:r>
    </w:p>
    <w:p w14:paraId="636ECBD7"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Administrative reviews consider whether there has been a “caseworking error” which includes where:</w:t>
      </w:r>
    </w:p>
    <w:p w14:paraId="2C8EE840" w14:textId="77777777" w:rsidR="00D95EC3" w:rsidRPr="00D95EC3" w:rsidRDefault="00D95EC3" w:rsidP="00A92BFF">
      <w:pPr>
        <w:numPr>
          <w:ilvl w:val="0"/>
          <w:numId w:val="2"/>
        </w:numPr>
        <w:spacing w:after="120"/>
        <w:rPr>
          <w:rFonts w:cs="Arial"/>
          <w:bCs/>
          <w:color w:val="000000"/>
          <w:sz w:val="22"/>
          <w:szCs w:val="22"/>
          <w:lang w:eastAsia="en-GB"/>
        </w:rPr>
      </w:pPr>
      <w:r w:rsidRPr="00D95EC3">
        <w:rPr>
          <w:rFonts w:cs="Arial"/>
          <w:bCs/>
          <w:color w:val="000000"/>
          <w:sz w:val="22"/>
          <w:szCs w:val="22"/>
          <w:lang w:eastAsia="en-GB"/>
        </w:rPr>
        <w:t>the decision not to request specified documents was incorrect;</w:t>
      </w:r>
    </w:p>
    <w:p w14:paraId="01709D5F" w14:textId="77777777" w:rsidR="00D95EC3" w:rsidRPr="00D95EC3" w:rsidRDefault="00D95EC3" w:rsidP="00A92BFF">
      <w:pPr>
        <w:numPr>
          <w:ilvl w:val="0"/>
          <w:numId w:val="2"/>
        </w:numPr>
        <w:spacing w:after="120"/>
        <w:rPr>
          <w:rFonts w:cs="Arial"/>
          <w:bCs/>
          <w:color w:val="000000"/>
          <w:sz w:val="22"/>
          <w:szCs w:val="22"/>
          <w:lang w:eastAsia="en-GB"/>
        </w:rPr>
      </w:pPr>
      <w:r w:rsidRPr="00D95EC3">
        <w:rPr>
          <w:rFonts w:cs="Arial"/>
          <w:bCs/>
          <w:color w:val="000000"/>
          <w:sz w:val="22"/>
          <w:szCs w:val="22"/>
          <w:lang w:eastAsia="en-GB"/>
        </w:rPr>
        <w:t>the original decision maker applied the Immigration Rules incorrectly; or</w:t>
      </w:r>
    </w:p>
    <w:p w14:paraId="5851E8E0" w14:textId="77777777" w:rsidR="00D95EC3" w:rsidRPr="00D95EC3" w:rsidRDefault="00D95EC3" w:rsidP="00A92BFF">
      <w:pPr>
        <w:numPr>
          <w:ilvl w:val="0"/>
          <w:numId w:val="2"/>
        </w:numPr>
        <w:spacing w:after="120"/>
        <w:rPr>
          <w:rFonts w:cs="Arial"/>
          <w:bCs/>
          <w:color w:val="000000"/>
          <w:sz w:val="22"/>
          <w:szCs w:val="22"/>
          <w:lang w:eastAsia="en-GB"/>
        </w:rPr>
      </w:pPr>
      <w:r w:rsidRPr="00D95EC3">
        <w:rPr>
          <w:rFonts w:cs="Arial"/>
          <w:bCs/>
          <w:color w:val="000000"/>
          <w:sz w:val="22"/>
          <w:szCs w:val="22"/>
          <w:lang w:eastAsia="en-GB"/>
        </w:rPr>
        <w:t>the Secretary of State’s relevant published policy and guidance was applied incorrectly.</w:t>
      </w:r>
    </w:p>
    <w:p w14:paraId="595FCF63" w14:textId="483DD836" w:rsid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The 2015 report</w:t>
      </w:r>
      <w:r w:rsidRPr="00D95EC3">
        <w:rPr>
          <w:rFonts w:cs="Arial"/>
          <w:bCs/>
          <w:color w:val="000000"/>
          <w:sz w:val="22"/>
          <w:szCs w:val="22"/>
          <w:vertAlign w:val="superscript"/>
          <w:lang w:eastAsia="en-GB"/>
        </w:rPr>
        <w:footnoteReference w:id="21"/>
      </w:r>
      <w:r w:rsidRPr="00D95EC3">
        <w:rPr>
          <w:rFonts w:cs="Arial"/>
          <w:bCs/>
          <w:color w:val="000000"/>
          <w:sz w:val="22"/>
          <w:szCs w:val="22"/>
          <w:lang w:eastAsia="en-GB"/>
        </w:rPr>
        <w:t xml:space="preserve"> identifies nearly 3,300 requests during 20 October 2014 – 31 August 2015. The impact assessment recommending the introduction of administrative reviews identified a fee on a cost recovery basis</w:t>
      </w:r>
      <w:r w:rsidRPr="00D95EC3">
        <w:rPr>
          <w:rFonts w:cs="Arial"/>
          <w:bCs/>
          <w:color w:val="000000"/>
          <w:sz w:val="22"/>
          <w:szCs w:val="22"/>
          <w:vertAlign w:val="superscript"/>
          <w:lang w:eastAsia="en-GB"/>
        </w:rPr>
        <w:footnoteReference w:id="22"/>
      </w:r>
      <w:r w:rsidRPr="00D95EC3">
        <w:rPr>
          <w:rFonts w:cs="Arial"/>
          <w:bCs/>
          <w:color w:val="000000"/>
          <w:sz w:val="22"/>
          <w:szCs w:val="22"/>
          <w:lang w:eastAsia="en-GB"/>
        </w:rPr>
        <w:t>.</w:t>
      </w:r>
    </w:p>
    <w:p w14:paraId="378C7A11" w14:textId="404E36D6" w:rsidR="00AC1946" w:rsidRDefault="00AC1946" w:rsidP="00D95EC3">
      <w:pPr>
        <w:spacing w:after="120"/>
        <w:rPr>
          <w:rFonts w:cs="Arial"/>
          <w:b/>
          <w:bCs/>
          <w:color w:val="000000"/>
          <w:sz w:val="22"/>
          <w:szCs w:val="22"/>
          <w:lang w:eastAsia="en-GB"/>
        </w:rPr>
      </w:pPr>
    </w:p>
    <w:p w14:paraId="69480669" w14:textId="77777777" w:rsidR="00F11032" w:rsidRDefault="00C0469B" w:rsidP="00D95EC3">
      <w:pPr>
        <w:spacing w:after="120"/>
        <w:rPr>
          <w:rFonts w:cs="Arial"/>
          <w:b/>
          <w:bCs/>
          <w:color w:val="000000"/>
          <w:sz w:val="22"/>
          <w:szCs w:val="22"/>
          <w:lang w:eastAsia="en-GB"/>
        </w:rPr>
      </w:pPr>
      <w:r>
        <w:rPr>
          <w:rFonts w:cs="Arial"/>
          <w:b/>
          <w:bCs/>
          <w:color w:val="000000"/>
          <w:sz w:val="22"/>
          <w:szCs w:val="22"/>
          <w:lang w:eastAsia="en-GB"/>
        </w:rPr>
        <w:t>Home Office savings</w:t>
      </w:r>
    </w:p>
    <w:p w14:paraId="5C99B4E7" w14:textId="368361B4" w:rsidR="00C0469B" w:rsidRPr="00F11032" w:rsidRDefault="00C0469B" w:rsidP="00D95EC3">
      <w:pPr>
        <w:spacing w:after="120"/>
        <w:rPr>
          <w:rFonts w:cs="Arial"/>
          <w:b/>
          <w:bCs/>
          <w:color w:val="000000"/>
          <w:sz w:val="22"/>
          <w:szCs w:val="22"/>
          <w:lang w:eastAsia="en-GB"/>
        </w:rPr>
      </w:pPr>
      <w:r>
        <w:rPr>
          <w:rFonts w:cs="Arial"/>
          <w:bCs/>
          <w:color w:val="000000"/>
          <w:sz w:val="22"/>
          <w:szCs w:val="22"/>
          <w:lang w:eastAsia="en-GB"/>
        </w:rPr>
        <w:t xml:space="preserve">Decision-making by reference to simpler Immigration Rules which require less frequent amendment could save caseworker time and might also reduce the incidence of caseworking error. We do not have figures for these savings, but </w:t>
      </w:r>
      <w:r w:rsidR="004E1B5C">
        <w:rPr>
          <w:rFonts w:cs="Arial"/>
          <w:bCs/>
          <w:color w:val="000000"/>
          <w:sz w:val="22"/>
          <w:szCs w:val="22"/>
          <w:lang w:eastAsia="en-GB"/>
        </w:rPr>
        <w:t xml:space="preserve">these will </w:t>
      </w:r>
      <w:r>
        <w:rPr>
          <w:rFonts w:cs="Arial"/>
          <w:bCs/>
          <w:color w:val="000000"/>
          <w:sz w:val="22"/>
          <w:szCs w:val="22"/>
          <w:lang w:eastAsia="en-GB"/>
        </w:rPr>
        <w:t>amount to</w:t>
      </w:r>
      <w:r w:rsidR="004E1B5C">
        <w:rPr>
          <w:rFonts w:cs="Arial"/>
          <w:bCs/>
          <w:color w:val="000000"/>
          <w:sz w:val="22"/>
          <w:szCs w:val="22"/>
          <w:lang w:eastAsia="en-GB"/>
        </w:rPr>
        <w:t xml:space="preserve"> a percentage of </w:t>
      </w:r>
      <w:r>
        <w:rPr>
          <w:rFonts w:cs="Arial"/>
          <w:bCs/>
          <w:color w:val="000000"/>
          <w:sz w:val="22"/>
          <w:szCs w:val="22"/>
          <w:lang w:eastAsia="en-GB"/>
        </w:rPr>
        <w:t xml:space="preserve">overall caseworking costs. </w:t>
      </w:r>
    </w:p>
    <w:p w14:paraId="4BA3F17D" w14:textId="213D3851" w:rsidR="00D95EC3" w:rsidRDefault="00D95EC3" w:rsidP="00D95EC3">
      <w:pPr>
        <w:spacing w:after="120"/>
        <w:ind w:left="567"/>
        <w:rPr>
          <w:rFonts w:cs="Arial"/>
          <w:bCs/>
          <w:color w:val="000000"/>
          <w:sz w:val="28"/>
          <w:szCs w:val="28"/>
          <w:lang w:eastAsia="en-GB"/>
        </w:rPr>
      </w:pPr>
    </w:p>
    <w:p w14:paraId="44A64F58" w14:textId="77777777" w:rsidR="00C0469B" w:rsidRPr="00D95EC3" w:rsidRDefault="00C0469B" w:rsidP="00D95EC3">
      <w:pPr>
        <w:spacing w:after="120"/>
        <w:ind w:left="567"/>
        <w:rPr>
          <w:rFonts w:cs="Arial"/>
          <w:bCs/>
          <w:color w:val="000000"/>
          <w:sz w:val="28"/>
          <w:szCs w:val="28"/>
          <w:lang w:eastAsia="en-GB"/>
        </w:rPr>
      </w:pPr>
    </w:p>
    <w:p w14:paraId="3D37A991" w14:textId="77777777" w:rsidR="00F11032" w:rsidRDefault="00F11032" w:rsidP="00F11032">
      <w:pPr>
        <w:spacing w:after="120"/>
        <w:ind w:left="644"/>
        <w:rPr>
          <w:rFonts w:cs="Arial"/>
          <w:b/>
          <w:bCs/>
          <w:color w:val="000000"/>
          <w:sz w:val="28"/>
          <w:szCs w:val="28"/>
          <w:lang w:eastAsia="en-GB"/>
        </w:rPr>
      </w:pPr>
    </w:p>
    <w:p w14:paraId="6B743128" w14:textId="72157BB4" w:rsidR="00D95EC3" w:rsidRPr="00D95EC3" w:rsidRDefault="00D95EC3" w:rsidP="00A92BFF">
      <w:pPr>
        <w:numPr>
          <w:ilvl w:val="0"/>
          <w:numId w:val="12"/>
        </w:numPr>
        <w:spacing w:after="120"/>
        <w:rPr>
          <w:rFonts w:cs="Arial"/>
          <w:b/>
          <w:bCs/>
          <w:color w:val="000000"/>
          <w:sz w:val="28"/>
          <w:szCs w:val="28"/>
          <w:lang w:eastAsia="en-GB"/>
        </w:rPr>
      </w:pPr>
      <w:r w:rsidRPr="00D95EC3">
        <w:rPr>
          <w:rFonts w:cs="Arial"/>
          <w:b/>
          <w:bCs/>
          <w:color w:val="000000"/>
          <w:sz w:val="28"/>
          <w:szCs w:val="28"/>
          <w:lang w:eastAsia="en-GB"/>
        </w:rPr>
        <w:lastRenderedPageBreak/>
        <w:t xml:space="preserve">Main stakeholders </w:t>
      </w:r>
    </w:p>
    <w:p w14:paraId="638EC92F" w14:textId="77777777" w:rsidR="00D95EC3" w:rsidRPr="00D95EC3" w:rsidRDefault="00D95EC3" w:rsidP="00A92BFF">
      <w:pPr>
        <w:numPr>
          <w:ilvl w:val="2"/>
          <w:numId w:val="2"/>
        </w:numPr>
        <w:spacing w:after="120"/>
        <w:rPr>
          <w:rFonts w:cs="Arial"/>
          <w:bCs/>
          <w:color w:val="000000"/>
          <w:sz w:val="22"/>
          <w:szCs w:val="22"/>
          <w:lang w:eastAsia="en-GB"/>
        </w:rPr>
      </w:pPr>
      <w:r w:rsidRPr="00D95EC3">
        <w:rPr>
          <w:rFonts w:cs="Arial"/>
          <w:bCs/>
          <w:color w:val="000000"/>
          <w:sz w:val="22"/>
          <w:szCs w:val="22"/>
          <w:lang w:eastAsia="en-GB"/>
        </w:rPr>
        <w:t>Migration Advisory Committee</w:t>
      </w:r>
    </w:p>
    <w:p w14:paraId="77C90170" w14:textId="77777777" w:rsidR="00D95EC3" w:rsidRPr="00D95EC3" w:rsidRDefault="00D95EC3" w:rsidP="00A92BFF">
      <w:pPr>
        <w:numPr>
          <w:ilvl w:val="2"/>
          <w:numId w:val="2"/>
        </w:numPr>
        <w:spacing w:after="120"/>
        <w:rPr>
          <w:rFonts w:cs="Arial"/>
          <w:bCs/>
          <w:color w:val="000000"/>
          <w:sz w:val="22"/>
          <w:szCs w:val="22"/>
          <w:lang w:eastAsia="en-GB"/>
        </w:rPr>
      </w:pPr>
      <w:r w:rsidRPr="00D95EC3">
        <w:rPr>
          <w:rFonts w:cs="Arial"/>
          <w:bCs/>
          <w:color w:val="000000"/>
          <w:sz w:val="22"/>
          <w:szCs w:val="22"/>
          <w:lang w:eastAsia="en-GB"/>
        </w:rPr>
        <w:t>Legal Aid Agency</w:t>
      </w:r>
    </w:p>
    <w:p w14:paraId="75491F12" w14:textId="77777777" w:rsidR="00D95EC3" w:rsidRPr="00D95EC3" w:rsidRDefault="00D95EC3" w:rsidP="00A92BFF">
      <w:pPr>
        <w:numPr>
          <w:ilvl w:val="2"/>
          <w:numId w:val="2"/>
        </w:numPr>
        <w:spacing w:after="120"/>
        <w:rPr>
          <w:rFonts w:cs="Arial"/>
          <w:bCs/>
          <w:color w:val="000000"/>
          <w:sz w:val="22"/>
          <w:szCs w:val="22"/>
          <w:lang w:eastAsia="en-GB"/>
        </w:rPr>
      </w:pPr>
      <w:r w:rsidRPr="00D95EC3">
        <w:rPr>
          <w:rFonts w:cs="Arial"/>
          <w:bCs/>
          <w:color w:val="000000"/>
          <w:sz w:val="22"/>
          <w:szCs w:val="22"/>
          <w:lang w:eastAsia="en-GB"/>
        </w:rPr>
        <w:t>HMCTS</w:t>
      </w:r>
    </w:p>
    <w:p w14:paraId="1139D946" w14:textId="77777777" w:rsidR="00D95EC3" w:rsidRPr="00D95EC3" w:rsidRDefault="00D95EC3" w:rsidP="00A92BFF">
      <w:pPr>
        <w:numPr>
          <w:ilvl w:val="2"/>
          <w:numId w:val="2"/>
        </w:numPr>
        <w:spacing w:after="120"/>
        <w:rPr>
          <w:rFonts w:cs="Arial"/>
          <w:bCs/>
          <w:color w:val="000000"/>
          <w:sz w:val="22"/>
          <w:szCs w:val="22"/>
          <w:lang w:eastAsia="en-GB"/>
        </w:rPr>
      </w:pPr>
      <w:r w:rsidRPr="00D95EC3">
        <w:rPr>
          <w:rFonts w:cs="Arial"/>
          <w:bCs/>
          <w:color w:val="000000"/>
          <w:sz w:val="22"/>
          <w:szCs w:val="22"/>
          <w:lang w:eastAsia="en-GB"/>
        </w:rPr>
        <w:t>Home Affairs Select Committee</w:t>
      </w:r>
    </w:p>
    <w:p w14:paraId="7350FCE9" w14:textId="77777777" w:rsidR="00D95EC3" w:rsidRPr="00D95EC3" w:rsidRDefault="00D95EC3" w:rsidP="00A92BFF">
      <w:pPr>
        <w:numPr>
          <w:ilvl w:val="2"/>
          <w:numId w:val="2"/>
        </w:numPr>
        <w:spacing w:after="120"/>
        <w:rPr>
          <w:rFonts w:cs="Arial"/>
          <w:bCs/>
          <w:color w:val="000000"/>
          <w:sz w:val="22"/>
          <w:szCs w:val="22"/>
          <w:lang w:eastAsia="en-GB"/>
        </w:rPr>
      </w:pPr>
      <w:r w:rsidRPr="00D95EC3">
        <w:rPr>
          <w:rFonts w:cs="Arial"/>
          <w:bCs/>
          <w:color w:val="000000"/>
          <w:sz w:val="22"/>
          <w:szCs w:val="22"/>
          <w:lang w:eastAsia="en-GB"/>
        </w:rPr>
        <w:t>Home Office</w:t>
      </w:r>
    </w:p>
    <w:p w14:paraId="0503767A" w14:textId="77777777" w:rsidR="00D95EC3" w:rsidRPr="00D95EC3" w:rsidRDefault="00D95EC3" w:rsidP="00A92BFF">
      <w:pPr>
        <w:numPr>
          <w:ilvl w:val="2"/>
          <w:numId w:val="2"/>
        </w:numPr>
        <w:spacing w:after="120"/>
        <w:rPr>
          <w:rFonts w:cs="Arial"/>
          <w:bCs/>
          <w:color w:val="000000"/>
          <w:sz w:val="22"/>
          <w:szCs w:val="22"/>
          <w:lang w:eastAsia="en-GB"/>
        </w:rPr>
      </w:pPr>
      <w:r w:rsidRPr="00D95EC3">
        <w:rPr>
          <w:rFonts w:cs="Arial"/>
          <w:bCs/>
          <w:color w:val="000000"/>
          <w:sz w:val="22"/>
          <w:szCs w:val="22"/>
          <w:lang w:eastAsia="en-GB"/>
        </w:rPr>
        <w:t>The Law Society</w:t>
      </w:r>
    </w:p>
    <w:p w14:paraId="70E4D54C" w14:textId="77777777" w:rsidR="00D95EC3" w:rsidRPr="00D95EC3" w:rsidRDefault="00D95EC3" w:rsidP="00A92BFF">
      <w:pPr>
        <w:numPr>
          <w:ilvl w:val="2"/>
          <w:numId w:val="2"/>
        </w:numPr>
        <w:spacing w:after="120"/>
        <w:rPr>
          <w:rFonts w:cs="Arial"/>
          <w:bCs/>
          <w:color w:val="000000"/>
          <w:sz w:val="22"/>
          <w:szCs w:val="22"/>
          <w:lang w:eastAsia="en-GB"/>
        </w:rPr>
      </w:pPr>
      <w:r w:rsidRPr="00D95EC3">
        <w:rPr>
          <w:rFonts w:cs="Arial"/>
          <w:bCs/>
          <w:color w:val="000000"/>
          <w:sz w:val="22"/>
          <w:szCs w:val="22"/>
          <w:lang w:eastAsia="en-GB"/>
        </w:rPr>
        <w:t>The Bar Council</w:t>
      </w:r>
    </w:p>
    <w:p w14:paraId="15D7C08B" w14:textId="77777777" w:rsidR="00D95EC3" w:rsidRPr="00D95EC3" w:rsidRDefault="00D95EC3" w:rsidP="00A92BFF">
      <w:pPr>
        <w:numPr>
          <w:ilvl w:val="2"/>
          <w:numId w:val="2"/>
        </w:numPr>
        <w:spacing w:after="120"/>
        <w:rPr>
          <w:rFonts w:cs="Arial"/>
          <w:bCs/>
          <w:color w:val="000000"/>
          <w:sz w:val="22"/>
          <w:szCs w:val="22"/>
          <w:lang w:eastAsia="en-GB"/>
        </w:rPr>
      </w:pPr>
      <w:r w:rsidRPr="00D95EC3">
        <w:rPr>
          <w:rFonts w:cs="Arial"/>
          <w:bCs/>
          <w:color w:val="000000"/>
          <w:sz w:val="22"/>
          <w:szCs w:val="22"/>
          <w:lang w:eastAsia="en-GB"/>
        </w:rPr>
        <w:t>Immigration Law Practitioners’ Association (ILPA)</w:t>
      </w:r>
    </w:p>
    <w:p w14:paraId="110258C2" w14:textId="77777777" w:rsidR="00D95EC3" w:rsidRPr="00D95EC3" w:rsidRDefault="00D95EC3" w:rsidP="00A92BFF">
      <w:pPr>
        <w:numPr>
          <w:ilvl w:val="2"/>
          <w:numId w:val="2"/>
        </w:numPr>
        <w:spacing w:after="120" w:line="264" w:lineRule="auto"/>
        <w:ind w:left="1077" w:hanging="357"/>
        <w:rPr>
          <w:rFonts w:eastAsia="Calibri" w:cs="Arial"/>
          <w:sz w:val="22"/>
          <w:szCs w:val="22"/>
          <w:lang w:bidi="he-IL"/>
        </w:rPr>
      </w:pPr>
      <w:r w:rsidRPr="00D95EC3">
        <w:rPr>
          <w:rFonts w:eastAsia="Calibri" w:cs="Arial"/>
          <w:sz w:val="22"/>
          <w:szCs w:val="22"/>
          <w:lang w:bidi="he-IL"/>
        </w:rPr>
        <w:t>Think tanks: such as Migration Watch UK, the Migration Observatory and Centre for Research and Analysis of Migration</w:t>
      </w:r>
    </w:p>
    <w:p w14:paraId="2213D029" w14:textId="77777777" w:rsidR="00D95EC3" w:rsidRPr="00D95EC3" w:rsidRDefault="00D95EC3" w:rsidP="00A92BFF">
      <w:pPr>
        <w:numPr>
          <w:ilvl w:val="2"/>
          <w:numId w:val="2"/>
        </w:numPr>
        <w:spacing w:after="120"/>
        <w:rPr>
          <w:rFonts w:cs="Arial"/>
          <w:bCs/>
          <w:color w:val="000000"/>
          <w:sz w:val="22"/>
          <w:szCs w:val="22"/>
          <w:lang w:eastAsia="en-GB"/>
        </w:rPr>
      </w:pPr>
      <w:r w:rsidRPr="00D95EC3">
        <w:rPr>
          <w:rFonts w:cs="Arial"/>
          <w:bCs/>
          <w:color w:val="000000"/>
          <w:sz w:val="22"/>
          <w:szCs w:val="22"/>
          <w:lang w:eastAsia="en-GB"/>
        </w:rPr>
        <w:t>Legal practitioners</w:t>
      </w:r>
    </w:p>
    <w:p w14:paraId="6D258BE2" w14:textId="7E3DA8C7" w:rsidR="00D95EC3" w:rsidRPr="00D95EC3" w:rsidRDefault="00D95EC3" w:rsidP="00A92BFF">
      <w:pPr>
        <w:numPr>
          <w:ilvl w:val="2"/>
          <w:numId w:val="2"/>
        </w:numPr>
        <w:spacing w:after="120"/>
        <w:rPr>
          <w:rFonts w:cs="Arial"/>
          <w:bCs/>
          <w:color w:val="000000"/>
          <w:sz w:val="22"/>
          <w:szCs w:val="22"/>
          <w:lang w:eastAsia="en-GB"/>
        </w:rPr>
      </w:pPr>
      <w:r w:rsidRPr="00D95EC3">
        <w:rPr>
          <w:rFonts w:cs="Arial"/>
          <w:bCs/>
          <w:color w:val="000000"/>
          <w:sz w:val="22"/>
          <w:szCs w:val="22"/>
          <w:lang w:eastAsia="en-GB"/>
        </w:rPr>
        <w:t>Charities associated with immigration: such as C</w:t>
      </w:r>
      <w:r w:rsidR="00F11032">
        <w:rPr>
          <w:rFonts w:cs="Arial"/>
          <w:bCs/>
          <w:color w:val="000000"/>
          <w:sz w:val="22"/>
          <w:szCs w:val="22"/>
          <w:lang w:eastAsia="en-GB"/>
        </w:rPr>
        <w:t xml:space="preserve">itizens </w:t>
      </w:r>
      <w:r w:rsidRPr="00D95EC3">
        <w:rPr>
          <w:rFonts w:cs="Arial"/>
          <w:bCs/>
          <w:color w:val="000000"/>
          <w:sz w:val="22"/>
          <w:szCs w:val="22"/>
          <w:lang w:eastAsia="en-GB"/>
        </w:rPr>
        <w:t>A</w:t>
      </w:r>
      <w:r w:rsidR="00F11032">
        <w:rPr>
          <w:rFonts w:cs="Arial"/>
          <w:bCs/>
          <w:color w:val="000000"/>
          <w:sz w:val="22"/>
          <w:szCs w:val="22"/>
          <w:lang w:eastAsia="en-GB"/>
        </w:rPr>
        <w:t xml:space="preserve">dvice </w:t>
      </w:r>
      <w:r w:rsidRPr="00D95EC3">
        <w:rPr>
          <w:rFonts w:cs="Arial"/>
          <w:bCs/>
          <w:color w:val="000000"/>
          <w:sz w:val="22"/>
          <w:szCs w:val="22"/>
          <w:lang w:eastAsia="en-GB"/>
        </w:rPr>
        <w:t>B</w:t>
      </w:r>
      <w:r w:rsidR="00F11032">
        <w:rPr>
          <w:rFonts w:cs="Arial"/>
          <w:bCs/>
          <w:color w:val="000000"/>
          <w:sz w:val="22"/>
          <w:szCs w:val="22"/>
          <w:lang w:eastAsia="en-GB"/>
        </w:rPr>
        <w:t>ureaux</w:t>
      </w:r>
      <w:r w:rsidRPr="00D95EC3">
        <w:rPr>
          <w:rFonts w:cs="Arial"/>
          <w:bCs/>
          <w:color w:val="000000"/>
          <w:sz w:val="22"/>
          <w:szCs w:val="22"/>
          <w:lang w:eastAsia="en-GB"/>
        </w:rPr>
        <w:t xml:space="preserve">, Joint Council for the Welfare of Immigrants, Refugee Action, and </w:t>
      </w:r>
      <w:r w:rsidR="00F11032">
        <w:rPr>
          <w:rFonts w:cs="Arial"/>
          <w:bCs/>
          <w:color w:val="000000"/>
          <w:sz w:val="22"/>
          <w:szCs w:val="22"/>
          <w:lang w:eastAsia="en-GB"/>
        </w:rPr>
        <w:t xml:space="preserve">the </w:t>
      </w:r>
      <w:r w:rsidRPr="00D95EC3">
        <w:rPr>
          <w:rFonts w:cs="Arial"/>
          <w:bCs/>
          <w:color w:val="000000"/>
          <w:sz w:val="22"/>
          <w:szCs w:val="22"/>
          <w:lang w:eastAsia="en-GB"/>
        </w:rPr>
        <w:t>AIRE Centre</w:t>
      </w:r>
    </w:p>
    <w:p w14:paraId="547458E2" w14:textId="77777777" w:rsidR="00D95EC3" w:rsidRPr="00D95EC3" w:rsidRDefault="00D95EC3" w:rsidP="00A92BFF">
      <w:pPr>
        <w:numPr>
          <w:ilvl w:val="2"/>
          <w:numId w:val="2"/>
        </w:numPr>
        <w:spacing w:after="120"/>
        <w:rPr>
          <w:rFonts w:cs="Arial"/>
          <w:bCs/>
          <w:color w:val="000000"/>
          <w:sz w:val="22"/>
          <w:szCs w:val="22"/>
          <w:lang w:eastAsia="en-GB"/>
        </w:rPr>
      </w:pPr>
      <w:r w:rsidRPr="00D95EC3">
        <w:rPr>
          <w:rFonts w:cs="Arial"/>
          <w:bCs/>
          <w:color w:val="000000"/>
          <w:sz w:val="22"/>
          <w:szCs w:val="22"/>
          <w:lang w:eastAsia="en-GB"/>
        </w:rPr>
        <w:t>Universities: such as Universities UK and Independent Higher Education</w:t>
      </w:r>
    </w:p>
    <w:p w14:paraId="0E82B2A4" w14:textId="77777777" w:rsidR="00D95EC3" w:rsidRPr="00D95EC3" w:rsidRDefault="00D95EC3" w:rsidP="00A92BFF">
      <w:pPr>
        <w:numPr>
          <w:ilvl w:val="2"/>
          <w:numId w:val="2"/>
        </w:numPr>
        <w:spacing w:after="120"/>
        <w:rPr>
          <w:rFonts w:cs="Arial"/>
          <w:bCs/>
          <w:color w:val="000000"/>
          <w:sz w:val="22"/>
          <w:szCs w:val="22"/>
          <w:lang w:eastAsia="en-GB"/>
        </w:rPr>
      </w:pPr>
      <w:r w:rsidRPr="00D95EC3">
        <w:rPr>
          <w:rFonts w:cs="Arial"/>
          <w:bCs/>
          <w:color w:val="000000"/>
          <w:sz w:val="22"/>
          <w:szCs w:val="22"/>
          <w:lang w:eastAsia="en-GB"/>
        </w:rPr>
        <w:t>Business groups: such as the Institute of Directors, Chambers of Commerce, British Hospitality Association and Confederation of British Industry</w:t>
      </w:r>
    </w:p>
    <w:p w14:paraId="470BFD91" w14:textId="77777777" w:rsidR="00D95EC3" w:rsidRPr="00D95EC3" w:rsidRDefault="00D95EC3" w:rsidP="00D95EC3">
      <w:pPr>
        <w:spacing w:after="120"/>
        <w:ind w:left="1080"/>
        <w:rPr>
          <w:rFonts w:cs="Arial"/>
          <w:bCs/>
          <w:color w:val="000000"/>
          <w:sz w:val="22"/>
          <w:szCs w:val="22"/>
          <w:lang w:eastAsia="en-GB"/>
        </w:rPr>
      </w:pPr>
    </w:p>
    <w:p w14:paraId="320B8229" w14:textId="77777777" w:rsidR="00D95EC3" w:rsidRPr="00D95EC3" w:rsidRDefault="00D95EC3" w:rsidP="00A92BFF">
      <w:pPr>
        <w:numPr>
          <w:ilvl w:val="0"/>
          <w:numId w:val="12"/>
        </w:numPr>
        <w:spacing w:after="120"/>
        <w:rPr>
          <w:rFonts w:cs="Arial"/>
          <w:b/>
          <w:bCs/>
          <w:color w:val="000000"/>
          <w:sz w:val="28"/>
          <w:szCs w:val="28"/>
          <w:lang w:eastAsia="en-GB"/>
        </w:rPr>
      </w:pPr>
      <w:r w:rsidRPr="00D95EC3">
        <w:rPr>
          <w:rFonts w:cs="Arial"/>
          <w:b/>
          <w:bCs/>
          <w:color w:val="000000"/>
          <w:sz w:val="28"/>
          <w:szCs w:val="28"/>
          <w:lang w:eastAsia="en-GB"/>
        </w:rPr>
        <w:t xml:space="preserve"> Description of options considered </w:t>
      </w:r>
    </w:p>
    <w:p w14:paraId="7E8D3A9A"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This impact assessment compares two options against the do nothing [option 0]:</w:t>
      </w:r>
    </w:p>
    <w:p w14:paraId="0B0E32BD" w14:textId="77777777" w:rsidR="00D95EC3" w:rsidRPr="00D95EC3" w:rsidRDefault="00D95EC3" w:rsidP="00A92BFF">
      <w:pPr>
        <w:keepLines/>
        <w:numPr>
          <w:ilvl w:val="3"/>
          <w:numId w:val="9"/>
        </w:numPr>
        <w:tabs>
          <w:tab w:val="num" w:pos="1928"/>
        </w:tabs>
        <w:spacing w:after="240" w:line="264" w:lineRule="auto"/>
        <w:ind w:right="567"/>
        <w:jc w:val="both"/>
        <w:outlineLvl w:val="0"/>
        <w:rPr>
          <w:sz w:val="22"/>
          <w:szCs w:val="20"/>
        </w:rPr>
      </w:pPr>
      <w:r w:rsidRPr="00D95EC3">
        <w:rPr>
          <w:sz w:val="22"/>
          <w:szCs w:val="20"/>
        </w:rPr>
        <w:t>Option 0 – Do nothing</w:t>
      </w:r>
    </w:p>
    <w:p w14:paraId="3ABD3BD3" w14:textId="77777777" w:rsidR="00D95EC3" w:rsidRPr="00D95EC3" w:rsidRDefault="00D95EC3" w:rsidP="00A92BFF">
      <w:pPr>
        <w:keepLines/>
        <w:numPr>
          <w:ilvl w:val="3"/>
          <w:numId w:val="9"/>
        </w:numPr>
        <w:tabs>
          <w:tab w:val="num" w:pos="1928"/>
        </w:tabs>
        <w:spacing w:after="240" w:line="264" w:lineRule="auto"/>
        <w:ind w:right="567"/>
        <w:jc w:val="both"/>
        <w:outlineLvl w:val="0"/>
        <w:rPr>
          <w:sz w:val="22"/>
          <w:szCs w:val="20"/>
        </w:rPr>
      </w:pPr>
      <w:r w:rsidRPr="00D95EC3">
        <w:rPr>
          <w:sz w:val="22"/>
          <w:szCs w:val="20"/>
        </w:rPr>
        <w:t>Option 1 – Comprehensive re-drafting of Immigration Rules</w:t>
      </w:r>
    </w:p>
    <w:p w14:paraId="08ACEC37" w14:textId="77777777" w:rsidR="00D95EC3" w:rsidRPr="00D95EC3" w:rsidRDefault="00D95EC3" w:rsidP="00A92BFF">
      <w:pPr>
        <w:keepLines/>
        <w:numPr>
          <w:ilvl w:val="3"/>
          <w:numId w:val="9"/>
        </w:numPr>
        <w:tabs>
          <w:tab w:val="num" w:pos="1928"/>
        </w:tabs>
        <w:spacing w:after="240" w:line="264" w:lineRule="auto"/>
        <w:ind w:right="567"/>
        <w:jc w:val="both"/>
        <w:outlineLvl w:val="0"/>
        <w:rPr>
          <w:sz w:val="22"/>
          <w:szCs w:val="20"/>
        </w:rPr>
      </w:pPr>
      <w:r w:rsidRPr="00D95EC3">
        <w:rPr>
          <w:sz w:val="22"/>
          <w:szCs w:val="20"/>
        </w:rPr>
        <w:t xml:space="preserve">Option 2 – </w:t>
      </w:r>
      <w:r w:rsidRPr="00D95EC3">
        <w:rPr>
          <w:noProof/>
          <w:sz w:val="22"/>
          <w:szCs w:val="20"/>
        </w:rPr>
        <w:t>Selected reforms (including partial restructuring and renumbering, but without the review mechanism) )</w:t>
      </w:r>
    </w:p>
    <w:p w14:paraId="1CD463EB" w14:textId="77777777" w:rsidR="00D95EC3" w:rsidRPr="00D95EC3" w:rsidRDefault="00D95EC3" w:rsidP="00D95EC3">
      <w:pPr>
        <w:keepNext/>
        <w:keepLines/>
        <w:spacing w:before="360" w:after="240"/>
        <w:ind w:firstLine="720"/>
        <w:outlineLvl w:val="2"/>
        <w:rPr>
          <w:rFonts w:cs="Arial"/>
          <w:b/>
          <w:bCs/>
          <w:color w:val="000000"/>
          <w:szCs w:val="22"/>
          <w:lang w:eastAsia="en-GB"/>
        </w:rPr>
      </w:pPr>
      <w:r w:rsidRPr="00D95EC3">
        <w:rPr>
          <w:rFonts w:cs="Arial"/>
          <w:b/>
          <w:bCs/>
          <w:color w:val="000000"/>
          <w:szCs w:val="22"/>
          <w:lang w:eastAsia="en-GB"/>
        </w:rPr>
        <w:t>Option 0 – Do nothing</w:t>
      </w:r>
    </w:p>
    <w:p w14:paraId="1B09EDD7"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This option would be to retain the existing Immigration Rules. The Law Commission has rejected this option as it would leave the Rules relating to immigration unclear. The key features and associated problems of the current law are summarised in table 3 below.</w:t>
      </w:r>
    </w:p>
    <w:p w14:paraId="66F5FECF" w14:textId="77777777" w:rsidR="00D95EC3" w:rsidRPr="00D95EC3" w:rsidRDefault="00D95EC3" w:rsidP="00D95EC3">
      <w:pPr>
        <w:spacing w:before="120"/>
        <w:ind w:left="414" w:firstLine="720"/>
        <w:outlineLvl w:val="4"/>
        <w:rPr>
          <w:bCs/>
          <w:iCs/>
          <w:sz w:val="22"/>
          <w:szCs w:val="26"/>
          <w:u w:val="single"/>
        </w:rPr>
      </w:pPr>
      <w:r w:rsidRPr="00D95EC3">
        <w:rPr>
          <w:bCs/>
          <w:iCs/>
          <w:sz w:val="22"/>
          <w:szCs w:val="26"/>
          <w:u w:val="single"/>
        </w:rPr>
        <w:t>Table 3: Option 0 Key features and associated problems</w:t>
      </w:r>
    </w:p>
    <w:p w14:paraId="063D43C3" w14:textId="77777777" w:rsidR="00D95EC3" w:rsidRPr="00D95EC3" w:rsidRDefault="00D95EC3" w:rsidP="00D95EC3">
      <w:pPr>
        <w:spacing w:after="120"/>
        <w:ind w:left="720"/>
        <w:rPr>
          <w:rFonts w:cs="Arial"/>
          <w:bCs/>
          <w:color w:val="000000"/>
          <w:sz w:val="22"/>
          <w:szCs w:val="22"/>
          <w:lang w:eastAsia="en-GB"/>
        </w:rPr>
      </w:pPr>
    </w:p>
    <w:tbl>
      <w:tblPr>
        <w:tblW w:w="9264"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4625"/>
      </w:tblGrid>
      <w:tr w:rsidR="00D95EC3" w:rsidRPr="00D95EC3" w14:paraId="01C53802" w14:textId="77777777" w:rsidTr="00D95EC3">
        <w:trPr>
          <w:trHeight w:val="381"/>
        </w:trPr>
        <w:tc>
          <w:tcPr>
            <w:tcW w:w="4639" w:type="dxa"/>
          </w:tcPr>
          <w:p w14:paraId="775D4D47" w14:textId="77777777" w:rsidR="00D95EC3" w:rsidRPr="00D95EC3" w:rsidRDefault="00D95EC3" w:rsidP="00D95EC3">
            <w:pPr>
              <w:spacing w:after="120"/>
              <w:ind w:left="425" w:hanging="425"/>
              <w:rPr>
                <w:rFonts w:cs="Arial"/>
                <w:b/>
                <w:bCs/>
                <w:color w:val="000000"/>
                <w:sz w:val="22"/>
                <w:szCs w:val="22"/>
                <w:lang w:eastAsia="en-GB"/>
              </w:rPr>
            </w:pPr>
            <w:r w:rsidRPr="00D95EC3">
              <w:rPr>
                <w:rFonts w:cs="Arial"/>
                <w:b/>
                <w:bCs/>
                <w:color w:val="000000"/>
                <w:sz w:val="22"/>
                <w:szCs w:val="22"/>
                <w:lang w:eastAsia="en-GB"/>
              </w:rPr>
              <w:t>Key features</w:t>
            </w:r>
          </w:p>
        </w:tc>
        <w:tc>
          <w:tcPr>
            <w:tcW w:w="4625" w:type="dxa"/>
          </w:tcPr>
          <w:p w14:paraId="516A9AE6" w14:textId="77777777" w:rsidR="00D95EC3" w:rsidRPr="00D95EC3" w:rsidRDefault="00D95EC3" w:rsidP="00D95EC3">
            <w:pPr>
              <w:spacing w:after="120"/>
              <w:ind w:left="425" w:hanging="425"/>
              <w:rPr>
                <w:rFonts w:cs="Arial"/>
                <w:b/>
                <w:bCs/>
                <w:color w:val="000000"/>
                <w:sz w:val="22"/>
                <w:szCs w:val="22"/>
                <w:lang w:eastAsia="en-GB"/>
              </w:rPr>
            </w:pPr>
            <w:r w:rsidRPr="00D95EC3">
              <w:rPr>
                <w:rFonts w:cs="Arial"/>
                <w:b/>
                <w:bCs/>
                <w:color w:val="000000"/>
                <w:sz w:val="22"/>
                <w:szCs w:val="22"/>
                <w:lang w:eastAsia="en-GB"/>
              </w:rPr>
              <w:t>Associated problems</w:t>
            </w:r>
          </w:p>
        </w:tc>
      </w:tr>
      <w:tr w:rsidR="00D95EC3" w:rsidRPr="00D95EC3" w14:paraId="4E9DECBF" w14:textId="77777777" w:rsidTr="00D95EC3">
        <w:trPr>
          <w:trHeight w:val="1664"/>
        </w:trPr>
        <w:tc>
          <w:tcPr>
            <w:tcW w:w="4639" w:type="dxa"/>
          </w:tcPr>
          <w:p w14:paraId="06025F06" w14:textId="77777777" w:rsidR="00D95EC3" w:rsidRPr="00D95EC3" w:rsidRDefault="00D95EC3" w:rsidP="00D95EC3">
            <w:pPr>
              <w:spacing w:after="120"/>
              <w:ind w:left="425" w:hanging="425"/>
              <w:rPr>
                <w:rFonts w:cs="Arial"/>
                <w:bCs/>
                <w:color w:val="000000"/>
                <w:sz w:val="22"/>
                <w:szCs w:val="22"/>
                <w:lang w:eastAsia="en-GB"/>
              </w:rPr>
            </w:pPr>
            <w:r w:rsidRPr="00D95EC3">
              <w:rPr>
                <w:rFonts w:cs="Arial"/>
                <w:bCs/>
                <w:color w:val="000000"/>
                <w:sz w:val="22"/>
                <w:szCs w:val="22"/>
                <w:lang w:eastAsia="en-GB"/>
              </w:rPr>
              <w:t>Poorly drafted Rules</w:t>
            </w:r>
          </w:p>
        </w:tc>
        <w:tc>
          <w:tcPr>
            <w:tcW w:w="4625" w:type="dxa"/>
          </w:tcPr>
          <w:p w14:paraId="240428CC" w14:textId="731540CE" w:rsidR="00D95EC3" w:rsidRPr="00D95EC3" w:rsidRDefault="00F11032" w:rsidP="00D95EC3">
            <w:pPr>
              <w:spacing w:after="120"/>
              <w:rPr>
                <w:rFonts w:cs="Arial"/>
                <w:bCs/>
                <w:color w:val="000000"/>
                <w:sz w:val="22"/>
                <w:szCs w:val="22"/>
                <w:lang w:eastAsia="en-GB"/>
              </w:rPr>
            </w:pPr>
            <w:r>
              <w:rPr>
                <w:rFonts w:cs="Arial"/>
                <w:bCs/>
                <w:color w:val="000000"/>
                <w:sz w:val="22"/>
                <w:szCs w:val="22"/>
                <w:lang w:eastAsia="en-GB"/>
              </w:rPr>
              <w:t>The lack of</w:t>
            </w:r>
            <w:r w:rsidR="00D95EC3" w:rsidRPr="00D95EC3">
              <w:rPr>
                <w:rFonts w:cs="Arial"/>
                <w:bCs/>
                <w:color w:val="000000"/>
                <w:sz w:val="22"/>
                <w:szCs w:val="22"/>
                <w:lang w:eastAsia="en-GB"/>
              </w:rPr>
              <w:t xml:space="preserve"> clear signposting in the Rules mean that applicants do not provide the correct documentation. This causes delays if the correct documentation is sought by Home Office caseworkers.</w:t>
            </w:r>
          </w:p>
        </w:tc>
      </w:tr>
      <w:tr w:rsidR="00D95EC3" w:rsidRPr="00D95EC3" w14:paraId="3BE47707" w14:textId="77777777" w:rsidTr="00D95EC3">
        <w:trPr>
          <w:trHeight w:val="1145"/>
        </w:trPr>
        <w:tc>
          <w:tcPr>
            <w:tcW w:w="4639" w:type="dxa"/>
          </w:tcPr>
          <w:p w14:paraId="1B903364" w14:textId="77777777" w:rsidR="00D95EC3" w:rsidRPr="00D95EC3" w:rsidRDefault="00D95EC3" w:rsidP="00D95EC3">
            <w:pPr>
              <w:spacing w:after="120"/>
              <w:ind w:left="425" w:hanging="425"/>
              <w:rPr>
                <w:rFonts w:cs="Arial"/>
                <w:bCs/>
                <w:color w:val="000000"/>
                <w:sz w:val="22"/>
                <w:szCs w:val="22"/>
                <w:lang w:eastAsia="en-GB"/>
              </w:rPr>
            </w:pPr>
            <w:r w:rsidRPr="00D95EC3">
              <w:rPr>
                <w:rFonts w:cs="Arial"/>
                <w:bCs/>
                <w:color w:val="000000"/>
                <w:sz w:val="22"/>
                <w:szCs w:val="22"/>
                <w:lang w:eastAsia="en-GB"/>
              </w:rPr>
              <w:t>The structure of the Rules</w:t>
            </w:r>
          </w:p>
        </w:tc>
        <w:tc>
          <w:tcPr>
            <w:tcW w:w="4625" w:type="dxa"/>
          </w:tcPr>
          <w:p w14:paraId="061056F4"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The Immigration Rules are not structured in a coherent way which can make navigating the Rules challenging. This is inefficient for Home Office caseworkers and practitioners.</w:t>
            </w:r>
          </w:p>
        </w:tc>
      </w:tr>
      <w:tr w:rsidR="00D95EC3" w:rsidRPr="00D95EC3" w14:paraId="45E6D82D" w14:textId="77777777" w:rsidTr="00D95EC3">
        <w:trPr>
          <w:trHeight w:val="641"/>
        </w:trPr>
        <w:tc>
          <w:tcPr>
            <w:tcW w:w="4639" w:type="dxa"/>
          </w:tcPr>
          <w:p w14:paraId="46B71DB6" w14:textId="77777777" w:rsidR="00D95EC3" w:rsidRPr="00D95EC3" w:rsidRDefault="00D95EC3" w:rsidP="00D95EC3">
            <w:pPr>
              <w:spacing w:after="120"/>
              <w:ind w:left="425" w:hanging="425"/>
              <w:rPr>
                <w:rFonts w:cs="Arial"/>
                <w:bCs/>
                <w:color w:val="000000"/>
                <w:sz w:val="22"/>
                <w:szCs w:val="22"/>
                <w:lang w:eastAsia="en-GB"/>
              </w:rPr>
            </w:pPr>
            <w:r w:rsidRPr="00D95EC3">
              <w:rPr>
                <w:rFonts w:cs="Arial"/>
                <w:bCs/>
                <w:color w:val="000000"/>
                <w:sz w:val="22"/>
                <w:szCs w:val="22"/>
                <w:lang w:eastAsia="en-GB"/>
              </w:rPr>
              <w:lastRenderedPageBreak/>
              <w:t>Repetition</w:t>
            </w:r>
          </w:p>
        </w:tc>
        <w:tc>
          <w:tcPr>
            <w:tcW w:w="4625" w:type="dxa"/>
          </w:tcPr>
          <w:p w14:paraId="79FBA49B" w14:textId="2C9A2C40" w:rsidR="00D95EC3" w:rsidRPr="00D95EC3" w:rsidRDefault="00D95EC3" w:rsidP="00D95EC3">
            <w:pPr>
              <w:spacing w:after="120"/>
              <w:rPr>
                <w:rFonts w:cs="Arial"/>
                <w:bCs/>
                <w:color w:val="000000"/>
                <w:sz w:val="22"/>
                <w:szCs w:val="22"/>
                <w:lang w:eastAsia="en-GB"/>
              </w:rPr>
            </w:pPr>
            <w:bookmarkStart w:id="48" w:name="_Hlk508036563"/>
            <w:r w:rsidRPr="00D95EC3">
              <w:rPr>
                <w:rFonts w:cs="Arial"/>
                <w:bCs/>
                <w:color w:val="000000"/>
                <w:sz w:val="22"/>
                <w:szCs w:val="22"/>
                <w:lang w:eastAsia="en-GB"/>
              </w:rPr>
              <w:t xml:space="preserve">There is considerable repetition </w:t>
            </w:r>
            <w:r w:rsidR="00F11032">
              <w:rPr>
                <w:rFonts w:cs="Arial"/>
                <w:bCs/>
                <w:color w:val="000000"/>
                <w:sz w:val="22"/>
                <w:szCs w:val="22"/>
                <w:lang w:eastAsia="en-GB"/>
              </w:rPr>
              <w:t xml:space="preserve">and near-repetition </w:t>
            </w:r>
            <w:r w:rsidRPr="00D95EC3">
              <w:rPr>
                <w:rFonts w:cs="Arial"/>
                <w:bCs/>
                <w:color w:val="000000"/>
                <w:sz w:val="22"/>
                <w:szCs w:val="22"/>
                <w:lang w:eastAsia="en-GB"/>
              </w:rPr>
              <w:t>in the Rules which adds to their complexity and length.</w:t>
            </w:r>
            <w:bookmarkEnd w:id="48"/>
          </w:p>
        </w:tc>
      </w:tr>
      <w:tr w:rsidR="00D95EC3" w:rsidRPr="00D95EC3" w14:paraId="08730652" w14:textId="77777777" w:rsidTr="00D95EC3">
        <w:trPr>
          <w:trHeight w:val="1145"/>
        </w:trPr>
        <w:tc>
          <w:tcPr>
            <w:tcW w:w="4639" w:type="dxa"/>
          </w:tcPr>
          <w:p w14:paraId="44001894" w14:textId="77777777" w:rsidR="00D95EC3" w:rsidRPr="00D95EC3" w:rsidRDefault="00D95EC3" w:rsidP="00D95EC3">
            <w:pPr>
              <w:spacing w:after="120"/>
              <w:ind w:left="425" w:hanging="425"/>
              <w:rPr>
                <w:rFonts w:cs="Arial"/>
                <w:bCs/>
                <w:color w:val="000000"/>
                <w:sz w:val="22"/>
                <w:szCs w:val="22"/>
                <w:lang w:eastAsia="en-GB"/>
              </w:rPr>
            </w:pPr>
            <w:r w:rsidRPr="00D95EC3">
              <w:rPr>
                <w:rFonts w:cs="Arial"/>
                <w:bCs/>
                <w:color w:val="000000"/>
                <w:sz w:val="22"/>
                <w:szCs w:val="22"/>
                <w:lang w:eastAsia="en-GB"/>
              </w:rPr>
              <w:t>Frequency of amendments to the Rules</w:t>
            </w:r>
          </w:p>
        </w:tc>
        <w:tc>
          <w:tcPr>
            <w:tcW w:w="4625" w:type="dxa"/>
          </w:tcPr>
          <w:p w14:paraId="52BBC4A0" w14:textId="6CCA1A26"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 xml:space="preserve">In 2013 there were 12 sets of changes made to the Rules. </w:t>
            </w:r>
            <w:r w:rsidR="00FC1191">
              <w:rPr>
                <w:rFonts w:cs="Arial"/>
                <w:bCs/>
                <w:color w:val="000000"/>
                <w:sz w:val="22"/>
                <w:szCs w:val="22"/>
                <w:lang w:eastAsia="en-GB"/>
              </w:rPr>
              <w:t xml:space="preserve">In 2018 there were 6. </w:t>
            </w:r>
            <w:r w:rsidRPr="00D95EC3">
              <w:rPr>
                <w:rFonts w:cs="Arial"/>
                <w:bCs/>
                <w:color w:val="000000"/>
                <w:sz w:val="22"/>
                <w:szCs w:val="22"/>
                <w:lang w:eastAsia="en-GB"/>
              </w:rPr>
              <w:t xml:space="preserve">This can lead to complicated transitional arrangements which has led to considerable litigation. </w:t>
            </w:r>
          </w:p>
        </w:tc>
      </w:tr>
      <w:tr w:rsidR="00D95EC3" w:rsidRPr="00D95EC3" w14:paraId="3AAB76F7" w14:textId="77777777" w:rsidTr="00D95EC3">
        <w:trPr>
          <w:trHeight w:val="1649"/>
        </w:trPr>
        <w:tc>
          <w:tcPr>
            <w:tcW w:w="4639" w:type="dxa"/>
          </w:tcPr>
          <w:p w14:paraId="3FC6233F" w14:textId="77777777" w:rsidR="00D95EC3" w:rsidRPr="00D95EC3" w:rsidRDefault="00D95EC3" w:rsidP="00D95EC3">
            <w:pPr>
              <w:spacing w:after="120"/>
              <w:ind w:left="425" w:hanging="425"/>
              <w:rPr>
                <w:rFonts w:cs="Arial"/>
                <w:bCs/>
                <w:color w:val="000000"/>
                <w:sz w:val="22"/>
                <w:szCs w:val="22"/>
                <w:lang w:eastAsia="en-GB"/>
              </w:rPr>
            </w:pPr>
            <w:r w:rsidRPr="00D95EC3">
              <w:rPr>
                <w:rFonts w:cs="Arial"/>
                <w:bCs/>
                <w:color w:val="000000"/>
                <w:sz w:val="22"/>
                <w:szCs w:val="22"/>
                <w:lang w:eastAsia="en-GB"/>
              </w:rPr>
              <w:t>Cost inefficiencies</w:t>
            </w:r>
          </w:p>
        </w:tc>
        <w:tc>
          <w:tcPr>
            <w:tcW w:w="4625" w:type="dxa"/>
          </w:tcPr>
          <w:p w14:paraId="2F430F37"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The Immigration Rules are difficult to use in practice which creates inefficiencies for the judiciary as well as the Home Office. This contributes to a misallocation of resources which could be used more effectively if the system were made more effective.</w:t>
            </w:r>
          </w:p>
        </w:tc>
      </w:tr>
      <w:tr w:rsidR="00D95EC3" w:rsidRPr="00D95EC3" w14:paraId="5911FBF8" w14:textId="77777777" w:rsidTr="00D95EC3">
        <w:trPr>
          <w:trHeight w:val="1648"/>
        </w:trPr>
        <w:tc>
          <w:tcPr>
            <w:tcW w:w="4639" w:type="dxa"/>
          </w:tcPr>
          <w:p w14:paraId="5EFFAE3B" w14:textId="77777777" w:rsidR="00D95EC3" w:rsidRPr="00D95EC3" w:rsidRDefault="00D95EC3" w:rsidP="00D95EC3">
            <w:pPr>
              <w:spacing w:after="120"/>
              <w:ind w:left="425" w:hanging="425"/>
              <w:rPr>
                <w:rFonts w:cs="Arial"/>
                <w:bCs/>
                <w:color w:val="000000"/>
                <w:sz w:val="22"/>
                <w:szCs w:val="22"/>
                <w:lang w:eastAsia="en-GB"/>
              </w:rPr>
            </w:pPr>
            <w:r w:rsidRPr="00D95EC3">
              <w:rPr>
                <w:rFonts w:cs="Arial"/>
                <w:bCs/>
                <w:color w:val="000000"/>
                <w:sz w:val="22"/>
                <w:szCs w:val="22"/>
                <w:lang w:eastAsia="en-GB"/>
              </w:rPr>
              <w:t>Lack of review</w:t>
            </w:r>
          </w:p>
        </w:tc>
        <w:tc>
          <w:tcPr>
            <w:tcW w:w="4625" w:type="dxa"/>
          </w:tcPr>
          <w:p w14:paraId="11CBF8BC" w14:textId="77777777" w:rsidR="00D95EC3" w:rsidRPr="00D95EC3" w:rsidRDefault="00D95EC3" w:rsidP="00D95EC3">
            <w:pPr>
              <w:rPr>
                <w:sz w:val="22"/>
                <w:szCs w:val="22"/>
              </w:rPr>
            </w:pPr>
            <w:r w:rsidRPr="00D95EC3">
              <w:rPr>
                <w:sz w:val="22"/>
                <w:szCs w:val="22"/>
              </w:rPr>
              <w:t>The Rules sometimes have unintended consequences – for example, where definitions are inaccurate and are later amended. This causes confusion and may lead to administrative reviews, appeals and judicial reviews.</w:t>
            </w:r>
          </w:p>
        </w:tc>
      </w:tr>
    </w:tbl>
    <w:p w14:paraId="21FC315D" w14:textId="77777777" w:rsidR="00D95EC3" w:rsidRPr="00D95EC3" w:rsidRDefault="00D95EC3" w:rsidP="00D95EC3">
      <w:pPr>
        <w:spacing w:after="120"/>
        <w:ind w:left="425"/>
        <w:rPr>
          <w:rFonts w:cs="Arial"/>
          <w:bCs/>
          <w:color w:val="000000"/>
          <w:sz w:val="22"/>
          <w:szCs w:val="22"/>
          <w:lang w:eastAsia="en-GB"/>
        </w:rPr>
      </w:pPr>
    </w:p>
    <w:p w14:paraId="62FE6F36"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The main proposals are set out in the Law Commission’s Consultation Paper, the key features of which are summarised below.</w:t>
      </w:r>
    </w:p>
    <w:p w14:paraId="719F5E02" w14:textId="77777777" w:rsidR="00D95EC3" w:rsidRPr="00D95EC3" w:rsidRDefault="00D95EC3" w:rsidP="00D95EC3">
      <w:pPr>
        <w:keepNext/>
        <w:keepLines/>
        <w:spacing w:before="360" w:after="240"/>
        <w:outlineLvl w:val="2"/>
        <w:rPr>
          <w:rFonts w:cs="Arial"/>
          <w:b/>
          <w:bCs/>
          <w:color w:val="000000"/>
          <w:szCs w:val="22"/>
          <w:lang w:eastAsia="en-GB"/>
        </w:rPr>
      </w:pPr>
      <w:r w:rsidRPr="00D95EC3">
        <w:rPr>
          <w:rFonts w:cs="Arial"/>
          <w:b/>
          <w:bCs/>
          <w:color w:val="000000"/>
          <w:szCs w:val="22"/>
          <w:lang w:eastAsia="en-GB"/>
        </w:rPr>
        <w:t>Option 1 – Preferred option</w:t>
      </w:r>
    </w:p>
    <w:p w14:paraId="09E66213" w14:textId="7DB23314"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 xml:space="preserve">The preferred option is based on the </w:t>
      </w:r>
      <w:r w:rsidR="00C0209E">
        <w:rPr>
          <w:rFonts w:cs="Arial"/>
          <w:bCs/>
          <w:color w:val="000000"/>
          <w:sz w:val="22"/>
          <w:szCs w:val="22"/>
          <w:lang w:eastAsia="en-GB"/>
        </w:rPr>
        <w:t xml:space="preserve">provisional proposals </w:t>
      </w:r>
      <w:r w:rsidRPr="00D95EC3">
        <w:rPr>
          <w:rFonts w:cs="Arial"/>
          <w:bCs/>
          <w:color w:val="000000"/>
          <w:sz w:val="22"/>
          <w:szCs w:val="22"/>
          <w:lang w:eastAsia="en-GB"/>
        </w:rPr>
        <w:t xml:space="preserve">made by the Law Commission in its Consultation Paper published in January 2019. These </w:t>
      </w:r>
      <w:r w:rsidR="00FC1191">
        <w:rPr>
          <w:rFonts w:cs="Arial"/>
          <w:bCs/>
          <w:color w:val="000000"/>
          <w:sz w:val="22"/>
          <w:szCs w:val="22"/>
          <w:lang w:eastAsia="en-GB"/>
        </w:rPr>
        <w:t>proposals c</w:t>
      </w:r>
      <w:r w:rsidRPr="00D95EC3">
        <w:rPr>
          <w:rFonts w:cs="Arial"/>
          <w:bCs/>
          <w:color w:val="000000"/>
          <w:sz w:val="22"/>
          <w:szCs w:val="22"/>
          <w:lang w:eastAsia="en-GB"/>
        </w:rPr>
        <w:t xml:space="preserve">omprised: </w:t>
      </w:r>
    </w:p>
    <w:p w14:paraId="38532E15" w14:textId="77777777" w:rsidR="00D95EC3" w:rsidRPr="00D95EC3" w:rsidRDefault="00D95EC3" w:rsidP="00D95EC3">
      <w:pPr>
        <w:numPr>
          <w:ilvl w:val="1"/>
          <w:numId w:val="0"/>
        </w:numPr>
        <w:tabs>
          <w:tab w:val="num" w:pos="425"/>
        </w:tabs>
        <w:spacing w:after="120"/>
        <w:ind w:left="425" w:hanging="425"/>
        <w:rPr>
          <w:rFonts w:cs="Arial"/>
          <w:bCs/>
          <w:color w:val="000000"/>
          <w:sz w:val="22"/>
          <w:szCs w:val="22"/>
          <w:lang w:eastAsia="en-GB"/>
        </w:rPr>
      </w:pPr>
      <w:r w:rsidRPr="00D95EC3">
        <w:rPr>
          <w:rFonts w:cs="Arial"/>
          <w:bCs/>
          <w:color w:val="000000"/>
          <w:sz w:val="22"/>
          <w:szCs w:val="22"/>
          <w:lang w:eastAsia="en-GB"/>
        </w:rPr>
        <w:t>Restructuring the Rules;</w:t>
      </w:r>
    </w:p>
    <w:p w14:paraId="6A1BC068" w14:textId="385E90CF" w:rsidR="00D95EC3" w:rsidRPr="00D95EC3" w:rsidRDefault="003F653E" w:rsidP="00D95EC3">
      <w:pPr>
        <w:numPr>
          <w:ilvl w:val="1"/>
          <w:numId w:val="0"/>
        </w:numPr>
        <w:tabs>
          <w:tab w:val="num" w:pos="425"/>
        </w:tabs>
        <w:spacing w:after="120"/>
        <w:ind w:left="425" w:hanging="425"/>
        <w:rPr>
          <w:rFonts w:cs="Arial"/>
          <w:bCs/>
          <w:color w:val="000000"/>
          <w:sz w:val="22"/>
          <w:szCs w:val="22"/>
          <w:lang w:eastAsia="en-GB"/>
        </w:rPr>
      </w:pPr>
      <w:r>
        <w:rPr>
          <w:rFonts w:cs="Arial"/>
          <w:bCs/>
          <w:color w:val="000000"/>
          <w:sz w:val="22"/>
          <w:szCs w:val="22"/>
          <w:lang w:eastAsia="en-GB"/>
        </w:rPr>
        <w:t>Reduc</w:t>
      </w:r>
      <w:r w:rsidR="00D95EC3" w:rsidRPr="00D95EC3">
        <w:rPr>
          <w:rFonts w:cs="Arial"/>
          <w:bCs/>
          <w:color w:val="000000"/>
          <w:sz w:val="22"/>
          <w:szCs w:val="22"/>
          <w:lang w:eastAsia="en-GB"/>
        </w:rPr>
        <w:t>ing repetitions;</w:t>
      </w:r>
    </w:p>
    <w:p w14:paraId="45B13B62" w14:textId="77777777" w:rsidR="00D95EC3" w:rsidRPr="00D95EC3" w:rsidRDefault="00D95EC3" w:rsidP="00D95EC3">
      <w:pPr>
        <w:numPr>
          <w:ilvl w:val="1"/>
          <w:numId w:val="0"/>
        </w:numPr>
        <w:tabs>
          <w:tab w:val="num" w:pos="425"/>
        </w:tabs>
        <w:spacing w:after="120"/>
        <w:ind w:left="425" w:hanging="425"/>
        <w:rPr>
          <w:rFonts w:cs="Arial"/>
          <w:bCs/>
          <w:color w:val="000000"/>
          <w:sz w:val="22"/>
          <w:szCs w:val="22"/>
          <w:lang w:eastAsia="en-GB"/>
        </w:rPr>
      </w:pPr>
      <w:r w:rsidRPr="00D95EC3">
        <w:rPr>
          <w:rFonts w:cs="Arial"/>
          <w:bCs/>
          <w:color w:val="000000"/>
          <w:sz w:val="22"/>
          <w:szCs w:val="22"/>
          <w:lang w:eastAsia="en-GB"/>
        </w:rPr>
        <w:t>Renumbering the Rules;</w:t>
      </w:r>
    </w:p>
    <w:p w14:paraId="3B400421" w14:textId="695CE208" w:rsidR="00D95EC3" w:rsidRPr="00D95EC3" w:rsidRDefault="006E742D" w:rsidP="00D95EC3">
      <w:pPr>
        <w:numPr>
          <w:ilvl w:val="1"/>
          <w:numId w:val="0"/>
        </w:numPr>
        <w:tabs>
          <w:tab w:val="num" w:pos="425"/>
        </w:tabs>
        <w:spacing w:after="120"/>
        <w:ind w:left="425" w:hanging="425"/>
        <w:rPr>
          <w:rFonts w:cs="Arial"/>
          <w:bCs/>
          <w:color w:val="000000"/>
          <w:sz w:val="22"/>
          <w:szCs w:val="22"/>
          <w:lang w:eastAsia="en-GB"/>
        </w:rPr>
      </w:pPr>
      <w:r>
        <w:rPr>
          <w:rFonts w:cs="Arial"/>
          <w:bCs/>
          <w:color w:val="000000"/>
          <w:sz w:val="22"/>
          <w:szCs w:val="22"/>
          <w:lang w:eastAsia="en-GB"/>
        </w:rPr>
        <w:t>Redrafting the Rules;</w:t>
      </w:r>
    </w:p>
    <w:p w14:paraId="21EB448D" w14:textId="2B324F3D" w:rsidR="00D95EC3" w:rsidRPr="00D95EC3" w:rsidRDefault="006E742D" w:rsidP="00D95EC3">
      <w:pPr>
        <w:numPr>
          <w:ilvl w:val="1"/>
          <w:numId w:val="0"/>
        </w:numPr>
        <w:tabs>
          <w:tab w:val="num" w:pos="425"/>
        </w:tabs>
        <w:spacing w:after="120"/>
        <w:ind w:left="425" w:hanging="425"/>
        <w:rPr>
          <w:rFonts w:cs="Arial"/>
          <w:bCs/>
          <w:color w:val="000000"/>
          <w:sz w:val="22"/>
          <w:szCs w:val="22"/>
          <w:lang w:eastAsia="en-GB"/>
        </w:rPr>
      </w:pPr>
      <w:r>
        <w:rPr>
          <w:rFonts w:cs="Arial"/>
          <w:bCs/>
          <w:color w:val="000000"/>
          <w:sz w:val="22"/>
          <w:szCs w:val="22"/>
          <w:lang w:eastAsia="en-GB"/>
        </w:rPr>
        <w:t xml:space="preserve">Introducing a </w:t>
      </w:r>
      <w:r w:rsidR="00D95EC3" w:rsidRPr="00D95EC3">
        <w:rPr>
          <w:rFonts w:cs="Arial"/>
          <w:bCs/>
          <w:color w:val="000000"/>
          <w:sz w:val="22"/>
          <w:szCs w:val="22"/>
          <w:lang w:eastAsia="en-GB"/>
        </w:rPr>
        <w:t>mechanism</w:t>
      </w:r>
      <w:r w:rsidR="00FC1191">
        <w:rPr>
          <w:rFonts w:cs="Arial"/>
          <w:bCs/>
          <w:color w:val="000000"/>
          <w:sz w:val="22"/>
          <w:szCs w:val="22"/>
          <w:lang w:eastAsia="en-GB"/>
        </w:rPr>
        <w:t xml:space="preserve"> for reviewing changes to the Rules</w:t>
      </w:r>
      <w:r w:rsidR="00D95EC3" w:rsidRPr="00D95EC3">
        <w:rPr>
          <w:rFonts w:cs="Arial"/>
          <w:bCs/>
          <w:color w:val="000000"/>
          <w:sz w:val="22"/>
          <w:szCs w:val="22"/>
          <w:lang w:eastAsia="en-GB"/>
        </w:rPr>
        <w:t>;</w:t>
      </w:r>
    </w:p>
    <w:p w14:paraId="0C293D71" w14:textId="256828E7" w:rsidR="00D95EC3" w:rsidRPr="00D95EC3" w:rsidRDefault="00D95EC3" w:rsidP="00F11032">
      <w:pPr>
        <w:numPr>
          <w:ilvl w:val="1"/>
          <w:numId w:val="0"/>
        </w:numPr>
        <w:tabs>
          <w:tab w:val="num" w:pos="425"/>
        </w:tabs>
        <w:spacing w:after="120"/>
        <w:ind w:left="425" w:hanging="425"/>
        <w:rPr>
          <w:rFonts w:cs="Arial"/>
          <w:bCs/>
          <w:color w:val="000000"/>
          <w:sz w:val="22"/>
          <w:szCs w:val="22"/>
          <w:lang w:eastAsia="en-GB"/>
        </w:rPr>
      </w:pPr>
      <w:r w:rsidRPr="00D95EC3">
        <w:rPr>
          <w:rFonts w:cs="Arial"/>
          <w:bCs/>
          <w:color w:val="000000"/>
          <w:sz w:val="22"/>
          <w:szCs w:val="22"/>
          <w:lang w:eastAsia="en-GB"/>
        </w:rPr>
        <w:t>Introducing a new search facility in an updated archiving system</w:t>
      </w:r>
    </w:p>
    <w:p w14:paraId="5E26B705" w14:textId="627FEE18" w:rsidR="00D95EC3" w:rsidRPr="00D95EC3" w:rsidRDefault="00D95EC3" w:rsidP="00D95EC3">
      <w:pPr>
        <w:spacing w:before="240" w:after="120"/>
        <w:outlineLvl w:val="3"/>
        <w:rPr>
          <w:rFonts w:cs="Arial"/>
          <w:b/>
          <w:bCs/>
          <w:color w:val="000000"/>
          <w:sz w:val="22"/>
          <w:szCs w:val="22"/>
          <w:lang w:eastAsia="en-GB"/>
        </w:rPr>
      </w:pPr>
      <w:r w:rsidRPr="00D95EC3">
        <w:rPr>
          <w:rFonts w:cs="Arial"/>
          <w:b/>
          <w:bCs/>
          <w:color w:val="000000"/>
          <w:sz w:val="22"/>
          <w:szCs w:val="22"/>
          <w:lang w:eastAsia="en-GB"/>
        </w:rPr>
        <w:t>Restructuring</w:t>
      </w:r>
      <w:r w:rsidR="005E51F1">
        <w:rPr>
          <w:rFonts w:cs="Arial"/>
          <w:b/>
          <w:bCs/>
          <w:color w:val="000000"/>
          <w:sz w:val="22"/>
          <w:szCs w:val="22"/>
          <w:lang w:eastAsia="en-GB"/>
        </w:rPr>
        <w:t xml:space="preserve"> the Rules</w:t>
      </w:r>
    </w:p>
    <w:p w14:paraId="0E483361"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The structure of the Rules makes them difficult to navigate. Users routinely need to refer to multiple parts of the Rules to determine the eligibility requirements which applicants must satisfy.</w:t>
      </w:r>
    </w:p>
    <w:p w14:paraId="02E7CDAF" w14:textId="0E9AC7DE"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 xml:space="preserve">We </w:t>
      </w:r>
      <w:r w:rsidR="00FC1191">
        <w:rPr>
          <w:rFonts w:cs="Arial"/>
          <w:bCs/>
          <w:color w:val="000000"/>
          <w:sz w:val="22"/>
          <w:szCs w:val="22"/>
          <w:lang w:eastAsia="en-GB"/>
        </w:rPr>
        <w:t>propose</w:t>
      </w:r>
      <w:r w:rsidRPr="00D95EC3">
        <w:rPr>
          <w:rFonts w:cs="Arial"/>
          <w:bCs/>
          <w:color w:val="000000"/>
          <w:sz w:val="22"/>
          <w:szCs w:val="22"/>
          <w:lang w:eastAsia="en-GB"/>
        </w:rPr>
        <w:t xml:space="preserve"> that the Rules should be restructured to make them simpler. The complex organisation of the Rules increases the chance of errors by both applicants and Home Office caseworkers. The structure of the Rules may also cause delays where applicants do not supply the correct documentation which is later sought by Home Office caseworkers. </w:t>
      </w:r>
    </w:p>
    <w:p w14:paraId="11CA63F5"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 xml:space="preserve">The presentation of the Rules online could be improved as part of the restructuring process. </w:t>
      </w:r>
    </w:p>
    <w:p w14:paraId="1C695605" w14:textId="1FD036B0"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Restructuring the Rules could be undertaken by existing Home Office policy officials and therefore does not impose any additional costs</w:t>
      </w:r>
      <w:r w:rsidR="00A37BCD">
        <w:rPr>
          <w:rFonts w:cs="Arial"/>
          <w:bCs/>
          <w:color w:val="000000"/>
          <w:sz w:val="22"/>
          <w:szCs w:val="22"/>
          <w:lang w:eastAsia="en-GB"/>
        </w:rPr>
        <w:t xml:space="preserve"> beyond that of an opportunity cost</w:t>
      </w:r>
      <w:r w:rsidRPr="00D95EC3">
        <w:rPr>
          <w:rFonts w:cs="Arial"/>
          <w:bCs/>
          <w:color w:val="000000"/>
          <w:sz w:val="22"/>
          <w:szCs w:val="22"/>
          <w:lang w:eastAsia="en-GB"/>
        </w:rPr>
        <w:t>.</w:t>
      </w:r>
    </w:p>
    <w:p w14:paraId="2EAC147A" w14:textId="62F25A80" w:rsidR="00D95EC3" w:rsidRPr="00D95EC3" w:rsidRDefault="003F653E" w:rsidP="00D95EC3">
      <w:pPr>
        <w:spacing w:before="240" w:after="120"/>
        <w:outlineLvl w:val="3"/>
        <w:rPr>
          <w:rFonts w:cs="Arial"/>
          <w:b/>
          <w:bCs/>
          <w:color w:val="000000"/>
          <w:sz w:val="22"/>
          <w:szCs w:val="22"/>
          <w:lang w:eastAsia="en-GB"/>
        </w:rPr>
      </w:pPr>
      <w:r>
        <w:rPr>
          <w:rFonts w:cs="Arial"/>
          <w:b/>
          <w:bCs/>
          <w:color w:val="000000"/>
          <w:sz w:val="22"/>
          <w:szCs w:val="22"/>
          <w:lang w:eastAsia="en-GB"/>
        </w:rPr>
        <w:t>Reduc</w:t>
      </w:r>
      <w:r w:rsidRPr="00D95EC3">
        <w:rPr>
          <w:rFonts w:cs="Arial"/>
          <w:b/>
          <w:bCs/>
          <w:color w:val="000000"/>
          <w:sz w:val="22"/>
          <w:szCs w:val="22"/>
          <w:lang w:eastAsia="en-GB"/>
        </w:rPr>
        <w:t xml:space="preserve">ing </w:t>
      </w:r>
      <w:r w:rsidR="00D95EC3" w:rsidRPr="00D95EC3">
        <w:rPr>
          <w:rFonts w:cs="Arial"/>
          <w:b/>
          <w:bCs/>
          <w:color w:val="000000"/>
          <w:sz w:val="22"/>
          <w:szCs w:val="22"/>
          <w:lang w:eastAsia="en-GB"/>
        </w:rPr>
        <w:t>repetitions</w:t>
      </w:r>
    </w:p>
    <w:p w14:paraId="1A9A486A" w14:textId="5AD62CBD"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 xml:space="preserve">There is considerable repetition </w:t>
      </w:r>
      <w:r w:rsidR="00F11032">
        <w:rPr>
          <w:rFonts w:cs="Arial"/>
          <w:bCs/>
          <w:color w:val="000000"/>
          <w:sz w:val="22"/>
          <w:szCs w:val="22"/>
          <w:lang w:eastAsia="en-GB"/>
        </w:rPr>
        <w:t xml:space="preserve">and near-repetition </w:t>
      </w:r>
      <w:r w:rsidRPr="00D95EC3">
        <w:rPr>
          <w:rFonts w:cs="Arial"/>
          <w:bCs/>
          <w:color w:val="000000"/>
          <w:sz w:val="22"/>
          <w:szCs w:val="22"/>
          <w:lang w:eastAsia="en-GB"/>
        </w:rPr>
        <w:t xml:space="preserve">in the Rules which adds to their complexity and length. </w:t>
      </w:r>
    </w:p>
    <w:p w14:paraId="2BD8D7E9" w14:textId="4F49E4F8" w:rsidR="00D95EC3" w:rsidRPr="00D95EC3" w:rsidRDefault="00D95EC3" w:rsidP="00D95EC3">
      <w:pPr>
        <w:spacing w:after="120"/>
        <w:rPr>
          <w:rFonts w:cs="Arial"/>
          <w:bCs/>
          <w:color w:val="000000"/>
          <w:sz w:val="22"/>
          <w:szCs w:val="22"/>
          <w:lang w:eastAsia="en-GB"/>
        </w:rPr>
      </w:pPr>
      <w:bookmarkStart w:id="49" w:name="_Hlk531076798"/>
      <w:r w:rsidRPr="00D95EC3">
        <w:rPr>
          <w:rFonts w:cs="Arial"/>
          <w:bCs/>
          <w:color w:val="000000"/>
          <w:sz w:val="22"/>
          <w:szCs w:val="22"/>
          <w:lang w:eastAsia="en-GB"/>
        </w:rPr>
        <w:t xml:space="preserve">We have concluded that repetitions and near repetitions should be audited to </w:t>
      </w:r>
      <w:r w:rsidR="00C0209E">
        <w:rPr>
          <w:rFonts w:cs="Arial"/>
          <w:bCs/>
          <w:color w:val="000000"/>
          <w:sz w:val="22"/>
          <w:szCs w:val="22"/>
          <w:lang w:eastAsia="en-GB"/>
        </w:rPr>
        <w:t xml:space="preserve">identify differences of wording and to </w:t>
      </w:r>
      <w:r w:rsidRPr="00D95EC3">
        <w:rPr>
          <w:rFonts w:cs="Arial"/>
          <w:bCs/>
          <w:color w:val="000000"/>
          <w:sz w:val="22"/>
          <w:szCs w:val="22"/>
          <w:lang w:eastAsia="en-GB"/>
        </w:rPr>
        <w:t>retain only those found to be necessary. This would make the Rules more user-friendly.</w:t>
      </w:r>
    </w:p>
    <w:p w14:paraId="38DFD179" w14:textId="0E488E99"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lastRenderedPageBreak/>
        <w:t xml:space="preserve">Eliminating </w:t>
      </w:r>
      <w:r w:rsidR="00C0209E">
        <w:rPr>
          <w:rFonts w:cs="Arial"/>
          <w:bCs/>
          <w:color w:val="000000"/>
          <w:sz w:val="22"/>
          <w:szCs w:val="22"/>
          <w:lang w:eastAsia="en-GB"/>
        </w:rPr>
        <w:t xml:space="preserve">unnecessary </w:t>
      </w:r>
      <w:r w:rsidRPr="00D95EC3">
        <w:rPr>
          <w:rFonts w:cs="Arial"/>
          <w:bCs/>
          <w:color w:val="000000"/>
          <w:sz w:val="22"/>
          <w:szCs w:val="22"/>
          <w:lang w:eastAsia="en-GB"/>
        </w:rPr>
        <w:t>repetitions could be undertaken by existing Home Office policy officials and therefore does not impose any additional costs.</w:t>
      </w:r>
    </w:p>
    <w:bookmarkEnd w:id="49"/>
    <w:p w14:paraId="7D73E1E6" w14:textId="44B3A178" w:rsidR="00D95EC3" w:rsidRPr="00D95EC3" w:rsidRDefault="00D95EC3" w:rsidP="00D95EC3">
      <w:pPr>
        <w:spacing w:before="240" w:after="120"/>
        <w:outlineLvl w:val="3"/>
        <w:rPr>
          <w:rFonts w:cs="Arial"/>
          <w:b/>
          <w:bCs/>
          <w:color w:val="000000"/>
          <w:sz w:val="22"/>
          <w:szCs w:val="22"/>
          <w:lang w:eastAsia="en-GB"/>
        </w:rPr>
      </w:pPr>
      <w:r w:rsidRPr="00D95EC3">
        <w:rPr>
          <w:rFonts w:cs="Arial"/>
          <w:b/>
          <w:bCs/>
          <w:color w:val="000000"/>
          <w:sz w:val="22"/>
          <w:szCs w:val="22"/>
          <w:lang w:eastAsia="en-GB"/>
        </w:rPr>
        <w:t>Renumbering</w:t>
      </w:r>
      <w:r w:rsidR="005E51F1">
        <w:rPr>
          <w:rFonts w:cs="Arial"/>
          <w:b/>
          <w:bCs/>
          <w:color w:val="000000"/>
          <w:sz w:val="22"/>
          <w:szCs w:val="22"/>
          <w:lang w:eastAsia="en-GB"/>
        </w:rPr>
        <w:t xml:space="preserve"> the Rules</w:t>
      </w:r>
    </w:p>
    <w:p w14:paraId="61AE37AD"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The numbering system adopted by the Rules and within the Appendices is frequently criticised for being illogical, inconsistent and confusing. The Appendices to the Rules adopt a different system of internal numbering altogether, and are even more disparate in their approach. Consequently, the Rules have become extremely difficult, and in some places almost impossible, to navigate. An applicant directed to a Rule by a form or a notice, or a lawyer attempting to draw a judge’s attention to a provision, is placed in an extremely difficult position.</w:t>
      </w:r>
    </w:p>
    <w:p w14:paraId="739AE340" w14:textId="1C94B215"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 xml:space="preserve">We </w:t>
      </w:r>
      <w:r w:rsidR="009872A4">
        <w:rPr>
          <w:rFonts w:cs="Arial"/>
          <w:bCs/>
          <w:color w:val="000000"/>
          <w:sz w:val="22"/>
          <w:szCs w:val="22"/>
          <w:lang w:eastAsia="en-GB"/>
        </w:rPr>
        <w:t>propose</w:t>
      </w:r>
      <w:r w:rsidRPr="00D95EC3">
        <w:rPr>
          <w:rFonts w:cs="Arial"/>
          <w:bCs/>
          <w:color w:val="000000"/>
          <w:sz w:val="22"/>
          <w:szCs w:val="22"/>
          <w:lang w:eastAsia="en-GB"/>
        </w:rPr>
        <w:t xml:space="preserve"> that the numbering needs to be overhauled and rationalised. Renumbering the Rules would make them </w:t>
      </w:r>
      <w:r w:rsidR="009872A4">
        <w:rPr>
          <w:rFonts w:cs="Arial"/>
          <w:bCs/>
          <w:color w:val="000000"/>
          <w:sz w:val="22"/>
          <w:szCs w:val="22"/>
          <w:lang w:eastAsia="en-GB"/>
        </w:rPr>
        <w:t>much easier to navigate.</w:t>
      </w:r>
    </w:p>
    <w:p w14:paraId="180D14AD"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The renumbering of the Rules could be undertaken by existing Home Office policy officials and therefore does not impose any additional costs.</w:t>
      </w:r>
    </w:p>
    <w:p w14:paraId="48DEDF3A" w14:textId="77777777" w:rsidR="00D95EC3" w:rsidRPr="00D95EC3" w:rsidRDefault="00D95EC3" w:rsidP="00D95EC3">
      <w:pPr>
        <w:spacing w:before="240" w:after="120"/>
        <w:outlineLvl w:val="3"/>
        <w:rPr>
          <w:rFonts w:cs="Arial"/>
          <w:b/>
          <w:bCs/>
          <w:color w:val="000000"/>
          <w:sz w:val="22"/>
          <w:szCs w:val="22"/>
          <w:lang w:eastAsia="en-GB"/>
        </w:rPr>
      </w:pPr>
      <w:r w:rsidRPr="00D95EC3">
        <w:rPr>
          <w:rFonts w:cs="Arial"/>
          <w:b/>
          <w:bCs/>
          <w:color w:val="000000"/>
          <w:sz w:val="22"/>
          <w:szCs w:val="22"/>
          <w:lang w:eastAsia="en-GB"/>
        </w:rPr>
        <w:t>Redrafting Parts of the Rules</w:t>
      </w:r>
    </w:p>
    <w:p w14:paraId="29269E9F" w14:textId="692576F3"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 xml:space="preserve">Our review has developed a drafting </w:t>
      </w:r>
      <w:r w:rsidR="00C272E0">
        <w:rPr>
          <w:rFonts w:cs="Arial"/>
          <w:bCs/>
          <w:color w:val="000000"/>
          <w:sz w:val="22"/>
          <w:szCs w:val="22"/>
          <w:lang w:eastAsia="en-GB"/>
        </w:rPr>
        <w:t>Guide</w:t>
      </w:r>
      <w:r w:rsidRPr="00D95EC3">
        <w:rPr>
          <w:rFonts w:cs="Arial"/>
          <w:bCs/>
          <w:color w:val="000000"/>
          <w:sz w:val="22"/>
          <w:szCs w:val="22"/>
          <w:lang w:eastAsia="en-GB"/>
        </w:rPr>
        <w:t xml:space="preserve"> which would make the Rules more comprehensible. We propose that the Rules would benefit from being redrafted in line with our recommendations</w:t>
      </w:r>
    </w:p>
    <w:p w14:paraId="499FF87A" w14:textId="77777777" w:rsidR="00D95EC3" w:rsidRPr="00C272E0" w:rsidRDefault="00D95EC3" w:rsidP="00D95EC3">
      <w:pPr>
        <w:spacing w:after="120"/>
        <w:rPr>
          <w:rFonts w:cs="Arial"/>
          <w:bCs/>
          <w:color w:val="000000"/>
          <w:sz w:val="22"/>
          <w:szCs w:val="22"/>
          <w:lang w:eastAsia="en-GB"/>
        </w:rPr>
      </w:pPr>
      <w:r w:rsidRPr="004004FF">
        <w:rPr>
          <w:rFonts w:cs="Arial"/>
          <w:bCs/>
          <w:color w:val="000000"/>
          <w:sz w:val="22"/>
          <w:szCs w:val="22"/>
          <w:lang w:eastAsia="en-GB"/>
        </w:rPr>
        <w:t>Additionally, the Home Office may conclude that some parts of the Rules could be re-drafted in order to be shorter and less prescriptive</w:t>
      </w:r>
      <w:r w:rsidRPr="00C272E0">
        <w:rPr>
          <w:rFonts w:cs="Arial"/>
          <w:bCs/>
          <w:color w:val="000000"/>
          <w:sz w:val="22"/>
          <w:szCs w:val="22"/>
          <w:lang w:eastAsia="en-GB"/>
        </w:rPr>
        <w:t>.</w:t>
      </w:r>
    </w:p>
    <w:p w14:paraId="190C3B70" w14:textId="77777777" w:rsidR="00D95EC3" w:rsidRPr="00D95EC3" w:rsidRDefault="00D95EC3" w:rsidP="00D95EC3">
      <w:pPr>
        <w:spacing w:after="120"/>
        <w:rPr>
          <w:rFonts w:cs="Arial"/>
          <w:bCs/>
          <w:color w:val="000000"/>
          <w:sz w:val="22"/>
          <w:szCs w:val="22"/>
          <w:lang w:eastAsia="en-GB"/>
        </w:rPr>
      </w:pPr>
      <w:r w:rsidRPr="004004FF">
        <w:rPr>
          <w:rFonts w:cs="Arial"/>
          <w:bCs/>
          <w:color w:val="000000"/>
          <w:sz w:val="22"/>
          <w:szCs w:val="22"/>
          <w:lang w:eastAsia="en-GB"/>
        </w:rPr>
        <w:t>This proposal would not impose additional costs, although training of caseworkers and changes to internal processes might be necessary if a less prescriptive approach to the Rules were adopted as a matter of policy.</w:t>
      </w:r>
      <w:r w:rsidRPr="00D95EC3">
        <w:rPr>
          <w:rFonts w:cs="Arial"/>
          <w:bCs/>
          <w:color w:val="000000"/>
          <w:sz w:val="22"/>
          <w:szCs w:val="22"/>
          <w:lang w:eastAsia="en-GB"/>
        </w:rPr>
        <w:t xml:space="preserve"> </w:t>
      </w:r>
    </w:p>
    <w:p w14:paraId="0550E65F" w14:textId="77777777" w:rsidR="00D95EC3" w:rsidRPr="00D95EC3" w:rsidRDefault="00D95EC3" w:rsidP="00D95EC3">
      <w:pPr>
        <w:spacing w:before="240" w:after="120"/>
        <w:outlineLvl w:val="3"/>
        <w:rPr>
          <w:rFonts w:cs="Arial"/>
          <w:b/>
          <w:bCs/>
          <w:color w:val="000000"/>
          <w:sz w:val="22"/>
          <w:szCs w:val="22"/>
          <w:lang w:eastAsia="en-GB"/>
        </w:rPr>
      </w:pPr>
      <w:r w:rsidRPr="00D95EC3">
        <w:rPr>
          <w:rFonts w:cs="Arial"/>
          <w:b/>
          <w:bCs/>
          <w:color w:val="000000"/>
          <w:sz w:val="22"/>
          <w:szCs w:val="22"/>
          <w:lang w:eastAsia="en-GB"/>
        </w:rPr>
        <w:t>Review mechanism</w:t>
      </w:r>
    </w:p>
    <w:p w14:paraId="0BA28436"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We have been told that the Home Office has made amendments to the Rules in response to direct feedback from legal practitioners about how the new Rules were not drafted correctly or could work better in practice. It has also been suggested that when there has been prior consultation, the Rules have worked better in practice.</w:t>
      </w:r>
    </w:p>
    <w:p w14:paraId="74B6B9D8"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We are canvassing views on whether a review mechanism might be established to help to establish and maintain simplification of the Rules. An ad hoc body could include civil servants, legal practitioners, members of the judiciary and other stakeholders. The body could be used to pick up errors or aspects of the changes that could be made to work more effectively.</w:t>
      </w:r>
    </w:p>
    <w:p w14:paraId="21049672"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It is envisaged that such a body would be comprised of up to 10 members who would serve on a voluntary basis. The group would be expected to meet at least twice per year. The only cost would be members’ expenses.</w:t>
      </w:r>
    </w:p>
    <w:p w14:paraId="480C5A5F" w14:textId="77777777" w:rsidR="00D95EC3" w:rsidRPr="00D95EC3" w:rsidRDefault="00D95EC3" w:rsidP="00D95EC3">
      <w:pPr>
        <w:spacing w:before="240" w:after="120"/>
        <w:outlineLvl w:val="3"/>
        <w:rPr>
          <w:rFonts w:cs="Arial"/>
          <w:b/>
          <w:bCs/>
          <w:color w:val="000000"/>
          <w:sz w:val="22"/>
          <w:szCs w:val="22"/>
          <w:lang w:eastAsia="en-GB"/>
        </w:rPr>
      </w:pPr>
      <w:r w:rsidRPr="00D95EC3">
        <w:rPr>
          <w:rFonts w:cs="Arial"/>
          <w:b/>
          <w:bCs/>
          <w:color w:val="000000"/>
          <w:sz w:val="22"/>
          <w:szCs w:val="22"/>
          <w:lang w:eastAsia="en-GB"/>
        </w:rPr>
        <w:t>New search facility in an updated archiving system</w:t>
      </w:r>
    </w:p>
    <w:p w14:paraId="1CF3C8E1"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Statements of changes to the Rules are the vehicle through which the Rules are updated. The statements of changes specify how the new Rules will be implemented.</w:t>
      </w:r>
    </w:p>
    <w:p w14:paraId="4F6E1576"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However, transitional arrangements are complicated and are not always expressed through the Rules themselves. The complex nature of the transitional arrangements has led to costly litigation in the higher courts.</w:t>
      </w:r>
    </w:p>
    <w:p w14:paraId="4D3A32C6" w14:textId="77777777" w:rsidR="00D95EC3" w:rsidRPr="00D95EC3" w:rsidRDefault="00D95EC3" w:rsidP="00D95EC3">
      <w:pPr>
        <w:spacing w:after="120"/>
        <w:rPr>
          <w:rFonts w:cs="Arial"/>
          <w:bCs/>
          <w:color w:val="000000"/>
          <w:sz w:val="22"/>
          <w:szCs w:val="22"/>
          <w:lang w:eastAsia="en-GB"/>
        </w:rPr>
      </w:pPr>
      <w:bookmarkStart w:id="50" w:name="_Hlk512445597"/>
      <w:r w:rsidRPr="00D95EC3">
        <w:rPr>
          <w:rFonts w:cs="Arial"/>
          <w:bCs/>
          <w:color w:val="000000"/>
          <w:sz w:val="22"/>
          <w:szCs w:val="22"/>
          <w:lang w:eastAsia="en-GB"/>
        </w:rPr>
        <w:t>The Home Office now provides that versions of the Rules (dating back to 9 July 2012) are archived. However, there is no search facility which enables the comparison of different sets of historic Rules. This must be done manually.</w:t>
      </w:r>
    </w:p>
    <w:p w14:paraId="4CBAA6C7" w14:textId="1C98EB80"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 xml:space="preserve">We </w:t>
      </w:r>
      <w:r w:rsidR="009872A4">
        <w:rPr>
          <w:rFonts w:cs="Arial"/>
          <w:bCs/>
          <w:color w:val="000000"/>
          <w:sz w:val="22"/>
          <w:szCs w:val="22"/>
          <w:lang w:eastAsia="en-GB"/>
        </w:rPr>
        <w:t xml:space="preserve">also seek views on the creation of </w:t>
      </w:r>
      <w:r w:rsidRPr="00D95EC3">
        <w:rPr>
          <w:rFonts w:cs="Arial"/>
          <w:bCs/>
          <w:color w:val="000000"/>
          <w:sz w:val="22"/>
          <w:szCs w:val="22"/>
          <w:lang w:eastAsia="en-GB"/>
        </w:rPr>
        <w:t>an updated archiving system which would be free to members of the public and would contain a search facility. This would enable a user to search for a given Rule</w:t>
      </w:r>
      <w:r w:rsidR="009872A4">
        <w:rPr>
          <w:rFonts w:cs="Arial"/>
          <w:bCs/>
          <w:color w:val="000000"/>
          <w:sz w:val="22"/>
          <w:szCs w:val="22"/>
          <w:lang w:eastAsia="en-GB"/>
        </w:rPr>
        <w:t xml:space="preserve"> </w:t>
      </w:r>
      <w:r w:rsidRPr="00D95EC3">
        <w:rPr>
          <w:rFonts w:cs="Arial"/>
          <w:bCs/>
          <w:color w:val="000000"/>
          <w:sz w:val="22"/>
          <w:szCs w:val="22"/>
          <w:lang w:eastAsia="en-GB"/>
        </w:rPr>
        <w:t xml:space="preserve">which would then display all previous versions with their applicable dates. Where provisions are the subject of transitional provisions it could then be clearly marked and explained. </w:t>
      </w:r>
      <w:bookmarkEnd w:id="50"/>
      <w:r w:rsidRPr="00D95EC3">
        <w:rPr>
          <w:rFonts w:cs="Arial"/>
          <w:bCs/>
          <w:color w:val="000000"/>
          <w:sz w:val="22"/>
          <w:szCs w:val="22"/>
          <w:lang w:eastAsia="en-GB"/>
        </w:rPr>
        <w:t>This would assist Home Office caseworkers and the judiciary to make the right decision first time, thus avoiding administrative reviews, appeals and judicial reviews.</w:t>
      </w:r>
    </w:p>
    <w:p w14:paraId="2F9CF9C2"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lastRenderedPageBreak/>
        <w:t>Our proposed search and compare facility may be able to be installed through utilising the existing Gov.uk framework. It would not be a completely new archiving database.</w:t>
      </w:r>
    </w:p>
    <w:p w14:paraId="6CD246D1" w14:textId="48D92717" w:rsidR="00D95EC3" w:rsidRPr="00D95EC3" w:rsidRDefault="00D95EC3" w:rsidP="00D95EC3">
      <w:pPr>
        <w:keepNext/>
        <w:keepLines/>
        <w:spacing w:before="360" w:after="240"/>
        <w:outlineLvl w:val="2"/>
        <w:rPr>
          <w:rFonts w:cs="Arial"/>
          <w:b/>
          <w:bCs/>
          <w:color w:val="000000"/>
          <w:szCs w:val="22"/>
          <w:lang w:eastAsia="en-GB"/>
        </w:rPr>
      </w:pPr>
      <w:r w:rsidRPr="00D95EC3">
        <w:rPr>
          <w:rFonts w:cs="Arial"/>
          <w:b/>
          <w:bCs/>
          <w:color w:val="000000"/>
          <w:szCs w:val="22"/>
          <w:lang w:eastAsia="en-GB"/>
        </w:rPr>
        <w:t xml:space="preserve">Option </w:t>
      </w:r>
      <w:r w:rsidR="00DE39E2">
        <w:rPr>
          <w:rFonts w:cs="Arial"/>
          <w:b/>
          <w:bCs/>
          <w:color w:val="000000"/>
          <w:szCs w:val="22"/>
          <w:lang w:eastAsia="en-GB"/>
        </w:rPr>
        <w:t>2</w:t>
      </w:r>
      <w:r w:rsidRPr="00D95EC3">
        <w:rPr>
          <w:rFonts w:cs="Arial"/>
          <w:b/>
          <w:bCs/>
          <w:color w:val="000000"/>
          <w:szCs w:val="22"/>
          <w:lang w:eastAsia="en-GB"/>
        </w:rPr>
        <w:t xml:space="preserve"> – Selected reforms (including renumbering the Rules and contents pages)</w:t>
      </w:r>
    </w:p>
    <w:p w14:paraId="59F3B45D" w14:textId="77777777" w:rsidR="00D95EC3" w:rsidRPr="00D95EC3" w:rsidRDefault="00D95EC3" w:rsidP="00A5230D">
      <w:pPr>
        <w:spacing w:after="120"/>
        <w:rPr>
          <w:rFonts w:cs="Arial"/>
          <w:bCs/>
          <w:color w:val="000000"/>
          <w:sz w:val="22"/>
          <w:szCs w:val="22"/>
          <w:lang w:eastAsia="en-GB"/>
        </w:rPr>
      </w:pPr>
      <w:r w:rsidRPr="00D95EC3">
        <w:rPr>
          <w:rFonts w:cs="Arial"/>
          <w:bCs/>
          <w:color w:val="000000"/>
          <w:sz w:val="22"/>
          <w:szCs w:val="22"/>
          <w:lang w:eastAsia="en-GB"/>
        </w:rPr>
        <w:t>Partial restructuring;</w:t>
      </w:r>
    </w:p>
    <w:p w14:paraId="755B381C" w14:textId="77777777" w:rsidR="00D95EC3" w:rsidRPr="00D95EC3" w:rsidRDefault="00D95EC3" w:rsidP="00D95EC3">
      <w:pPr>
        <w:numPr>
          <w:ilvl w:val="1"/>
          <w:numId w:val="0"/>
        </w:numPr>
        <w:tabs>
          <w:tab w:val="num" w:pos="425"/>
        </w:tabs>
        <w:spacing w:after="120"/>
        <w:ind w:left="425" w:hanging="425"/>
        <w:rPr>
          <w:rFonts w:cs="Arial"/>
          <w:bCs/>
          <w:color w:val="000000"/>
          <w:sz w:val="22"/>
          <w:szCs w:val="22"/>
          <w:lang w:eastAsia="en-GB"/>
        </w:rPr>
      </w:pPr>
      <w:r w:rsidRPr="00D95EC3">
        <w:rPr>
          <w:rFonts w:cs="Arial"/>
          <w:bCs/>
          <w:color w:val="000000"/>
          <w:sz w:val="22"/>
          <w:szCs w:val="22"/>
          <w:lang w:eastAsia="en-GB"/>
        </w:rPr>
        <w:t>Eliminating repetitions;</w:t>
      </w:r>
    </w:p>
    <w:p w14:paraId="478492B1" w14:textId="77777777" w:rsidR="00D95EC3" w:rsidRPr="00D95EC3" w:rsidRDefault="00D95EC3" w:rsidP="00D95EC3">
      <w:pPr>
        <w:numPr>
          <w:ilvl w:val="1"/>
          <w:numId w:val="0"/>
        </w:numPr>
        <w:tabs>
          <w:tab w:val="num" w:pos="425"/>
        </w:tabs>
        <w:spacing w:after="120"/>
        <w:ind w:left="425" w:hanging="425"/>
        <w:rPr>
          <w:rFonts w:cs="Arial"/>
          <w:bCs/>
          <w:color w:val="000000"/>
          <w:sz w:val="22"/>
          <w:szCs w:val="22"/>
          <w:lang w:eastAsia="en-GB"/>
        </w:rPr>
      </w:pPr>
      <w:r w:rsidRPr="00D95EC3">
        <w:rPr>
          <w:rFonts w:cs="Arial"/>
          <w:bCs/>
          <w:color w:val="000000"/>
          <w:sz w:val="22"/>
          <w:szCs w:val="22"/>
          <w:lang w:eastAsia="en-GB"/>
        </w:rPr>
        <w:t>Renumbering;</w:t>
      </w:r>
    </w:p>
    <w:p w14:paraId="43FC6857" w14:textId="77777777" w:rsidR="00D95EC3" w:rsidRPr="00D95EC3" w:rsidRDefault="00D95EC3" w:rsidP="00D95EC3">
      <w:pPr>
        <w:numPr>
          <w:ilvl w:val="1"/>
          <w:numId w:val="0"/>
        </w:numPr>
        <w:tabs>
          <w:tab w:val="num" w:pos="425"/>
        </w:tabs>
        <w:spacing w:after="120"/>
        <w:ind w:left="425" w:hanging="425"/>
        <w:rPr>
          <w:rFonts w:cs="Arial"/>
          <w:bCs/>
          <w:color w:val="000000"/>
          <w:sz w:val="22"/>
          <w:szCs w:val="22"/>
          <w:lang w:eastAsia="en-GB"/>
        </w:rPr>
      </w:pPr>
      <w:r w:rsidRPr="00D95EC3">
        <w:rPr>
          <w:rFonts w:cs="Arial"/>
          <w:bCs/>
          <w:color w:val="000000"/>
          <w:sz w:val="22"/>
          <w:szCs w:val="22"/>
          <w:lang w:eastAsia="en-GB"/>
        </w:rPr>
        <w:t>Introducing overviews and contents pages;</w:t>
      </w:r>
    </w:p>
    <w:p w14:paraId="453BBBDB" w14:textId="77777777" w:rsidR="00D95EC3" w:rsidRPr="00D95EC3" w:rsidRDefault="00D95EC3" w:rsidP="00D95EC3">
      <w:pPr>
        <w:spacing w:after="120"/>
        <w:ind w:left="425"/>
        <w:rPr>
          <w:rFonts w:cs="Arial"/>
          <w:bCs/>
          <w:color w:val="000000"/>
          <w:sz w:val="22"/>
          <w:szCs w:val="22"/>
          <w:lang w:eastAsia="en-GB"/>
        </w:rPr>
      </w:pPr>
    </w:p>
    <w:p w14:paraId="398BE970" w14:textId="77777777" w:rsidR="00D95EC3" w:rsidRPr="00D95EC3" w:rsidRDefault="00D95EC3" w:rsidP="00D95EC3">
      <w:pPr>
        <w:spacing w:before="240" w:after="120"/>
        <w:outlineLvl w:val="3"/>
        <w:rPr>
          <w:rFonts w:cs="Arial"/>
          <w:b/>
          <w:bCs/>
          <w:color w:val="000000"/>
          <w:sz w:val="22"/>
          <w:szCs w:val="22"/>
          <w:lang w:eastAsia="en-GB"/>
        </w:rPr>
      </w:pPr>
      <w:r w:rsidRPr="00D95EC3">
        <w:rPr>
          <w:rFonts w:cs="Arial"/>
          <w:b/>
          <w:bCs/>
          <w:color w:val="000000"/>
          <w:sz w:val="22"/>
          <w:szCs w:val="22"/>
          <w:lang w:eastAsia="en-GB"/>
        </w:rPr>
        <w:t>Partial restructuring</w:t>
      </w:r>
    </w:p>
    <w:p w14:paraId="4787413B"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A limited restructure of the Rules could be undertaken. This may include moving content found in Appendices into Parts of the Rules so that applicants do not need to refer to multiple Parts as often.</w:t>
      </w:r>
    </w:p>
    <w:p w14:paraId="2ADE6294" w14:textId="2446277A" w:rsidR="00D95EC3" w:rsidRPr="00D95EC3" w:rsidRDefault="00D95EC3" w:rsidP="00D95EC3">
      <w:pPr>
        <w:spacing w:before="240" w:after="120"/>
        <w:outlineLvl w:val="3"/>
        <w:rPr>
          <w:rFonts w:cs="Arial"/>
          <w:b/>
          <w:bCs/>
          <w:color w:val="000000"/>
          <w:sz w:val="22"/>
          <w:szCs w:val="22"/>
          <w:lang w:eastAsia="en-GB"/>
        </w:rPr>
      </w:pPr>
      <w:r w:rsidRPr="00D95EC3">
        <w:rPr>
          <w:rFonts w:cs="Arial"/>
          <w:b/>
          <w:bCs/>
          <w:color w:val="000000"/>
          <w:sz w:val="22"/>
          <w:szCs w:val="22"/>
          <w:lang w:eastAsia="en-GB"/>
        </w:rPr>
        <w:t>Whilst this approach may have some benefits, it is unlikely to substantially simpl</w:t>
      </w:r>
      <w:r w:rsidR="00C272E0">
        <w:rPr>
          <w:rFonts w:cs="Arial"/>
          <w:b/>
          <w:bCs/>
          <w:color w:val="000000"/>
          <w:sz w:val="22"/>
          <w:szCs w:val="22"/>
          <w:lang w:eastAsia="en-GB"/>
        </w:rPr>
        <w:t>if</w:t>
      </w:r>
      <w:r w:rsidRPr="00D95EC3">
        <w:rPr>
          <w:rFonts w:cs="Arial"/>
          <w:b/>
          <w:bCs/>
          <w:color w:val="000000"/>
          <w:sz w:val="22"/>
          <w:szCs w:val="22"/>
          <w:lang w:eastAsia="en-GB"/>
        </w:rPr>
        <w:t>y the Rules.</w:t>
      </w:r>
    </w:p>
    <w:p w14:paraId="3078A20E" w14:textId="6FCD09D1" w:rsidR="00D95EC3" w:rsidRPr="00D95EC3" w:rsidRDefault="009872A4" w:rsidP="00D95EC3">
      <w:pPr>
        <w:spacing w:before="240" w:after="120"/>
        <w:outlineLvl w:val="3"/>
        <w:rPr>
          <w:rFonts w:cs="Arial"/>
          <w:b/>
          <w:bCs/>
          <w:color w:val="000000"/>
          <w:sz w:val="22"/>
          <w:szCs w:val="22"/>
          <w:lang w:eastAsia="en-GB"/>
        </w:rPr>
      </w:pPr>
      <w:r>
        <w:rPr>
          <w:rFonts w:cs="Arial"/>
          <w:b/>
          <w:bCs/>
          <w:color w:val="000000"/>
          <w:sz w:val="22"/>
          <w:szCs w:val="22"/>
          <w:lang w:eastAsia="en-GB"/>
        </w:rPr>
        <w:t xml:space="preserve">Reducing </w:t>
      </w:r>
      <w:r w:rsidR="00D95EC3" w:rsidRPr="00D95EC3">
        <w:rPr>
          <w:rFonts w:cs="Arial"/>
          <w:b/>
          <w:bCs/>
          <w:color w:val="000000"/>
          <w:sz w:val="22"/>
          <w:szCs w:val="22"/>
          <w:lang w:eastAsia="en-GB"/>
        </w:rPr>
        <w:t>repetitions</w:t>
      </w:r>
    </w:p>
    <w:p w14:paraId="1EEDC835" w14:textId="2E6620B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 xml:space="preserve">We have concluded that repetitions and near repetitions should be audited to </w:t>
      </w:r>
      <w:r w:rsidR="00C0209E">
        <w:rPr>
          <w:rFonts w:cs="Arial"/>
          <w:bCs/>
          <w:color w:val="000000"/>
          <w:sz w:val="22"/>
          <w:szCs w:val="22"/>
          <w:lang w:eastAsia="en-GB"/>
        </w:rPr>
        <w:t xml:space="preserve">identify differences of wording and to </w:t>
      </w:r>
      <w:r w:rsidRPr="00D95EC3">
        <w:rPr>
          <w:rFonts w:cs="Arial"/>
          <w:bCs/>
          <w:color w:val="000000"/>
          <w:sz w:val="22"/>
          <w:szCs w:val="22"/>
          <w:lang w:eastAsia="en-GB"/>
        </w:rPr>
        <w:t>retain only those found to be necessary. This would make the Rules more user-friendly.</w:t>
      </w:r>
    </w:p>
    <w:p w14:paraId="232659EB" w14:textId="1A2E9394"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 xml:space="preserve">Eliminating </w:t>
      </w:r>
      <w:r w:rsidR="00C0209E">
        <w:rPr>
          <w:rFonts w:cs="Arial"/>
          <w:bCs/>
          <w:color w:val="000000"/>
          <w:sz w:val="22"/>
          <w:szCs w:val="22"/>
          <w:lang w:eastAsia="en-GB"/>
        </w:rPr>
        <w:t xml:space="preserve">unnecessary </w:t>
      </w:r>
      <w:r w:rsidRPr="00D95EC3">
        <w:rPr>
          <w:rFonts w:cs="Arial"/>
          <w:bCs/>
          <w:color w:val="000000"/>
          <w:sz w:val="22"/>
          <w:szCs w:val="22"/>
          <w:lang w:eastAsia="en-GB"/>
        </w:rPr>
        <w:t>repetitions could be undertaken by existing Home Office policy officials and therefore does not impose any additional costs.</w:t>
      </w:r>
    </w:p>
    <w:p w14:paraId="11545CD9" w14:textId="16289A8B" w:rsidR="00D95EC3" w:rsidRPr="00D95EC3" w:rsidRDefault="00D95EC3" w:rsidP="00D95EC3">
      <w:pPr>
        <w:spacing w:before="240" w:after="120"/>
        <w:outlineLvl w:val="3"/>
        <w:rPr>
          <w:rFonts w:cs="Arial"/>
          <w:b/>
          <w:bCs/>
          <w:color w:val="000000"/>
          <w:sz w:val="22"/>
          <w:szCs w:val="22"/>
          <w:lang w:eastAsia="en-GB"/>
        </w:rPr>
      </w:pPr>
      <w:r w:rsidRPr="00D95EC3">
        <w:rPr>
          <w:rFonts w:cs="Arial"/>
          <w:b/>
          <w:bCs/>
          <w:color w:val="000000"/>
          <w:sz w:val="22"/>
          <w:szCs w:val="22"/>
          <w:lang w:eastAsia="en-GB"/>
        </w:rPr>
        <w:t>Whilst this approach may have some benefits, it is unlikely to substantially simpl</w:t>
      </w:r>
      <w:r w:rsidR="00C0209E">
        <w:rPr>
          <w:rFonts w:cs="Arial"/>
          <w:b/>
          <w:bCs/>
          <w:color w:val="000000"/>
          <w:sz w:val="22"/>
          <w:szCs w:val="22"/>
          <w:lang w:eastAsia="en-GB"/>
        </w:rPr>
        <w:t>if</w:t>
      </w:r>
      <w:r w:rsidRPr="00D95EC3">
        <w:rPr>
          <w:rFonts w:cs="Arial"/>
          <w:b/>
          <w:bCs/>
          <w:color w:val="000000"/>
          <w:sz w:val="22"/>
          <w:szCs w:val="22"/>
          <w:lang w:eastAsia="en-GB"/>
        </w:rPr>
        <w:t>y the Rules.</w:t>
      </w:r>
    </w:p>
    <w:p w14:paraId="6C7AA774" w14:textId="77777777" w:rsidR="00D95EC3" w:rsidRPr="00D95EC3" w:rsidRDefault="00D95EC3" w:rsidP="00D95EC3">
      <w:pPr>
        <w:spacing w:before="240" w:after="120"/>
        <w:outlineLvl w:val="3"/>
        <w:rPr>
          <w:rFonts w:cs="Arial"/>
          <w:b/>
          <w:bCs/>
          <w:color w:val="000000"/>
          <w:sz w:val="22"/>
          <w:szCs w:val="22"/>
          <w:lang w:eastAsia="en-GB"/>
        </w:rPr>
      </w:pPr>
      <w:r w:rsidRPr="00D95EC3">
        <w:rPr>
          <w:rFonts w:cs="Arial"/>
          <w:b/>
          <w:bCs/>
          <w:color w:val="000000"/>
          <w:sz w:val="22"/>
          <w:szCs w:val="22"/>
          <w:lang w:eastAsia="en-GB"/>
        </w:rPr>
        <w:t>Renumbering</w:t>
      </w:r>
    </w:p>
    <w:p w14:paraId="3876F6F1"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The numbering system adopted by the Rules has made them extremely difficult to navigate. We have concluded that the numbering needs to be standardised and simplified. This proposal could apply solely to new Rule changes. However, we consider that the Rules should be renumbered in their entirety rather than compound the issue by implementing a new numbering system only for future Rule changes.</w:t>
      </w:r>
    </w:p>
    <w:p w14:paraId="46EC414F" w14:textId="77777777" w:rsidR="00D95EC3" w:rsidRPr="00D95EC3" w:rsidRDefault="00D95EC3" w:rsidP="00D95EC3">
      <w:pPr>
        <w:spacing w:before="240" w:after="120"/>
        <w:outlineLvl w:val="3"/>
        <w:rPr>
          <w:rFonts w:cs="Arial"/>
          <w:b/>
          <w:bCs/>
          <w:color w:val="000000"/>
          <w:sz w:val="22"/>
          <w:szCs w:val="22"/>
          <w:lang w:eastAsia="en-GB"/>
        </w:rPr>
      </w:pPr>
      <w:r w:rsidRPr="00D95EC3">
        <w:rPr>
          <w:rFonts w:cs="Arial"/>
          <w:b/>
          <w:bCs/>
          <w:color w:val="000000"/>
          <w:sz w:val="22"/>
          <w:szCs w:val="22"/>
          <w:lang w:eastAsia="en-GB"/>
        </w:rPr>
        <w:t>Overviews and contents pages</w:t>
      </w:r>
    </w:p>
    <w:p w14:paraId="709251A8"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Overviews and contents pages would make the Rules more accessible. However, this reform alone would not resolve the more entrenched drafting issues in the Rules.</w:t>
      </w:r>
    </w:p>
    <w:p w14:paraId="385391B1" w14:textId="77777777" w:rsidR="00D95EC3" w:rsidRPr="00D95EC3" w:rsidRDefault="00D95EC3" w:rsidP="00D95EC3">
      <w:pPr>
        <w:keepNext/>
        <w:spacing w:after="120"/>
        <w:ind w:left="284" w:hanging="284"/>
        <w:rPr>
          <w:rFonts w:cs="Arial"/>
          <w:b/>
          <w:bCs/>
          <w:color w:val="000000"/>
          <w:sz w:val="28"/>
          <w:szCs w:val="28"/>
          <w:lang w:eastAsia="en-GB"/>
        </w:rPr>
      </w:pPr>
    </w:p>
    <w:p w14:paraId="79091049" w14:textId="77777777" w:rsidR="00D95EC3" w:rsidRPr="00D95EC3" w:rsidRDefault="00D95EC3" w:rsidP="00D95EC3">
      <w:pPr>
        <w:keepNext/>
        <w:spacing w:after="120"/>
        <w:ind w:left="284" w:hanging="284"/>
        <w:rPr>
          <w:rFonts w:cs="Arial"/>
          <w:b/>
          <w:bCs/>
          <w:color w:val="000000"/>
          <w:sz w:val="28"/>
          <w:szCs w:val="28"/>
          <w:lang w:eastAsia="en-GB"/>
        </w:rPr>
      </w:pPr>
      <w:r w:rsidRPr="00D95EC3">
        <w:rPr>
          <w:rFonts w:cs="Arial"/>
          <w:b/>
          <w:bCs/>
          <w:color w:val="000000"/>
          <w:sz w:val="28"/>
          <w:szCs w:val="28"/>
          <w:lang w:eastAsia="en-GB"/>
        </w:rPr>
        <w:t xml:space="preserve">Monetised and non-monetised costs and benefits of each option </w:t>
      </w:r>
    </w:p>
    <w:p w14:paraId="6BC2AA51" w14:textId="77777777" w:rsidR="00D95EC3" w:rsidRPr="00D95EC3" w:rsidRDefault="00D95EC3" w:rsidP="00D95EC3">
      <w:pPr>
        <w:keepNext/>
        <w:spacing w:after="120"/>
        <w:ind w:left="644"/>
        <w:rPr>
          <w:rFonts w:cs="Arial"/>
          <w:b/>
          <w:bCs/>
          <w:color w:val="000000"/>
          <w:sz w:val="28"/>
          <w:szCs w:val="28"/>
          <w:lang w:eastAsia="en-GB"/>
        </w:rPr>
      </w:pPr>
    </w:p>
    <w:p w14:paraId="260CD18D" w14:textId="60BC6458"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 xml:space="preserve">This Impact Assessment identifies both monetised and non-monetised impacts on individuals, groups and businesses in the UK, with the aim of understanding what the overall impact to society might be from implementing these options. The costs and benefits of each option are compared to the “do nothing” option. Impact Assessments place a strong emphasis on valuing the costs and benefits in monetary terms (including estimating the value of goods and services that are not traded). However, there are important aspects that cannot sensibly be monetised. These might include how the proposal impacts differently on particular groups of society or </w:t>
      </w:r>
      <w:r w:rsidR="00F11032">
        <w:rPr>
          <w:rFonts w:cs="Arial"/>
          <w:bCs/>
          <w:color w:val="000000"/>
          <w:sz w:val="22"/>
          <w:szCs w:val="22"/>
          <w:lang w:eastAsia="en-GB"/>
        </w:rPr>
        <w:t xml:space="preserve">produces </w:t>
      </w:r>
      <w:r w:rsidRPr="00D95EC3">
        <w:rPr>
          <w:rFonts w:cs="Arial"/>
          <w:bCs/>
          <w:color w:val="000000"/>
          <w:sz w:val="22"/>
          <w:szCs w:val="22"/>
          <w:lang w:eastAsia="en-GB"/>
        </w:rPr>
        <w:t>changes in equity and fairness, either positive or negative.</w:t>
      </w:r>
    </w:p>
    <w:p w14:paraId="54CFC5E5" w14:textId="77777777"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When calculating the net present value (“NPV”) for the impact assessment we have used a time frame of ten years, with the present being year 0. We have assumed that the transitional costs and benefits occur in year 0, the current year, unless otherwise indicated. Ongoing costs and benefits accrue in years 1 to 10. We have used a discount rate of 3.5%, in accordance with HM Treasury guidance. Unless stated all figures are in 2017/18 prices, and have been uprated using the GDP deflator to adjust for inflation.</w:t>
      </w:r>
    </w:p>
    <w:p w14:paraId="41E7BA75" w14:textId="77777777" w:rsidR="00D95EC3" w:rsidRPr="00D95EC3" w:rsidRDefault="00D95EC3" w:rsidP="00D95EC3">
      <w:pPr>
        <w:spacing w:after="120"/>
        <w:ind w:left="284"/>
        <w:rPr>
          <w:rFonts w:cs="Arial"/>
          <w:b/>
          <w:bCs/>
          <w:color w:val="000000"/>
          <w:sz w:val="28"/>
          <w:szCs w:val="28"/>
          <w:lang w:eastAsia="en-GB"/>
        </w:rPr>
      </w:pPr>
    </w:p>
    <w:p w14:paraId="71E8F34B" w14:textId="77777777" w:rsidR="00D95EC3" w:rsidRPr="00D95EC3" w:rsidRDefault="00D95EC3" w:rsidP="00D95EC3">
      <w:pPr>
        <w:spacing w:after="120"/>
        <w:ind w:left="284"/>
        <w:rPr>
          <w:rFonts w:cs="Arial"/>
          <w:b/>
          <w:bCs/>
          <w:color w:val="000000"/>
          <w:sz w:val="28"/>
          <w:szCs w:val="28"/>
          <w:lang w:eastAsia="en-GB"/>
        </w:rPr>
      </w:pPr>
      <w:r w:rsidRPr="00D95EC3">
        <w:rPr>
          <w:rFonts w:cs="Arial"/>
          <w:b/>
          <w:bCs/>
          <w:color w:val="000000"/>
          <w:sz w:val="28"/>
          <w:szCs w:val="28"/>
          <w:lang w:eastAsia="en-GB"/>
        </w:rPr>
        <w:t>Option 0: Do nothing [base case]</w:t>
      </w:r>
    </w:p>
    <w:p w14:paraId="10CA6774" w14:textId="77777777"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Because the “do nothing” option is compared against itself its costs and benefits are necessarily zero, as is its NPV.</w:t>
      </w:r>
      <w:r w:rsidRPr="00D95EC3">
        <w:rPr>
          <w:rFonts w:cs="Arial"/>
          <w:bCs/>
          <w:color w:val="000000"/>
          <w:sz w:val="22"/>
          <w:szCs w:val="22"/>
          <w:vertAlign w:val="superscript"/>
          <w:lang w:eastAsia="en-GB"/>
        </w:rPr>
        <w:footnoteReference w:id="23"/>
      </w:r>
    </w:p>
    <w:p w14:paraId="3FEF9380" w14:textId="77777777" w:rsidR="00D95EC3" w:rsidRPr="00D95EC3" w:rsidRDefault="00D95EC3" w:rsidP="00D95EC3">
      <w:pPr>
        <w:spacing w:after="120"/>
        <w:ind w:left="284"/>
        <w:rPr>
          <w:rFonts w:cs="Arial"/>
          <w:bCs/>
          <w:color w:val="000000"/>
          <w:sz w:val="22"/>
          <w:szCs w:val="22"/>
          <w:lang w:eastAsia="en-GB"/>
        </w:rPr>
      </w:pPr>
    </w:p>
    <w:p w14:paraId="64FA5E7A" w14:textId="77777777" w:rsidR="00D95EC3" w:rsidRPr="00D95EC3" w:rsidRDefault="00D95EC3" w:rsidP="00D95EC3">
      <w:pPr>
        <w:spacing w:after="120"/>
        <w:ind w:left="284"/>
        <w:rPr>
          <w:rFonts w:cs="Arial"/>
          <w:b/>
          <w:bCs/>
          <w:color w:val="000000"/>
          <w:sz w:val="28"/>
          <w:szCs w:val="28"/>
          <w:lang w:eastAsia="en-GB"/>
        </w:rPr>
      </w:pPr>
      <w:r w:rsidRPr="00D95EC3">
        <w:rPr>
          <w:rFonts w:cs="Arial"/>
          <w:b/>
          <w:bCs/>
          <w:color w:val="000000"/>
          <w:sz w:val="28"/>
          <w:szCs w:val="28"/>
          <w:lang w:eastAsia="en-GB"/>
        </w:rPr>
        <w:t>Option 1: Comprehensive reform</w:t>
      </w:r>
    </w:p>
    <w:p w14:paraId="5BAF21C8" w14:textId="77777777" w:rsidR="00D95EC3" w:rsidRPr="00D95EC3" w:rsidRDefault="00D95EC3" w:rsidP="00D95EC3">
      <w:pPr>
        <w:spacing w:after="120"/>
        <w:ind w:left="284"/>
        <w:rPr>
          <w:rFonts w:cs="Arial"/>
          <w:b/>
          <w:bCs/>
          <w:color w:val="000000"/>
          <w:sz w:val="28"/>
          <w:szCs w:val="28"/>
          <w:lang w:eastAsia="en-GB"/>
        </w:rPr>
      </w:pPr>
      <w:r w:rsidRPr="00D95EC3">
        <w:rPr>
          <w:rFonts w:cs="Arial"/>
          <w:b/>
          <w:bCs/>
          <w:color w:val="000000"/>
          <w:sz w:val="28"/>
          <w:szCs w:val="28"/>
          <w:lang w:eastAsia="en-GB"/>
        </w:rPr>
        <w:t>Costs</w:t>
      </w:r>
    </w:p>
    <w:p w14:paraId="3E97EBB4" w14:textId="77777777" w:rsidR="00D95EC3" w:rsidRPr="00D95EC3" w:rsidRDefault="00D95EC3" w:rsidP="00D95EC3">
      <w:pPr>
        <w:spacing w:after="120"/>
        <w:ind w:left="284"/>
        <w:rPr>
          <w:rFonts w:cs="Arial"/>
          <w:b/>
          <w:bCs/>
          <w:color w:val="000000"/>
          <w:sz w:val="22"/>
          <w:szCs w:val="22"/>
          <w:lang w:eastAsia="en-GB"/>
        </w:rPr>
      </w:pPr>
      <w:r w:rsidRPr="00D95EC3">
        <w:rPr>
          <w:rFonts w:cs="Arial"/>
          <w:b/>
          <w:bCs/>
          <w:color w:val="000000"/>
          <w:sz w:val="22"/>
          <w:szCs w:val="22"/>
          <w:lang w:eastAsia="en-GB"/>
        </w:rPr>
        <w:t>Transitional Costs</w:t>
      </w:r>
    </w:p>
    <w:p w14:paraId="653A1E99" w14:textId="77777777" w:rsidR="00D95EC3" w:rsidRPr="00D95EC3" w:rsidRDefault="00D95EC3" w:rsidP="00A92BFF">
      <w:pPr>
        <w:numPr>
          <w:ilvl w:val="0"/>
          <w:numId w:val="6"/>
        </w:numPr>
        <w:spacing w:after="120"/>
        <w:rPr>
          <w:rFonts w:cs="Arial"/>
          <w:bCs/>
          <w:color w:val="000000"/>
          <w:sz w:val="22"/>
          <w:szCs w:val="22"/>
          <w:u w:val="single"/>
          <w:lang w:eastAsia="en-GB"/>
        </w:rPr>
      </w:pPr>
      <w:r w:rsidRPr="00D95EC3">
        <w:rPr>
          <w:rFonts w:cs="Arial"/>
          <w:bCs/>
          <w:color w:val="000000"/>
          <w:sz w:val="22"/>
          <w:szCs w:val="22"/>
          <w:u w:val="single"/>
          <w:lang w:eastAsia="en-GB"/>
        </w:rPr>
        <w:t xml:space="preserve">Training </w:t>
      </w:r>
    </w:p>
    <w:p w14:paraId="01B4B4FE" w14:textId="77777777"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 xml:space="preserve"> Home Office caseworkers will need training in the new</w:t>
      </w:r>
      <w:r w:rsidRPr="00D95EC3">
        <w:rPr>
          <w:rFonts w:cs="Arial"/>
          <w:bCs/>
          <w:color w:val="000000"/>
          <w:sz w:val="22"/>
          <w:szCs w:val="22"/>
          <w:u w:val="single"/>
          <w:lang w:eastAsia="en-GB"/>
        </w:rPr>
        <w:t xml:space="preserve"> </w:t>
      </w:r>
      <w:r w:rsidRPr="00D95EC3">
        <w:rPr>
          <w:rFonts w:cs="Arial"/>
          <w:bCs/>
          <w:color w:val="000000"/>
          <w:sz w:val="22"/>
          <w:szCs w:val="22"/>
          <w:lang w:eastAsia="en-GB"/>
        </w:rPr>
        <w:t xml:space="preserve">version of the Rules, particularly if a less prescriptive approach is adopted. Internal processes may need to be changed. </w:t>
      </w:r>
    </w:p>
    <w:p w14:paraId="0C902CD9" w14:textId="6011BCBB"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Training costs of legal advis</w:t>
      </w:r>
      <w:r w:rsidR="00C0209E">
        <w:rPr>
          <w:rFonts w:cs="Arial"/>
          <w:bCs/>
          <w:color w:val="000000"/>
          <w:sz w:val="22"/>
          <w:szCs w:val="22"/>
          <w:lang w:eastAsia="en-GB"/>
        </w:rPr>
        <w:t>e</w:t>
      </w:r>
      <w:r w:rsidRPr="00D95EC3">
        <w:rPr>
          <w:rFonts w:cs="Arial"/>
          <w:bCs/>
          <w:color w:val="000000"/>
          <w:sz w:val="22"/>
          <w:szCs w:val="22"/>
          <w:lang w:eastAsia="en-GB"/>
        </w:rPr>
        <w:t>rs are expected to be negligible, and absorbed within CPD. As it stands, update</w:t>
      </w:r>
      <w:r w:rsidR="00F11032">
        <w:rPr>
          <w:rFonts w:cs="Arial"/>
          <w:bCs/>
          <w:color w:val="000000"/>
          <w:sz w:val="22"/>
          <w:szCs w:val="22"/>
          <w:lang w:eastAsia="en-GB"/>
        </w:rPr>
        <w:t>s to immigration policy require</w:t>
      </w:r>
      <w:r w:rsidRPr="00D95EC3">
        <w:rPr>
          <w:rFonts w:cs="Arial"/>
          <w:bCs/>
          <w:color w:val="000000"/>
          <w:sz w:val="22"/>
          <w:szCs w:val="22"/>
          <w:lang w:eastAsia="en-GB"/>
        </w:rPr>
        <w:t xml:space="preserve"> training. These routine updates to immigration law are likely to be more complicated than our proposed structural reforms to the Immigration Rules. CPD hours could also be reduced through our proposals simplifying the Rules.</w:t>
      </w:r>
    </w:p>
    <w:p w14:paraId="121539A2" w14:textId="77777777" w:rsidR="00D95EC3" w:rsidRPr="00D95EC3" w:rsidRDefault="00D95EC3" w:rsidP="00D95EC3">
      <w:pPr>
        <w:spacing w:after="120"/>
        <w:ind w:left="284"/>
        <w:rPr>
          <w:rFonts w:cs="Arial"/>
          <w:bCs/>
          <w:color w:val="000000"/>
          <w:sz w:val="22"/>
          <w:szCs w:val="22"/>
          <w:lang w:eastAsia="en-GB"/>
        </w:rPr>
      </w:pPr>
    </w:p>
    <w:p w14:paraId="5350BA2F" w14:textId="77777777" w:rsidR="00D95EC3" w:rsidRPr="00D95EC3" w:rsidRDefault="00D95EC3" w:rsidP="00A92BFF">
      <w:pPr>
        <w:numPr>
          <w:ilvl w:val="0"/>
          <w:numId w:val="6"/>
        </w:numPr>
        <w:spacing w:after="120"/>
        <w:rPr>
          <w:rFonts w:cs="Arial"/>
          <w:bCs/>
          <w:color w:val="000000"/>
          <w:sz w:val="22"/>
          <w:szCs w:val="22"/>
          <w:u w:val="single"/>
          <w:lang w:eastAsia="en-GB"/>
        </w:rPr>
      </w:pPr>
      <w:r w:rsidRPr="00D95EC3">
        <w:rPr>
          <w:rFonts w:cs="Arial"/>
          <w:bCs/>
          <w:color w:val="000000"/>
          <w:sz w:val="22"/>
          <w:szCs w:val="22"/>
          <w:u w:val="single"/>
          <w:lang w:eastAsia="en-GB"/>
        </w:rPr>
        <w:t>Improvements in the online presentation of the Rules</w:t>
      </w:r>
    </w:p>
    <w:p w14:paraId="5B036C76" w14:textId="77777777" w:rsidR="00D95EC3" w:rsidRPr="00D95EC3" w:rsidRDefault="00D95EC3" w:rsidP="00D95EC3">
      <w:pPr>
        <w:spacing w:after="120"/>
        <w:ind w:left="284"/>
        <w:rPr>
          <w:rFonts w:cs="Arial"/>
          <w:bCs/>
          <w:color w:val="000000"/>
          <w:sz w:val="22"/>
          <w:szCs w:val="22"/>
          <w:lang w:eastAsia="en-GB"/>
        </w:rPr>
      </w:pPr>
      <w:r w:rsidRPr="004004FF">
        <w:rPr>
          <w:rFonts w:cs="Arial"/>
          <w:bCs/>
          <w:color w:val="000000"/>
          <w:sz w:val="22"/>
          <w:szCs w:val="22"/>
          <w:lang w:eastAsia="en-GB"/>
        </w:rPr>
        <w:t>This falls within existing work to which resources have already been allocated</w:t>
      </w:r>
      <w:r w:rsidRPr="00C0209E">
        <w:rPr>
          <w:rFonts w:cs="Arial"/>
          <w:bCs/>
          <w:color w:val="000000"/>
          <w:sz w:val="22"/>
          <w:szCs w:val="22"/>
          <w:lang w:eastAsia="en-GB"/>
        </w:rPr>
        <w:t>.</w:t>
      </w:r>
      <w:r w:rsidRPr="00D95EC3">
        <w:rPr>
          <w:rFonts w:cs="Arial"/>
          <w:bCs/>
          <w:color w:val="000000"/>
          <w:sz w:val="22"/>
          <w:szCs w:val="22"/>
          <w:lang w:eastAsia="en-GB"/>
        </w:rPr>
        <w:t xml:space="preserve"> </w:t>
      </w:r>
    </w:p>
    <w:p w14:paraId="2D64C2AF" w14:textId="77777777" w:rsidR="00D95EC3" w:rsidRPr="00D95EC3" w:rsidRDefault="00D95EC3" w:rsidP="00D95EC3">
      <w:pPr>
        <w:spacing w:after="120"/>
        <w:ind w:left="284"/>
        <w:rPr>
          <w:rFonts w:cs="Arial"/>
          <w:bCs/>
          <w:color w:val="000000"/>
          <w:sz w:val="22"/>
          <w:szCs w:val="22"/>
          <w:lang w:eastAsia="en-GB"/>
        </w:rPr>
      </w:pPr>
    </w:p>
    <w:p w14:paraId="0D8D88EC" w14:textId="77777777" w:rsidR="00D95EC3" w:rsidRPr="00D95EC3" w:rsidRDefault="00D95EC3" w:rsidP="00A92BFF">
      <w:pPr>
        <w:numPr>
          <w:ilvl w:val="0"/>
          <w:numId w:val="6"/>
        </w:numPr>
        <w:spacing w:after="120"/>
        <w:rPr>
          <w:rFonts w:cs="Arial"/>
          <w:bCs/>
          <w:color w:val="000000"/>
          <w:sz w:val="22"/>
          <w:szCs w:val="22"/>
          <w:u w:val="single"/>
          <w:lang w:eastAsia="en-GB"/>
        </w:rPr>
      </w:pPr>
      <w:r w:rsidRPr="00D95EC3">
        <w:rPr>
          <w:rFonts w:cs="Arial"/>
          <w:bCs/>
          <w:color w:val="000000"/>
          <w:sz w:val="22"/>
          <w:szCs w:val="22"/>
          <w:u w:val="single"/>
          <w:lang w:eastAsia="en-GB"/>
        </w:rPr>
        <w:t>Set-up costs of updated archiving system</w:t>
      </w:r>
    </w:p>
    <w:p w14:paraId="09CA74F1" w14:textId="77777777"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The Gov.uk website now provides versions of the Rules (dating back to 9 July 2012). However, there is no search facility which enables the comparison of different sets of historic Rules.</w:t>
      </w:r>
    </w:p>
    <w:p w14:paraId="36F505A9" w14:textId="77777777"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We provisionally propose an updated archiving system which would be free to members of the public and would contain a search facility.</w:t>
      </w:r>
    </w:p>
    <w:p w14:paraId="70E70280" w14:textId="77777777"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We do not currently have information on implementation costs. A search and compare facility may be able to be installed through utilising the existing Gov.uk framework.</w:t>
      </w:r>
    </w:p>
    <w:p w14:paraId="6957EE18" w14:textId="77777777" w:rsidR="00D95EC3" w:rsidRPr="00D95EC3" w:rsidRDefault="00D95EC3" w:rsidP="00D95EC3">
      <w:pPr>
        <w:spacing w:after="120"/>
        <w:ind w:left="284"/>
        <w:rPr>
          <w:rFonts w:cs="Arial"/>
          <w:bCs/>
          <w:color w:val="000000"/>
          <w:sz w:val="22"/>
          <w:szCs w:val="22"/>
          <w:lang w:eastAsia="en-GB"/>
        </w:rPr>
      </w:pPr>
    </w:p>
    <w:p w14:paraId="6D5609D3" w14:textId="77777777" w:rsidR="00D95EC3" w:rsidRPr="00D95EC3" w:rsidRDefault="00D95EC3" w:rsidP="00A92BFF">
      <w:pPr>
        <w:numPr>
          <w:ilvl w:val="0"/>
          <w:numId w:val="6"/>
        </w:numPr>
        <w:spacing w:after="120"/>
        <w:rPr>
          <w:rFonts w:cs="Arial"/>
          <w:bCs/>
          <w:color w:val="000000"/>
          <w:sz w:val="22"/>
          <w:szCs w:val="22"/>
          <w:u w:val="single"/>
          <w:lang w:eastAsia="en-GB"/>
        </w:rPr>
      </w:pPr>
      <w:r w:rsidRPr="00D95EC3">
        <w:rPr>
          <w:rFonts w:cs="Arial"/>
          <w:bCs/>
          <w:color w:val="000000"/>
          <w:sz w:val="22"/>
          <w:szCs w:val="22"/>
          <w:u w:val="single"/>
          <w:lang w:eastAsia="en-GB"/>
        </w:rPr>
        <w:t>Set-up costs of establishing review mechanism</w:t>
      </w:r>
    </w:p>
    <w:p w14:paraId="18C3CE34" w14:textId="77777777"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A review body is required to inform the drafting procedure. Whilst it is expected that this will consist of volunteers there will need to be a recruitment exercise of the anticipated 10 members and initial induction of members, drafting terms of work and establishing a light-touch secretariat to manage the committee. We therefore expect there to be small cost implications.</w:t>
      </w:r>
    </w:p>
    <w:p w14:paraId="2ACA5FC2" w14:textId="77777777" w:rsidR="00D95EC3" w:rsidRPr="00D95EC3" w:rsidRDefault="00D95EC3" w:rsidP="00D95EC3">
      <w:pPr>
        <w:spacing w:after="120"/>
        <w:ind w:left="284" w:hanging="284"/>
        <w:rPr>
          <w:rFonts w:cs="Arial"/>
          <w:bCs/>
          <w:color w:val="000000"/>
          <w:sz w:val="22"/>
          <w:szCs w:val="22"/>
          <w:lang w:eastAsia="en-GB"/>
        </w:rPr>
      </w:pPr>
    </w:p>
    <w:p w14:paraId="30C8582A" w14:textId="77777777" w:rsidR="00D95EC3" w:rsidRPr="00D95EC3" w:rsidRDefault="00D95EC3" w:rsidP="00D95EC3">
      <w:pPr>
        <w:spacing w:after="120"/>
        <w:ind w:left="284"/>
        <w:rPr>
          <w:rFonts w:cs="Arial"/>
          <w:b/>
          <w:bCs/>
          <w:color w:val="000000"/>
          <w:sz w:val="22"/>
          <w:szCs w:val="22"/>
          <w:lang w:eastAsia="en-GB"/>
        </w:rPr>
      </w:pPr>
      <w:r w:rsidRPr="00D95EC3">
        <w:rPr>
          <w:rFonts w:cs="Arial"/>
          <w:b/>
          <w:bCs/>
          <w:color w:val="000000"/>
          <w:sz w:val="22"/>
          <w:szCs w:val="22"/>
          <w:lang w:eastAsia="en-GB"/>
        </w:rPr>
        <w:t>On-going Costs</w:t>
      </w:r>
    </w:p>
    <w:p w14:paraId="10EB1010" w14:textId="77777777" w:rsidR="00D95EC3" w:rsidRPr="00D95EC3" w:rsidRDefault="00D95EC3" w:rsidP="00A92BFF">
      <w:pPr>
        <w:numPr>
          <w:ilvl w:val="0"/>
          <w:numId w:val="5"/>
        </w:numPr>
        <w:spacing w:after="120"/>
        <w:rPr>
          <w:rFonts w:cs="Arial"/>
          <w:bCs/>
          <w:color w:val="000000"/>
          <w:sz w:val="22"/>
          <w:szCs w:val="22"/>
          <w:u w:val="single"/>
          <w:lang w:eastAsia="en-GB"/>
        </w:rPr>
      </w:pPr>
      <w:r w:rsidRPr="00D95EC3">
        <w:rPr>
          <w:rFonts w:cs="Arial"/>
          <w:bCs/>
          <w:color w:val="000000"/>
          <w:sz w:val="22"/>
          <w:szCs w:val="22"/>
          <w:u w:val="single"/>
          <w:lang w:eastAsia="en-GB"/>
        </w:rPr>
        <w:t>Review Committee Meetings</w:t>
      </w:r>
    </w:p>
    <w:p w14:paraId="24D3F042" w14:textId="77777777"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Whilst not a paid position, expenses will be incurred by the 10 members. It is anticipated that meetings will be at existing offices and so no additional costs will be incurred beyond those of expenses.</w:t>
      </w:r>
    </w:p>
    <w:p w14:paraId="71B4E186" w14:textId="77777777" w:rsidR="00D95EC3" w:rsidRPr="00D95EC3" w:rsidRDefault="00D95EC3" w:rsidP="00D95EC3">
      <w:pPr>
        <w:spacing w:after="120"/>
        <w:ind w:left="284" w:hanging="284"/>
        <w:rPr>
          <w:rFonts w:cs="Arial"/>
          <w:bCs/>
          <w:color w:val="000000"/>
          <w:sz w:val="22"/>
          <w:szCs w:val="22"/>
          <w:lang w:eastAsia="en-GB"/>
        </w:rPr>
      </w:pPr>
    </w:p>
    <w:p w14:paraId="433CD1CF" w14:textId="77777777" w:rsidR="00D95EC3" w:rsidRPr="00D95EC3" w:rsidRDefault="00D95EC3" w:rsidP="00A92BFF">
      <w:pPr>
        <w:numPr>
          <w:ilvl w:val="0"/>
          <w:numId w:val="5"/>
        </w:numPr>
        <w:spacing w:after="120"/>
        <w:rPr>
          <w:rFonts w:cs="Arial"/>
          <w:bCs/>
          <w:color w:val="000000"/>
          <w:sz w:val="22"/>
          <w:szCs w:val="22"/>
          <w:u w:val="single"/>
          <w:lang w:eastAsia="en-GB"/>
        </w:rPr>
      </w:pPr>
      <w:r w:rsidRPr="00D95EC3">
        <w:rPr>
          <w:rFonts w:cs="Arial"/>
          <w:bCs/>
          <w:color w:val="000000"/>
          <w:sz w:val="22"/>
          <w:szCs w:val="22"/>
          <w:u w:val="single"/>
          <w:lang w:eastAsia="en-GB"/>
        </w:rPr>
        <w:t>Maintenance of online presentation of the Rules and updated archiving system</w:t>
      </w:r>
    </w:p>
    <w:p w14:paraId="0F49BD0E" w14:textId="77777777"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lastRenderedPageBreak/>
        <w:t xml:space="preserve">The proposed updated search function would enable users to compare historic Rules. This would help users to establish which Rules temporally apply to any application. </w:t>
      </w:r>
    </w:p>
    <w:p w14:paraId="1AE6872C" w14:textId="77777777"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Maintaining the online presentation of the Rules and the archiving system could be done through existing staff members.</w:t>
      </w:r>
    </w:p>
    <w:p w14:paraId="18DC6898" w14:textId="77777777" w:rsidR="00D95EC3" w:rsidRPr="00D95EC3" w:rsidRDefault="00D95EC3" w:rsidP="00D95EC3">
      <w:pPr>
        <w:spacing w:after="120"/>
        <w:ind w:left="284"/>
        <w:rPr>
          <w:rFonts w:cs="Arial"/>
          <w:bCs/>
          <w:color w:val="000000"/>
          <w:sz w:val="22"/>
          <w:szCs w:val="22"/>
          <w:lang w:eastAsia="en-GB"/>
        </w:rPr>
      </w:pPr>
    </w:p>
    <w:p w14:paraId="5AA55F3E" w14:textId="77777777" w:rsidR="00D95EC3" w:rsidRPr="00D95EC3" w:rsidRDefault="00D95EC3" w:rsidP="00D95EC3">
      <w:pPr>
        <w:spacing w:after="120"/>
        <w:ind w:left="284"/>
        <w:rPr>
          <w:rFonts w:cs="Arial"/>
          <w:b/>
          <w:bCs/>
          <w:color w:val="000000"/>
          <w:sz w:val="28"/>
          <w:szCs w:val="28"/>
          <w:lang w:eastAsia="en-GB"/>
        </w:rPr>
      </w:pPr>
      <w:r w:rsidRPr="00D95EC3">
        <w:rPr>
          <w:rFonts w:cs="Arial"/>
          <w:b/>
          <w:bCs/>
          <w:color w:val="000000"/>
          <w:sz w:val="28"/>
          <w:szCs w:val="28"/>
          <w:lang w:eastAsia="en-GB"/>
        </w:rPr>
        <w:t>Benefits</w:t>
      </w:r>
    </w:p>
    <w:p w14:paraId="5F6CECF9" w14:textId="77777777" w:rsidR="00D95EC3" w:rsidRPr="00D95EC3" w:rsidRDefault="00D95EC3" w:rsidP="00D95EC3">
      <w:pPr>
        <w:spacing w:after="120"/>
        <w:ind w:left="284"/>
        <w:rPr>
          <w:rFonts w:cs="Arial"/>
          <w:b/>
          <w:bCs/>
          <w:color w:val="000000"/>
          <w:sz w:val="22"/>
          <w:szCs w:val="22"/>
          <w:lang w:eastAsia="en-GB"/>
        </w:rPr>
      </w:pPr>
      <w:r w:rsidRPr="00D95EC3">
        <w:rPr>
          <w:rFonts w:cs="Arial"/>
          <w:b/>
          <w:bCs/>
          <w:color w:val="000000"/>
          <w:sz w:val="22"/>
          <w:szCs w:val="22"/>
          <w:lang w:eastAsia="en-GB"/>
        </w:rPr>
        <w:t>Transitional benefits</w:t>
      </w:r>
    </w:p>
    <w:p w14:paraId="70CBF654" w14:textId="77777777"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None identified</w:t>
      </w:r>
    </w:p>
    <w:p w14:paraId="5BB5E79B" w14:textId="77777777" w:rsidR="00D95EC3" w:rsidRPr="00D95EC3" w:rsidRDefault="00D95EC3" w:rsidP="00D95EC3">
      <w:pPr>
        <w:spacing w:after="120"/>
        <w:ind w:left="284"/>
        <w:rPr>
          <w:rFonts w:cs="Arial"/>
          <w:bCs/>
          <w:color w:val="000000"/>
          <w:sz w:val="22"/>
          <w:szCs w:val="22"/>
          <w:lang w:eastAsia="en-GB"/>
        </w:rPr>
      </w:pPr>
    </w:p>
    <w:p w14:paraId="6C82FF25" w14:textId="77777777" w:rsidR="00D95EC3" w:rsidRPr="00D95EC3" w:rsidRDefault="00D95EC3" w:rsidP="00D95EC3">
      <w:pPr>
        <w:spacing w:after="120"/>
        <w:ind w:left="284"/>
        <w:rPr>
          <w:rFonts w:cs="Arial"/>
          <w:b/>
          <w:bCs/>
          <w:color w:val="000000"/>
          <w:sz w:val="22"/>
          <w:szCs w:val="22"/>
          <w:lang w:eastAsia="en-GB"/>
        </w:rPr>
      </w:pPr>
      <w:r w:rsidRPr="00D95EC3">
        <w:rPr>
          <w:rFonts w:cs="Arial"/>
          <w:b/>
          <w:bCs/>
          <w:color w:val="000000"/>
          <w:sz w:val="22"/>
          <w:szCs w:val="22"/>
          <w:lang w:eastAsia="en-GB"/>
        </w:rPr>
        <w:t>On-going benefits</w:t>
      </w:r>
    </w:p>
    <w:p w14:paraId="78832679" w14:textId="77777777" w:rsidR="00D95EC3" w:rsidRPr="00D95EC3" w:rsidRDefault="00D95EC3" w:rsidP="00A92BFF">
      <w:pPr>
        <w:numPr>
          <w:ilvl w:val="0"/>
          <w:numId w:val="7"/>
        </w:numPr>
        <w:spacing w:after="120"/>
        <w:rPr>
          <w:rFonts w:cs="Arial"/>
          <w:bCs/>
          <w:color w:val="000000"/>
          <w:sz w:val="22"/>
          <w:szCs w:val="22"/>
          <w:u w:val="single"/>
          <w:lang w:eastAsia="en-GB"/>
        </w:rPr>
      </w:pPr>
      <w:r w:rsidRPr="00D95EC3">
        <w:rPr>
          <w:rFonts w:cs="Arial"/>
          <w:bCs/>
          <w:color w:val="000000"/>
          <w:sz w:val="22"/>
          <w:szCs w:val="22"/>
          <w:u w:val="single"/>
          <w:lang w:eastAsia="en-GB"/>
        </w:rPr>
        <w:t>Reduction in number of judicial reviews</w:t>
      </w:r>
    </w:p>
    <w:p w14:paraId="5A67EFDC" w14:textId="77777777"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We anticipate a reduction in the number of judicial reviews in the light of our comprehensive reforms. This is based on the assumption that there will be fewer invalid applications</w:t>
      </w:r>
      <w:r w:rsidRPr="00D95EC3">
        <w:rPr>
          <w:rFonts w:cs="Arial"/>
          <w:bCs/>
          <w:color w:val="000000"/>
          <w:sz w:val="22"/>
          <w:szCs w:val="22"/>
          <w:vertAlign w:val="superscript"/>
          <w:lang w:eastAsia="en-GB"/>
        </w:rPr>
        <w:footnoteReference w:id="24"/>
      </w:r>
      <w:r w:rsidRPr="00D95EC3">
        <w:rPr>
          <w:rFonts w:cs="Arial"/>
          <w:bCs/>
          <w:color w:val="000000"/>
          <w:sz w:val="22"/>
          <w:szCs w:val="22"/>
          <w:lang w:eastAsia="en-GB"/>
        </w:rPr>
        <w:t xml:space="preserve"> made, or applications submitted without the correct supporting evidence, under better drafted Immigration Rules</w:t>
      </w:r>
      <w:r w:rsidRPr="004004FF">
        <w:rPr>
          <w:rFonts w:cs="Arial"/>
          <w:bCs/>
          <w:color w:val="000000"/>
          <w:sz w:val="22"/>
          <w:szCs w:val="22"/>
          <w:lang w:eastAsia="en-GB"/>
        </w:rPr>
        <w:t>. If initial applications include the correct evidence, then we are assuming that an increased proportion of them will not be rejected, which could lead to a reduction in judicial reviews.</w:t>
      </w:r>
    </w:p>
    <w:p w14:paraId="6069A728" w14:textId="478B3D48"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The reduction in judicial reviews will probably be higher under our comprehensive reforms than under option 2 as the Rules would be clarified to a greater extent. Our more modest reforms in option 2 will have an impact, but are unlikely to provide users with the same level of clarity as option 1.</w:t>
      </w:r>
    </w:p>
    <w:p w14:paraId="0E138C1F" w14:textId="77777777" w:rsidR="00526BDB" w:rsidRPr="00526BDB" w:rsidRDefault="00D95EC3" w:rsidP="00526BDB">
      <w:pPr>
        <w:ind w:left="284"/>
        <w:rPr>
          <w:rFonts w:cs="Arial"/>
          <w:bCs/>
          <w:color w:val="000000"/>
          <w:sz w:val="22"/>
          <w:szCs w:val="22"/>
          <w:lang w:eastAsia="en-GB"/>
        </w:rPr>
      </w:pPr>
      <w:r w:rsidRPr="00D95EC3">
        <w:rPr>
          <w:rFonts w:cs="Arial"/>
          <w:bCs/>
          <w:color w:val="000000"/>
          <w:sz w:val="22"/>
          <w:szCs w:val="22"/>
          <w:lang w:eastAsia="en-GB"/>
        </w:rPr>
        <w:t xml:space="preserve">We also consider that our reforms will have a greater impact on appeals than on judicial reviews. This is because </w:t>
      </w:r>
      <w:r w:rsidR="00C0209E">
        <w:rPr>
          <w:rFonts w:cs="Arial"/>
          <w:bCs/>
          <w:color w:val="000000"/>
          <w:sz w:val="22"/>
          <w:szCs w:val="22"/>
          <w:lang w:eastAsia="en-GB"/>
        </w:rPr>
        <w:t>j</w:t>
      </w:r>
      <w:r w:rsidRPr="00D95EC3">
        <w:rPr>
          <w:rFonts w:cs="Arial"/>
          <w:bCs/>
          <w:color w:val="000000"/>
          <w:sz w:val="22"/>
          <w:szCs w:val="22"/>
          <w:lang w:eastAsia="en-GB"/>
        </w:rPr>
        <w:t>udicial reviews can raise other wider issues of legitimate expectation and fairness in decision-making which our reforms do not address.</w:t>
      </w:r>
      <w:r w:rsidR="00526BDB">
        <w:rPr>
          <w:rFonts w:cs="Arial"/>
          <w:bCs/>
          <w:color w:val="000000"/>
          <w:sz w:val="22"/>
          <w:szCs w:val="22"/>
          <w:lang w:eastAsia="en-GB"/>
        </w:rPr>
        <w:t xml:space="preserve"> </w:t>
      </w:r>
      <w:r w:rsidR="00526BDB" w:rsidRPr="00526BDB">
        <w:rPr>
          <w:sz w:val="22"/>
          <w:szCs w:val="22"/>
        </w:rPr>
        <w:t xml:space="preserve">For this reason, we have relied on a lower estimate of the reduction in the number of judicial reviews than in the number of appeals in our calculation of projected annual savings set out below. </w:t>
      </w:r>
    </w:p>
    <w:p w14:paraId="1EF34347" w14:textId="77777777" w:rsidR="00526BDB" w:rsidRPr="00526BDB" w:rsidRDefault="00526BDB" w:rsidP="00526BDB">
      <w:pPr>
        <w:spacing w:after="120"/>
        <w:ind w:left="284"/>
        <w:rPr>
          <w:rFonts w:cs="Arial"/>
          <w:bCs/>
          <w:color w:val="000000"/>
          <w:sz w:val="22"/>
          <w:szCs w:val="22"/>
          <w:lang w:eastAsia="en-GB"/>
        </w:rPr>
      </w:pPr>
    </w:p>
    <w:p w14:paraId="503E9A5F" w14:textId="36B40335" w:rsidR="00D95EC3" w:rsidRPr="00D95EC3" w:rsidRDefault="00D95EC3" w:rsidP="00D95EC3">
      <w:pPr>
        <w:spacing w:after="120"/>
        <w:ind w:left="284"/>
        <w:rPr>
          <w:rFonts w:cs="Arial"/>
          <w:bCs/>
          <w:color w:val="000000"/>
          <w:sz w:val="22"/>
          <w:szCs w:val="22"/>
          <w:lang w:eastAsia="en-GB"/>
        </w:rPr>
      </w:pPr>
    </w:p>
    <w:p w14:paraId="0CB51D7C" w14:textId="77777777" w:rsidR="00D95EC3" w:rsidRPr="00D95EC3" w:rsidRDefault="00D95EC3" w:rsidP="00D95EC3">
      <w:pPr>
        <w:spacing w:after="120"/>
        <w:ind w:left="284"/>
        <w:rPr>
          <w:rFonts w:cs="Arial"/>
          <w:bCs/>
          <w:color w:val="000000"/>
          <w:sz w:val="22"/>
          <w:szCs w:val="22"/>
          <w:lang w:eastAsia="en-GB"/>
        </w:rPr>
      </w:pPr>
    </w:p>
    <w:p w14:paraId="1B38D1E6" w14:textId="012492BB" w:rsidR="00D95EC3" w:rsidRPr="00D95EC3" w:rsidRDefault="00D95EC3" w:rsidP="00D95EC3">
      <w:pPr>
        <w:spacing w:after="120"/>
        <w:ind w:left="284" w:hanging="284"/>
        <w:rPr>
          <w:rFonts w:cs="Arial"/>
          <w:bCs/>
          <w:color w:val="000000"/>
          <w:sz w:val="22"/>
          <w:szCs w:val="22"/>
          <w:u w:val="single"/>
          <w:lang w:eastAsia="en-GB"/>
        </w:rPr>
      </w:pPr>
      <w:r w:rsidRPr="00D95EC3">
        <w:rPr>
          <w:rFonts w:cs="Arial"/>
          <w:bCs/>
          <w:color w:val="000000"/>
          <w:sz w:val="22"/>
          <w:szCs w:val="22"/>
          <w:lang w:eastAsia="en-GB"/>
        </w:rPr>
        <w:tab/>
      </w:r>
      <w:r w:rsidRPr="00D95EC3">
        <w:rPr>
          <w:rFonts w:cs="Arial"/>
          <w:bCs/>
          <w:color w:val="000000"/>
          <w:sz w:val="22"/>
          <w:szCs w:val="22"/>
          <w:u w:val="single"/>
          <w:lang w:eastAsia="en-GB"/>
        </w:rPr>
        <w:t>Table 4: Annual Savings from the reduction in Judicial Reviews in the Upper Tribunal of the Immigration and Asylum Chamber [IAC]</w:t>
      </w:r>
    </w:p>
    <w:p w14:paraId="6DD932B4" w14:textId="77777777" w:rsidR="00D95EC3" w:rsidRPr="00D95EC3" w:rsidRDefault="00D95EC3" w:rsidP="00D95EC3">
      <w:pPr>
        <w:spacing w:after="120"/>
        <w:ind w:left="284" w:hanging="284"/>
        <w:rPr>
          <w:rFonts w:cs="Arial"/>
          <w:bCs/>
          <w:color w:val="000000"/>
          <w:sz w:val="22"/>
          <w:szCs w:val="22"/>
          <w:lang w:eastAsia="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81"/>
        <w:gridCol w:w="1843"/>
        <w:gridCol w:w="1562"/>
      </w:tblGrid>
      <w:tr w:rsidR="00D95EC3" w:rsidRPr="00D95EC3" w14:paraId="0F3ABF83" w14:textId="77777777" w:rsidTr="00D95EC3">
        <w:tc>
          <w:tcPr>
            <w:tcW w:w="2830" w:type="dxa"/>
          </w:tcPr>
          <w:p w14:paraId="407B0E8A" w14:textId="77777777" w:rsidR="00D95EC3" w:rsidRPr="00D95EC3" w:rsidRDefault="00D95EC3" w:rsidP="00D95EC3">
            <w:pPr>
              <w:spacing w:after="120"/>
              <w:rPr>
                <w:rFonts w:cs="Arial"/>
                <w:bCs/>
                <w:color w:val="000000"/>
                <w:sz w:val="22"/>
                <w:szCs w:val="22"/>
                <w:lang w:eastAsia="en-GB"/>
              </w:rPr>
            </w:pPr>
          </w:p>
        </w:tc>
        <w:tc>
          <w:tcPr>
            <w:tcW w:w="2381" w:type="dxa"/>
          </w:tcPr>
          <w:p w14:paraId="4BE99461"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Low estimate</w:t>
            </w:r>
          </w:p>
        </w:tc>
        <w:tc>
          <w:tcPr>
            <w:tcW w:w="1843" w:type="dxa"/>
          </w:tcPr>
          <w:p w14:paraId="5AEE3BAE"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Best estimate</w:t>
            </w:r>
          </w:p>
        </w:tc>
        <w:tc>
          <w:tcPr>
            <w:tcW w:w="1562" w:type="dxa"/>
          </w:tcPr>
          <w:p w14:paraId="00747861"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High estimate</w:t>
            </w:r>
          </w:p>
        </w:tc>
      </w:tr>
      <w:tr w:rsidR="00D95EC3" w:rsidRPr="00D95EC3" w14:paraId="307E3215" w14:textId="77777777" w:rsidTr="00D95EC3">
        <w:tc>
          <w:tcPr>
            <w:tcW w:w="2830" w:type="dxa"/>
          </w:tcPr>
          <w:p w14:paraId="5BD1C6C0"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Number of judicial reviews</w:t>
            </w:r>
          </w:p>
        </w:tc>
        <w:tc>
          <w:tcPr>
            <w:tcW w:w="2381" w:type="dxa"/>
          </w:tcPr>
          <w:p w14:paraId="19C2A801"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9,475</w:t>
            </w:r>
          </w:p>
        </w:tc>
        <w:tc>
          <w:tcPr>
            <w:tcW w:w="1843" w:type="dxa"/>
          </w:tcPr>
          <w:p w14:paraId="5BB3EDE7"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9,974</w:t>
            </w:r>
          </w:p>
        </w:tc>
        <w:tc>
          <w:tcPr>
            <w:tcW w:w="1562" w:type="dxa"/>
          </w:tcPr>
          <w:p w14:paraId="20BA91F5"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10,473</w:t>
            </w:r>
          </w:p>
        </w:tc>
      </w:tr>
      <w:tr w:rsidR="00D95EC3" w:rsidRPr="00D95EC3" w14:paraId="71BECDCF" w14:textId="77777777" w:rsidTr="00D95EC3">
        <w:tc>
          <w:tcPr>
            <w:tcW w:w="2830" w:type="dxa"/>
          </w:tcPr>
          <w:p w14:paraId="74540D71"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 xml:space="preserve">Percentage reduction in judicial reviews </w:t>
            </w:r>
          </w:p>
        </w:tc>
        <w:tc>
          <w:tcPr>
            <w:tcW w:w="2381" w:type="dxa"/>
          </w:tcPr>
          <w:p w14:paraId="5794A2A2"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1%</w:t>
            </w:r>
          </w:p>
        </w:tc>
        <w:tc>
          <w:tcPr>
            <w:tcW w:w="1843" w:type="dxa"/>
          </w:tcPr>
          <w:p w14:paraId="7C3000FB"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3%</w:t>
            </w:r>
          </w:p>
        </w:tc>
        <w:tc>
          <w:tcPr>
            <w:tcW w:w="1562" w:type="dxa"/>
          </w:tcPr>
          <w:p w14:paraId="58A29F1C"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5%</w:t>
            </w:r>
          </w:p>
        </w:tc>
      </w:tr>
      <w:tr w:rsidR="00D95EC3" w:rsidRPr="00D95EC3" w14:paraId="424640AF" w14:textId="77777777" w:rsidTr="00D95EC3">
        <w:tc>
          <w:tcPr>
            <w:tcW w:w="2830" w:type="dxa"/>
          </w:tcPr>
          <w:p w14:paraId="3FEA79D5" w14:textId="20D6B669"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 xml:space="preserve">Savings from </w:t>
            </w:r>
            <w:r w:rsidR="00C718F2">
              <w:rPr>
                <w:rFonts w:cs="Arial"/>
                <w:bCs/>
                <w:color w:val="000000"/>
                <w:sz w:val="22"/>
                <w:szCs w:val="22"/>
                <w:lang w:eastAsia="en-GB"/>
              </w:rPr>
              <w:t>the Permission Stage</w:t>
            </w:r>
          </w:p>
        </w:tc>
        <w:tc>
          <w:tcPr>
            <w:tcW w:w="2381" w:type="dxa"/>
          </w:tcPr>
          <w:p w14:paraId="2150AF21"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£0.04 m</w:t>
            </w:r>
          </w:p>
        </w:tc>
        <w:tc>
          <w:tcPr>
            <w:tcW w:w="1843" w:type="dxa"/>
          </w:tcPr>
          <w:p w14:paraId="2F5B5B28"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£0.14 m</w:t>
            </w:r>
          </w:p>
        </w:tc>
        <w:tc>
          <w:tcPr>
            <w:tcW w:w="1562" w:type="dxa"/>
          </w:tcPr>
          <w:p w14:paraId="5EC4E306"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£0.25 m</w:t>
            </w:r>
          </w:p>
        </w:tc>
      </w:tr>
      <w:tr w:rsidR="00D95EC3" w:rsidRPr="00D95EC3" w14:paraId="6EB5276F" w14:textId="77777777" w:rsidTr="00D95EC3">
        <w:tc>
          <w:tcPr>
            <w:tcW w:w="2830" w:type="dxa"/>
          </w:tcPr>
          <w:p w14:paraId="1C2C5BCF" w14:textId="6820905A"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 xml:space="preserve">Savings from </w:t>
            </w:r>
            <w:r w:rsidR="00C718F2">
              <w:rPr>
                <w:rFonts w:cs="Arial"/>
                <w:bCs/>
                <w:color w:val="000000"/>
                <w:sz w:val="22"/>
                <w:szCs w:val="22"/>
                <w:lang w:eastAsia="en-GB"/>
              </w:rPr>
              <w:t>the Substantive Stage</w:t>
            </w:r>
          </w:p>
        </w:tc>
        <w:tc>
          <w:tcPr>
            <w:tcW w:w="2381" w:type="dxa"/>
          </w:tcPr>
          <w:p w14:paraId="6CCACCB1"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£0.04 m</w:t>
            </w:r>
          </w:p>
        </w:tc>
        <w:tc>
          <w:tcPr>
            <w:tcW w:w="1843" w:type="dxa"/>
          </w:tcPr>
          <w:p w14:paraId="3B1BA0DB"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£0.10 m</w:t>
            </w:r>
          </w:p>
        </w:tc>
        <w:tc>
          <w:tcPr>
            <w:tcW w:w="1562" w:type="dxa"/>
          </w:tcPr>
          <w:p w14:paraId="2DF6C375"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£0.13 m</w:t>
            </w:r>
          </w:p>
        </w:tc>
      </w:tr>
      <w:tr w:rsidR="00D95EC3" w:rsidRPr="00D95EC3" w14:paraId="2EE2850A" w14:textId="77777777" w:rsidTr="00D95EC3">
        <w:tc>
          <w:tcPr>
            <w:tcW w:w="2830" w:type="dxa"/>
          </w:tcPr>
          <w:p w14:paraId="36B6B58D"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Total Annual savings</w:t>
            </w:r>
            <w:r w:rsidRPr="00D95EC3">
              <w:rPr>
                <w:rFonts w:cs="Arial"/>
                <w:bCs/>
                <w:color w:val="000000"/>
                <w:sz w:val="22"/>
                <w:szCs w:val="22"/>
                <w:vertAlign w:val="superscript"/>
                <w:lang w:eastAsia="en-GB"/>
              </w:rPr>
              <w:footnoteReference w:id="25"/>
            </w:r>
          </w:p>
        </w:tc>
        <w:tc>
          <w:tcPr>
            <w:tcW w:w="2381" w:type="dxa"/>
          </w:tcPr>
          <w:p w14:paraId="1A5FAF2D"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£0.08 m</w:t>
            </w:r>
          </w:p>
        </w:tc>
        <w:tc>
          <w:tcPr>
            <w:tcW w:w="1843" w:type="dxa"/>
          </w:tcPr>
          <w:p w14:paraId="63D019BA"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£0.24 m</w:t>
            </w:r>
          </w:p>
        </w:tc>
        <w:tc>
          <w:tcPr>
            <w:tcW w:w="1562" w:type="dxa"/>
          </w:tcPr>
          <w:p w14:paraId="4177E03E"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£0.38 m</w:t>
            </w:r>
          </w:p>
        </w:tc>
      </w:tr>
    </w:tbl>
    <w:p w14:paraId="4316944B" w14:textId="77777777" w:rsidR="00D95EC3" w:rsidRPr="00D95EC3" w:rsidRDefault="00D95EC3" w:rsidP="00D95EC3">
      <w:pPr>
        <w:spacing w:after="120"/>
        <w:ind w:left="284" w:hanging="284"/>
        <w:rPr>
          <w:rFonts w:cs="Arial"/>
          <w:bCs/>
          <w:color w:val="000000"/>
          <w:sz w:val="22"/>
          <w:szCs w:val="22"/>
          <w:lang w:eastAsia="en-GB"/>
        </w:rPr>
      </w:pPr>
    </w:p>
    <w:p w14:paraId="5443DBE9" w14:textId="77777777"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Assumptions:</w:t>
      </w:r>
    </w:p>
    <w:p w14:paraId="4A584B3E" w14:textId="15F5AC63" w:rsidR="00D95EC3" w:rsidRPr="00D95EC3" w:rsidRDefault="00D95EC3" w:rsidP="00A92BFF">
      <w:pPr>
        <w:numPr>
          <w:ilvl w:val="0"/>
          <w:numId w:val="13"/>
        </w:numPr>
        <w:spacing w:after="120"/>
        <w:rPr>
          <w:rFonts w:cs="Arial"/>
          <w:bCs/>
          <w:color w:val="000000"/>
          <w:sz w:val="22"/>
          <w:szCs w:val="22"/>
          <w:lang w:eastAsia="en-GB"/>
        </w:rPr>
      </w:pPr>
      <w:r w:rsidRPr="00D95EC3">
        <w:rPr>
          <w:rFonts w:cs="Arial"/>
          <w:bCs/>
          <w:color w:val="000000"/>
          <w:sz w:val="22"/>
          <w:szCs w:val="22"/>
          <w:lang w:eastAsia="en-GB"/>
        </w:rPr>
        <w:t>+/- 5 percent around the average annual number of judicial reviews</w:t>
      </w:r>
      <w:r w:rsidR="00240CF3">
        <w:rPr>
          <w:rFonts w:cs="Arial"/>
          <w:bCs/>
          <w:color w:val="000000"/>
          <w:sz w:val="22"/>
          <w:szCs w:val="22"/>
          <w:lang w:eastAsia="en-GB"/>
        </w:rPr>
        <w:t xml:space="preserve"> over the most recent three year period.</w:t>
      </w:r>
    </w:p>
    <w:p w14:paraId="384B5BF2" w14:textId="1D9D3AC3" w:rsidR="00D95EC3" w:rsidRPr="00D95EC3" w:rsidRDefault="0062551D" w:rsidP="00A92BFF">
      <w:pPr>
        <w:numPr>
          <w:ilvl w:val="0"/>
          <w:numId w:val="13"/>
        </w:numPr>
        <w:spacing w:after="120"/>
        <w:rPr>
          <w:rFonts w:cs="Arial"/>
          <w:bCs/>
          <w:color w:val="000000"/>
          <w:sz w:val="22"/>
          <w:szCs w:val="22"/>
          <w:lang w:eastAsia="en-GB"/>
        </w:rPr>
      </w:pPr>
      <w:r>
        <w:rPr>
          <w:rFonts w:cs="Arial"/>
          <w:bCs/>
          <w:color w:val="000000"/>
          <w:sz w:val="22"/>
          <w:szCs w:val="22"/>
          <w:lang w:eastAsia="en-GB"/>
        </w:rPr>
        <w:lastRenderedPageBreak/>
        <w:t>80</w:t>
      </w:r>
      <w:r w:rsidR="00D95EC3" w:rsidRPr="00D95EC3">
        <w:rPr>
          <w:rFonts w:cs="Arial"/>
          <w:bCs/>
          <w:color w:val="000000"/>
          <w:sz w:val="22"/>
          <w:szCs w:val="22"/>
          <w:lang w:eastAsia="en-GB"/>
        </w:rPr>
        <w:t xml:space="preserve">% [best estimate] of judicial reviews determined at </w:t>
      </w:r>
      <w:r w:rsidR="00C718F2">
        <w:rPr>
          <w:rFonts w:cs="Arial"/>
          <w:bCs/>
          <w:color w:val="000000"/>
          <w:sz w:val="22"/>
          <w:szCs w:val="22"/>
          <w:lang w:eastAsia="en-GB"/>
        </w:rPr>
        <w:t>the permission stage</w:t>
      </w:r>
      <w:r w:rsidR="00C718F2">
        <w:rPr>
          <w:rStyle w:val="FootnoteReference"/>
          <w:rFonts w:cs="Arial"/>
          <w:bCs/>
          <w:color w:val="000000"/>
          <w:szCs w:val="22"/>
          <w:lang w:eastAsia="en-GB"/>
        </w:rPr>
        <w:footnoteReference w:id="26"/>
      </w:r>
      <w:r w:rsidR="00D95EC3" w:rsidRPr="00D95EC3">
        <w:rPr>
          <w:rFonts w:cs="Arial"/>
          <w:bCs/>
          <w:color w:val="000000"/>
          <w:sz w:val="22"/>
          <w:szCs w:val="22"/>
          <w:lang w:eastAsia="en-GB"/>
        </w:rPr>
        <w:t>,  +/- 5% high/low estimates</w:t>
      </w:r>
    </w:p>
    <w:p w14:paraId="3E132543" w14:textId="77777777" w:rsidR="00D95EC3" w:rsidRPr="00D95EC3" w:rsidRDefault="00D95EC3" w:rsidP="00A92BFF">
      <w:pPr>
        <w:numPr>
          <w:ilvl w:val="0"/>
          <w:numId w:val="13"/>
        </w:numPr>
        <w:spacing w:after="120"/>
        <w:rPr>
          <w:rFonts w:cs="Arial"/>
          <w:bCs/>
          <w:color w:val="000000"/>
          <w:sz w:val="22"/>
          <w:szCs w:val="22"/>
          <w:lang w:eastAsia="en-GB"/>
        </w:rPr>
      </w:pPr>
      <w:r w:rsidRPr="00D95EC3">
        <w:rPr>
          <w:rFonts w:cs="Arial"/>
          <w:bCs/>
          <w:color w:val="000000"/>
          <w:sz w:val="22"/>
          <w:szCs w:val="22"/>
          <w:lang w:eastAsia="en-GB"/>
        </w:rPr>
        <w:t>The scope of reduction in appeals is limited to determined human rights cases</w:t>
      </w:r>
    </w:p>
    <w:p w14:paraId="7F8946B7" w14:textId="77777777" w:rsidR="00D95EC3" w:rsidRPr="00D95EC3" w:rsidRDefault="00D95EC3" w:rsidP="00D95EC3">
      <w:pPr>
        <w:spacing w:after="120"/>
        <w:ind w:left="284"/>
        <w:rPr>
          <w:rFonts w:cs="Arial"/>
          <w:bCs/>
          <w:color w:val="000000"/>
          <w:sz w:val="22"/>
          <w:szCs w:val="22"/>
          <w:lang w:eastAsia="en-GB"/>
        </w:rPr>
      </w:pPr>
    </w:p>
    <w:p w14:paraId="506AD058" w14:textId="0FB7D79C"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Estimated annual savings = £</w:t>
      </w:r>
      <w:r w:rsidR="00DE39E2">
        <w:rPr>
          <w:rFonts w:cs="Arial"/>
          <w:bCs/>
          <w:color w:val="000000"/>
          <w:sz w:val="22"/>
          <w:szCs w:val="22"/>
          <w:lang w:eastAsia="en-GB"/>
        </w:rPr>
        <w:t>0.24 million</w:t>
      </w:r>
      <w:r w:rsidRPr="00D95EC3">
        <w:rPr>
          <w:rFonts w:cs="Arial"/>
          <w:bCs/>
          <w:color w:val="000000"/>
          <w:sz w:val="22"/>
          <w:szCs w:val="22"/>
          <w:lang w:eastAsia="en-GB"/>
        </w:rPr>
        <w:t xml:space="preserve"> [best estimate]</w:t>
      </w:r>
    </w:p>
    <w:p w14:paraId="2CC78F2B" w14:textId="5264458D" w:rsid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Present value over 10 years = £</w:t>
      </w:r>
      <w:r w:rsidR="003063F6">
        <w:rPr>
          <w:rFonts w:cs="Arial"/>
          <w:bCs/>
          <w:color w:val="000000"/>
          <w:sz w:val="22"/>
          <w:szCs w:val="22"/>
          <w:lang w:eastAsia="en-GB"/>
        </w:rPr>
        <w:t>1.96 million</w:t>
      </w:r>
      <w:r w:rsidRPr="00D95EC3">
        <w:rPr>
          <w:rFonts w:cs="Arial"/>
          <w:bCs/>
          <w:color w:val="000000"/>
          <w:sz w:val="22"/>
          <w:szCs w:val="22"/>
          <w:lang w:eastAsia="en-GB"/>
        </w:rPr>
        <w:t xml:space="preserve"> [best estimate]</w:t>
      </w:r>
    </w:p>
    <w:p w14:paraId="6BCD1B92" w14:textId="7A09A73E" w:rsidR="005E51F1" w:rsidRDefault="00B55123" w:rsidP="00D95EC3">
      <w:pPr>
        <w:spacing w:after="120"/>
        <w:ind w:left="284"/>
        <w:rPr>
          <w:rFonts w:cs="Arial"/>
          <w:bCs/>
          <w:color w:val="000000"/>
          <w:sz w:val="22"/>
          <w:szCs w:val="22"/>
          <w:lang w:eastAsia="en-GB"/>
        </w:rPr>
      </w:pPr>
      <w:r>
        <w:rPr>
          <w:rFonts w:cs="Arial"/>
          <w:bCs/>
          <w:color w:val="000000"/>
          <w:sz w:val="22"/>
          <w:szCs w:val="22"/>
          <w:lang w:eastAsia="en-GB"/>
        </w:rPr>
        <w:t>We seek evidence from practitioners /other consultees on cost savings for applicants.</w:t>
      </w:r>
    </w:p>
    <w:p w14:paraId="0A0DE2EE" w14:textId="77777777" w:rsidR="00B55123" w:rsidRPr="00D95EC3" w:rsidRDefault="00B55123" w:rsidP="00D95EC3">
      <w:pPr>
        <w:spacing w:after="120"/>
        <w:ind w:left="284"/>
        <w:rPr>
          <w:rFonts w:cs="Arial"/>
          <w:bCs/>
          <w:color w:val="000000"/>
          <w:sz w:val="22"/>
          <w:szCs w:val="22"/>
          <w:lang w:eastAsia="en-GB"/>
        </w:rPr>
      </w:pPr>
    </w:p>
    <w:p w14:paraId="7ECC3E3B" w14:textId="6BA9CF7C" w:rsidR="00D95EC3" w:rsidRPr="006300EE" w:rsidRDefault="006300EE" w:rsidP="006300EE">
      <w:pPr>
        <w:spacing w:after="120"/>
        <w:rPr>
          <w:rFonts w:cs="Arial"/>
          <w:bCs/>
          <w:color w:val="000000"/>
          <w:sz w:val="22"/>
          <w:szCs w:val="22"/>
          <w:u w:val="single"/>
          <w:lang w:eastAsia="en-GB"/>
        </w:rPr>
      </w:pPr>
      <w:r w:rsidRPr="006300EE">
        <w:rPr>
          <w:rFonts w:cs="Arial"/>
          <w:bCs/>
          <w:color w:val="000000"/>
          <w:sz w:val="22"/>
          <w:szCs w:val="22"/>
          <w:lang w:eastAsia="en-GB"/>
        </w:rPr>
        <w:t xml:space="preserve">2.  </w:t>
      </w:r>
      <w:r w:rsidR="00D95EC3" w:rsidRPr="006300EE">
        <w:rPr>
          <w:rFonts w:cs="Arial"/>
          <w:bCs/>
          <w:color w:val="000000"/>
          <w:sz w:val="22"/>
          <w:szCs w:val="22"/>
          <w:u w:val="single"/>
          <w:lang w:eastAsia="en-GB"/>
        </w:rPr>
        <w:t>Reduction in number of appeals to First Tier and Upper Tribunals</w:t>
      </w:r>
    </w:p>
    <w:p w14:paraId="7C7C66EC" w14:textId="5054D06B"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As noted above, since the Immigration Act 2014, rights of appeal have been limited to refugee, humanitarian protection and human rights claims. Nonetheless, option 1 would include a comprehensive redraft of the various parts of the Rules which govern family member applications.</w:t>
      </w:r>
      <w:r w:rsidRPr="00D95EC3">
        <w:rPr>
          <w:rFonts w:cs="Arial"/>
          <w:bCs/>
          <w:color w:val="000000"/>
          <w:sz w:val="22"/>
          <w:szCs w:val="22"/>
          <w:vertAlign w:val="superscript"/>
          <w:lang w:eastAsia="en-GB"/>
        </w:rPr>
        <w:footnoteReference w:id="27"/>
      </w:r>
      <w:r w:rsidRPr="00D95EC3">
        <w:rPr>
          <w:rFonts w:cs="Arial"/>
          <w:bCs/>
          <w:color w:val="000000"/>
          <w:sz w:val="22"/>
          <w:szCs w:val="22"/>
          <w:lang w:eastAsia="en-GB"/>
        </w:rPr>
        <w:t xml:space="preserve"> This would clarify family member applications. Clearer family member Rules could reduce appeals, either through applicants supplying the correct evidence or through Home Office decision-makers applying the correct provisions in the Rules. </w:t>
      </w:r>
    </w:p>
    <w:p w14:paraId="4B8577ED" w14:textId="7ED678DC"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Option 2 propose</w:t>
      </w:r>
      <w:r w:rsidR="00791ABE">
        <w:rPr>
          <w:rFonts w:cs="Arial"/>
          <w:bCs/>
          <w:color w:val="000000"/>
          <w:sz w:val="22"/>
          <w:szCs w:val="22"/>
          <w:lang w:eastAsia="en-GB"/>
        </w:rPr>
        <w:t>s</w:t>
      </w:r>
      <w:r w:rsidRPr="00D95EC3">
        <w:rPr>
          <w:rFonts w:cs="Arial"/>
          <w:bCs/>
          <w:color w:val="000000"/>
          <w:sz w:val="22"/>
          <w:szCs w:val="22"/>
          <w:lang w:eastAsia="en-GB"/>
        </w:rPr>
        <w:t xml:space="preserve"> a more limited restructuring of the Rules. Hence, we expect our comprehensive reforms to deliver a greater reduction in appeals.</w:t>
      </w:r>
    </w:p>
    <w:p w14:paraId="5A56933E" w14:textId="77777777" w:rsidR="00D95EC3" w:rsidRPr="00D95EC3" w:rsidRDefault="00D95EC3" w:rsidP="00D95EC3">
      <w:pPr>
        <w:spacing w:after="120"/>
        <w:rPr>
          <w:rFonts w:cs="Arial"/>
          <w:bCs/>
          <w:color w:val="000000"/>
          <w:sz w:val="22"/>
          <w:szCs w:val="22"/>
          <w:lang w:eastAsia="en-GB"/>
        </w:rPr>
      </w:pPr>
    </w:p>
    <w:p w14:paraId="465B8AB0" w14:textId="77777777" w:rsidR="00D95EC3" w:rsidRPr="00D95EC3" w:rsidRDefault="00D95EC3" w:rsidP="00D95EC3">
      <w:pPr>
        <w:spacing w:after="120"/>
        <w:ind w:left="568" w:hanging="284"/>
        <w:rPr>
          <w:rFonts w:cs="Arial"/>
          <w:bCs/>
          <w:color w:val="000000"/>
          <w:sz w:val="22"/>
          <w:szCs w:val="22"/>
          <w:lang w:eastAsia="en-GB"/>
        </w:rPr>
      </w:pPr>
      <w:r w:rsidRPr="00D95EC3">
        <w:rPr>
          <w:rFonts w:cs="Arial"/>
          <w:bCs/>
          <w:color w:val="000000"/>
          <w:sz w:val="22"/>
          <w:szCs w:val="22"/>
          <w:u w:val="single"/>
          <w:lang w:eastAsia="en-GB"/>
        </w:rPr>
        <w:t>Table 5: Savings from the reduction in Appeals in the IAC First Tier and Upper Tribunals</w:t>
      </w:r>
    </w:p>
    <w:p w14:paraId="40E4619F" w14:textId="77777777" w:rsidR="00D95EC3" w:rsidRPr="00D95EC3" w:rsidRDefault="00D95EC3" w:rsidP="00D95EC3">
      <w:pPr>
        <w:spacing w:after="120"/>
        <w:ind w:left="284" w:hanging="284"/>
        <w:rPr>
          <w:rFonts w:cs="Arial"/>
          <w:bCs/>
          <w:color w:val="000000"/>
          <w:sz w:val="22"/>
          <w:szCs w:val="22"/>
          <w:lang w:eastAsia="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59"/>
        <w:gridCol w:w="1701"/>
        <w:gridCol w:w="1843"/>
      </w:tblGrid>
      <w:tr w:rsidR="00D95EC3" w:rsidRPr="00D95EC3" w14:paraId="1B957304" w14:textId="77777777" w:rsidTr="00D95EC3">
        <w:tc>
          <w:tcPr>
            <w:tcW w:w="2830" w:type="dxa"/>
          </w:tcPr>
          <w:p w14:paraId="1481E8E1" w14:textId="77777777" w:rsidR="00D95EC3" w:rsidRPr="00D95EC3" w:rsidRDefault="00D95EC3" w:rsidP="00D95EC3">
            <w:pPr>
              <w:spacing w:after="120"/>
              <w:rPr>
                <w:rFonts w:cs="Arial"/>
                <w:bCs/>
                <w:color w:val="000000"/>
                <w:sz w:val="22"/>
                <w:szCs w:val="22"/>
                <w:lang w:eastAsia="en-GB"/>
              </w:rPr>
            </w:pPr>
          </w:p>
        </w:tc>
        <w:tc>
          <w:tcPr>
            <w:tcW w:w="1559" w:type="dxa"/>
          </w:tcPr>
          <w:p w14:paraId="56CFCA97"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Low estimate</w:t>
            </w:r>
          </w:p>
        </w:tc>
        <w:tc>
          <w:tcPr>
            <w:tcW w:w="1701" w:type="dxa"/>
          </w:tcPr>
          <w:p w14:paraId="7C9BEE4D"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Best estimate</w:t>
            </w:r>
          </w:p>
        </w:tc>
        <w:tc>
          <w:tcPr>
            <w:tcW w:w="1843" w:type="dxa"/>
          </w:tcPr>
          <w:p w14:paraId="0511EBF3"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High estimate</w:t>
            </w:r>
          </w:p>
        </w:tc>
      </w:tr>
      <w:tr w:rsidR="00D95EC3" w:rsidRPr="00D95EC3" w14:paraId="369E35D8" w14:textId="77777777" w:rsidTr="00D95EC3">
        <w:tc>
          <w:tcPr>
            <w:tcW w:w="2830" w:type="dxa"/>
          </w:tcPr>
          <w:p w14:paraId="4F6A1A99"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Number of FT IAC appeals</w:t>
            </w:r>
          </w:p>
        </w:tc>
        <w:tc>
          <w:tcPr>
            <w:tcW w:w="1559" w:type="dxa"/>
          </w:tcPr>
          <w:p w14:paraId="348B37A0"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21,648</w:t>
            </w:r>
          </w:p>
        </w:tc>
        <w:tc>
          <w:tcPr>
            <w:tcW w:w="1701" w:type="dxa"/>
          </w:tcPr>
          <w:p w14:paraId="5BE1B902"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22,787</w:t>
            </w:r>
          </w:p>
        </w:tc>
        <w:tc>
          <w:tcPr>
            <w:tcW w:w="1843" w:type="dxa"/>
          </w:tcPr>
          <w:p w14:paraId="7D83714B"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25,066</w:t>
            </w:r>
          </w:p>
        </w:tc>
      </w:tr>
      <w:tr w:rsidR="00D95EC3" w:rsidRPr="00D95EC3" w14:paraId="107049FC" w14:textId="77777777" w:rsidTr="00D95EC3">
        <w:tc>
          <w:tcPr>
            <w:tcW w:w="2830" w:type="dxa"/>
          </w:tcPr>
          <w:p w14:paraId="6E847303"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Average cost of FT IAC appeals</w:t>
            </w:r>
            <w:r w:rsidRPr="00D95EC3">
              <w:rPr>
                <w:rFonts w:cs="Arial"/>
                <w:bCs/>
                <w:color w:val="000000"/>
                <w:sz w:val="22"/>
                <w:szCs w:val="22"/>
                <w:vertAlign w:val="superscript"/>
                <w:lang w:eastAsia="en-GB"/>
              </w:rPr>
              <w:footnoteReference w:id="28"/>
            </w:r>
          </w:p>
        </w:tc>
        <w:tc>
          <w:tcPr>
            <w:tcW w:w="1559" w:type="dxa"/>
          </w:tcPr>
          <w:p w14:paraId="6A3D283B"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£1,000</w:t>
            </w:r>
          </w:p>
        </w:tc>
        <w:tc>
          <w:tcPr>
            <w:tcW w:w="1701" w:type="dxa"/>
          </w:tcPr>
          <w:p w14:paraId="473D603C"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£1,000</w:t>
            </w:r>
          </w:p>
        </w:tc>
        <w:tc>
          <w:tcPr>
            <w:tcW w:w="1843" w:type="dxa"/>
          </w:tcPr>
          <w:p w14:paraId="18A1C0DB"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£1,000</w:t>
            </w:r>
          </w:p>
        </w:tc>
      </w:tr>
      <w:tr w:rsidR="00D95EC3" w:rsidRPr="00D95EC3" w14:paraId="6779BA29" w14:textId="77777777" w:rsidTr="00D95EC3">
        <w:tc>
          <w:tcPr>
            <w:tcW w:w="2830" w:type="dxa"/>
          </w:tcPr>
          <w:p w14:paraId="3ED2F368"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Percentage reduction in FT IAC appeals</w:t>
            </w:r>
          </w:p>
        </w:tc>
        <w:tc>
          <w:tcPr>
            <w:tcW w:w="1559" w:type="dxa"/>
          </w:tcPr>
          <w:p w14:paraId="3DD0B2B9"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2%</w:t>
            </w:r>
          </w:p>
        </w:tc>
        <w:tc>
          <w:tcPr>
            <w:tcW w:w="1701" w:type="dxa"/>
          </w:tcPr>
          <w:p w14:paraId="0A654A29"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5%</w:t>
            </w:r>
          </w:p>
        </w:tc>
        <w:tc>
          <w:tcPr>
            <w:tcW w:w="1843" w:type="dxa"/>
          </w:tcPr>
          <w:p w14:paraId="6ADAD066"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10%</w:t>
            </w:r>
          </w:p>
        </w:tc>
      </w:tr>
      <w:tr w:rsidR="00D95EC3" w:rsidRPr="00D95EC3" w14:paraId="33CC18EF" w14:textId="77777777" w:rsidTr="00D95EC3">
        <w:tc>
          <w:tcPr>
            <w:tcW w:w="2830" w:type="dxa"/>
          </w:tcPr>
          <w:p w14:paraId="43E7A052"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Annual savings in FT IAC</w:t>
            </w:r>
            <w:r w:rsidRPr="00D95EC3">
              <w:rPr>
                <w:rFonts w:cs="Arial"/>
                <w:bCs/>
                <w:color w:val="000000"/>
                <w:sz w:val="22"/>
                <w:szCs w:val="22"/>
                <w:vertAlign w:val="superscript"/>
                <w:lang w:eastAsia="en-GB"/>
              </w:rPr>
              <w:footnoteReference w:id="29"/>
            </w:r>
          </w:p>
        </w:tc>
        <w:tc>
          <w:tcPr>
            <w:tcW w:w="1559" w:type="dxa"/>
          </w:tcPr>
          <w:p w14:paraId="27FE3312" w14:textId="77777777" w:rsidR="00D95EC3" w:rsidRPr="00D95EC3" w:rsidRDefault="00D95EC3" w:rsidP="00D95EC3">
            <w:pPr>
              <w:spacing w:after="120"/>
              <w:rPr>
                <w:rFonts w:cs="Arial"/>
                <w:bCs/>
                <w:color w:val="000000"/>
                <w:sz w:val="22"/>
                <w:szCs w:val="22"/>
                <w:highlight w:val="yellow"/>
                <w:lang w:eastAsia="en-GB"/>
              </w:rPr>
            </w:pPr>
            <w:r w:rsidRPr="00D95EC3">
              <w:rPr>
                <w:rFonts w:cs="Arial"/>
                <w:bCs/>
                <w:color w:val="000000"/>
                <w:sz w:val="22"/>
                <w:szCs w:val="22"/>
                <w:lang w:eastAsia="en-GB"/>
              </w:rPr>
              <w:t>£0.73 m</w:t>
            </w:r>
          </w:p>
        </w:tc>
        <w:tc>
          <w:tcPr>
            <w:tcW w:w="1701" w:type="dxa"/>
          </w:tcPr>
          <w:p w14:paraId="5DFA05BD"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£1.13 m</w:t>
            </w:r>
          </w:p>
        </w:tc>
        <w:tc>
          <w:tcPr>
            <w:tcW w:w="1843" w:type="dxa"/>
          </w:tcPr>
          <w:p w14:paraId="5BBB1972"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£2.49 m</w:t>
            </w:r>
          </w:p>
        </w:tc>
      </w:tr>
      <w:tr w:rsidR="00D95EC3" w:rsidRPr="00D95EC3" w14:paraId="17C9C35C" w14:textId="77777777" w:rsidTr="00D95EC3">
        <w:tc>
          <w:tcPr>
            <w:tcW w:w="2830" w:type="dxa"/>
          </w:tcPr>
          <w:p w14:paraId="37E55F98"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Number of UT IAC appeals</w:t>
            </w:r>
          </w:p>
        </w:tc>
        <w:tc>
          <w:tcPr>
            <w:tcW w:w="1559" w:type="dxa"/>
          </w:tcPr>
          <w:p w14:paraId="75910ABB" w14:textId="77777777" w:rsidR="00D95EC3" w:rsidRPr="00D95EC3" w:rsidRDefault="00D95EC3" w:rsidP="00D95EC3">
            <w:pPr>
              <w:spacing w:after="120"/>
              <w:rPr>
                <w:rFonts w:cs="Arial"/>
                <w:bCs/>
                <w:color w:val="000000"/>
                <w:sz w:val="22"/>
                <w:szCs w:val="22"/>
                <w:highlight w:val="yellow"/>
                <w:lang w:eastAsia="en-GB"/>
              </w:rPr>
            </w:pPr>
            <w:r w:rsidRPr="00D95EC3">
              <w:rPr>
                <w:rFonts w:cs="Arial"/>
                <w:bCs/>
                <w:color w:val="000000"/>
                <w:sz w:val="22"/>
                <w:szCs w:val="22"/>
                <w:lang w:eastAsia="en-GB"/>
              </w:rPr>
              <w:t>1,082</w:t>
            </w:r>
          </w:p>
        </w:tc>
        <w:tc>
          <w:tcPr>
            <w:tcW w:w="1701" w:type="dxa"/>
          </w:tcPr>
          <w:p w14:paraId="585590D5"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1,139</w:t>
            </w:r>
          </w:p>
        </w:tc>
        <w:tc>
          <w:tcPr>
            <w:tcW w:w="1843" w:type="dxa"/>
          </w:tcPr>
          <w:p w14:paraId="65A2209B"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1,253</w:t>
            </w:r>
          </w:p>
        </w:tc>
      </w:tr>
      <w:tr w:rsidR="00D95EC3" w:rsidRPr="00D95EC3" w14:paraId="044EB232" w14:textId="77777777" w:rsidTr="00D95EC3">
        <w:tc>
          <w:tcPr>
            <w:tcW w:w="2830" w:type="dxa"/>
          </w:tcPr>
          <w:p w14:paraId="32586D39"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Average cost of UT IAC appeals</w:t>
            </w:r>
          </w:p>
        </w:tc>
        <w:tc>
          <w:tcPr>
            <w:tcW w:w="1559" w:type="dxa"/>
          </w:tcPr>
          <w:p w14:paraId="05630485" w14:textId="77777777" w:rsidR="00D95EC3" w:rsidRPr="00D95EC3" w:rsidRDefault="00D95EC3" w:rsidP="00D95EC3">
            <w:pPr>
              <w:spacing w:after="120"/>
              <w:rPr>
                <w:rFonts w:cs="Arial"/>
                <w:bCs/>
                <w:color w:val="000000"/>
                <w:sz w:val="22"/>
                <w:szCs w:val="22"/>
                <w:highlight w:val="yellow"/>
                <w:lang w:eastAsia="en-GB"/>
              </w:rPr>
            </w:pPr>
            <w:r w:rsidRPr="00D95EC3">
              <w:rPr>
                <w:rFonts w:cs="Arial"/>
                <w:bCs/>
                <w:color w:val="000000"/>
                <w:sz w:val="22"/>
                <w:szCs w:val="22"/>
                <w:lang w:eastAsia="en-GB"/>
              </w:rPr>
              <w:t>£1,350</w:t>
            </w:r>
          </w:p>
        </w:tc>
        <w:tc>
          <w:tcPr>
            <w:tcW w:w="1701" w:type="dxa"/>
          </w:tcPr>
          <w:p w14:paraId="42B10981"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£1,350</w:t>
            </w:r>
          </w:p>
        </w:tc>
        <w:tc>
          <w:tcPr>
            <w:tcW w:w="1843" w:type="dxa"/>
          </w:tcPr>
          <w:p w14:paraId="1CC673A1"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£1,350</w:t>
            </w:r>
          </w:p>
        </w:tc>
      </w:tr>
      <w:tr w:rsidR="00D95EC3" w:rsidRPr="00D95EC3" w14:paraId="4AA5D4AB" w14:textId="77777777" w:rsidTr="00D95EC3">
        <w:tc>
          <w:tcPr>
            <w:tcW w:w="2830" w:type="dxa"/>
          </w:tcPr>
          <w:p w14:paraId="5A16DF4F"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Percentage reduction in appeals</w:t>
            </w:r>
            <w:r w:rsidRPr="00D95EC3">
              <w:rPr>
                <w:rFonts w:cs="Arial"/>
                <w:bCs/>
                <w:color w:val="000000"/>
                <w:sz w:val="22"/>
                <w:szCs w:val="22"/>
                <w:vertAlign w:val="superscript"/>
                <w:lang w:eastAsia="en-GB"/>
              </w:rPr>
              <w:footnoteReference w:id="30"/>
            </w:r>
          </w:p>
        </w:tc>
        <w:tc>
          <w:tcPr>
            <w:tcW w:w="1559" w:type="dxa"/>
          </w:tcPr>
          <w:p w14:paraId="3A81CDEA" w14:textId="77777777" w:rsidR="00D95EC3" w:rsidRPr="00D95EC3" w:rsidRDefault="00D95EC3" w:rsidP="00D95EC3">
            <w:pPr>
              <w:spacing w:after="120"/>
              <w:rPr>
                <w:rFonts w:cs="Arial"/>
                <w:bCs/>
                <w:color w:val="000000"/>
                <w:sz w:val="22"/>
                <w:szCs w:val="22"/>
                <w:highlight w:val="yellow"/>
                <w:lang w:eastAsia="en-GB"/>
              </w:rPr>
            </w:pPr>
            <w:r w:rsidRPr="00D95EC3">
              <w:rPr>
                <w:rFonts w:cs="Arial"/>
                <w:bCs/>
                <w:color w:val="000000"/>
                <w:sz w:val="22"/>
                <w:szCs w:val="22"/>
                <w:lang w:eastAsia="en-GB"/>
              </w:rPr>
              <w:t>2%</w:t>
            </w:r>
          </w:p>
        </w:tc>
        <w:tc>
          <w:tcPr>
            <w:tcW w:w="1701" w:type="dxa"/>
          </w:tcPr>
          <w:p w14:paraId="20C55949"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5%</w:t>
            </w:r>
          </w:p>
        </w:tc>
        <w:tc>
          <w:tcPr>
            <w:tcW w:w="1843" w:type="dxa"/>
          </w:tcPr>
          <w:p w14:paraId="4DFEFFBD"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10%</w:t>
            </w:r>
          </w:p>
        </w:tc>
      </w:tr>
      <w:tr w:rsidR="00D95EC3" w:rsidRPr="00D95EC3" w14:paraId="49CF170C" w14:textId="77777777" w:rsidTr="00D95EC3">
        <w:tc>
          <w:tcPr>
            <w:tcW w:w="2830" w:type="dxa"/>
          </w:tcPr>
          <w:p w14:paraId="56DC8A3F"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Annual savings UT IAC</w:t>
            </w:r>
          </w:p>
        </w:tc>
        <w:tc>
          <w:tcPr>
            <w:tcW w:w="1559" w:type="dxa"/>
          </w:tcPr>
          <w:p w14:paraId="65B082D4"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£0.03 m</w:t>
            </w:r>
          </w:p>
        </w:tc>
        <w:tc>
          <w:tcPr>
            <w:tcW w:w="1701" w:type="dxa"/>
          </w:tcPr>
          <w:p w14:paraId="3F97E717"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£0.08 m</w:t>
            </w:r>
          </w:p>
        </w:tc>
        <w:tc>
          <w:tcPr>
            <w:tcW w:w="1843" w:type="dxa"/>
          </w:tcPr>
          <w:p w14:paraId="418942A9"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£0.17 m</w:t>
            </w:r>
          </w:p>
        </w:tc>
      </w:tr>
      <w:tr w:rsidR="00D95EC3" w:rsidRPr="00D95EC3" w14:paraId="2372E3D6" w14:textId="77777777" w:rsidTr="00D95EC3">
        <w:tc>
          <w:tcPr>
            <w:tcW w:w="2830" w:type="dxa"/>
          </w:tcPr>
          <w:p w14:paraId="28B41668"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Total savings in appeals</w:t>
            </w:r>
          </w:p>
        </w:tc>
        <w:tc>
          <w:tcPr>
            <w:tcW w:w="1559" w:type="dxa"/>
          </w:tcPr>
          <w:p w14:paraId="1FCC4E9A"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£0.75 m</w:t>
            </w:r>
          </w:p>
        </w:tc>
        <w:tc>
          <w:tcPr>
            <w:tcW w:w="1701" w:type="dxa"/>
          </w:tcPr>
          <w:p w14:paraId="7BF033F9"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£1.21 m</w:t>
            </w:r>
          </w:p>
        </w:tc>
        <w:tc>
          <w:tcPr>
            <w:tcW w:w="1843" w:type="dxa"/>
          </w:tcPr>
          <w:p w14:paraId="4906C2FB"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£2.66 m</w:t>
            </w:r>
          </w:p>
        </w:tc>
      </w:tr>
    </w:tbl>
    <w:p w14:paraId="099B5B9E" w14:textId="77777777" w:rsidR="00D95EC3" w:rsidRPr="00D95EC3" w:rsidRDefault="00D95EC3" w:rsidP="00D95EC3">
      <w:pPr>
        <w:spacing w:after="120"/>
        <w:ind w:left="284" w:hanging="284"/>
        <w:rPr>
          <w:rFonts w:cs="Arial"/>
          <w:bCs/>
          <w:color w:val="000000"/>
          <w:sz w:val="22"/>
          <w:szCs w:val="22"/>
          <w:lang w:eastAsia="en-GB"/>
        </w:rPr>
      </w:pPr>
    </w:p>
    <w:p w14:paraId="28166BD4" w14:textId="77777777"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Assumptions:</w:t>
      </w:r>
    </w:p>
    <w:p w14:paraId="7F337D07" w14:textId="3262B621" w:rsidR="00D95EC3" w:rsidRPr="00D95EC3" w:rsidRDefault="00D95EC3" w:rsidP="00A92BFF">
      <w:pPr>
        <w:numPr>
          <w:ilvl w:val="0"/>
          <w:numId w:val="13"/>
        </w:numPr>
        <w:spacing w:after="120"/>
        <w:rPr>
          <w:rFonts w:cs="Arial"/>
          <w:bCs/>
          <w:color w:val="000000"/>
          <w:sz w:val="22"/>
          <w:szCs w:val="22"/>
          <w:lang w:eastAsia="en-GB"/>
        </w:rPr>
      </w:pPr>
      <w:r w:rsidRPr="00D95EC3">
        <w:rPr>
          <w:rFonts w:cs="Arial"/>
          <w:bCs/>
          <w:color w:val="000000"/>
          <w:sz w:val="22"/>
          <w:szCs w:val="22"/>
          <w:lang w:eastAsia="en-GB"/>
        </w:rPr>
        <w:lastRenderedPageBreak/>
        <w:t>+/- 5 percent around 2017/18 annual number of appeals [best estimate]</w:t>
      </w:r>
      <w:r w:rsidR="00240CF3">
        <w:rPr>
          <w:rFonts w:cs="Arial"/>
          <w:bCs/>
          <w:color w:val="000000"/>
          <w:sz w:val="22"/>
          <w:szCs w:val="22"/>
          <w:lang w:eastAsia="en-GB"/>
        </w:rPr>
        <w:t>. The most recent annual data is relied upon because significant growth since 2014 means the average underestimates future trends.</w:t>
      </w:r>
    </w:p>
    <w:p w14:paraId="75506DA6" w14:textId="77777777" w:rsidR="00D95EC3" w:rsidRPr="00D95EC3" w:rsidRDefault="00D95EC3" w:rsidP="00A92BFF">
      <w:pPr>
        <w:numPr>
          <w:ilvl w:val="0"/>
          <w:numId w:val="13"/>
        </w:numPr>
        <w:spacing w:after="120"/>
        <w:rPr>
          <w:rFonts w:cs="Arial"/>
          <w:bCs/>
          <w:color w:val="000000"/>
          <w:sz w:val="22"/>
          <w:szCs w:val="22"/>
          <w:lang w:eastAsia="en-GB"/>
        </w:rPr>
      </w:pPr>
      <w:r w:rsidRPr="00D95EC3">
        <w:rPr>
          <w:rFonts w:cs="Arial"/>
          <w:bCs/>
          <w:color w:val="000000"/>
          <w:sz w:val="22"/>
          <w:szCs w:val="22"/>
          <w:lang w:eastAsia="en-GB"/>
        </w:rPr>
        <w:t>Percentage reductions, 2 – 10%, 5% is the best estimate</w:t>
      </w:r>
    </w:p>
    <w:p w14:paraId="298B801A" w14:textId="77777777" w:rsidR="00D95EC3" w:rsidRPr="00D95EC3" w:rsidRDefault="00D95EC3" w:rsidP="00A92BFF">
      <w:pPr>
        <w:numPr>
          <w:ilvl w:val="0"/>
          <w:numId w:val="13"/>
        </w:numPr>
        <w:spacing w:after="120"/>
        <w:rPr>
          <w:rFonts w:cs="Arial"/>
          <w:bCs/>
          <w:color w:val="000000"/>
          <w:sz w:val="22"/>
          <w:szCs w:val="22"/>
          <w:lang w:eastAsia="en-GB"/>
        </w:rPr>
      </w:pPr>
      <w:r w:rsidRPr="00D95EC3">
        <w:rPr>
          <w:rFonts w:cs="Arial"/>
          <w:bCs/>
          <w:color w:val="000000"/>
          <w:sz w:val="22"/>
          <w:szCs w:val="22"/>
          <w:lang w:eastAsia="en-GB"/>
        </w:rPr>
        <w:t xml:space="preserve">The scope of reduction is limited to the Human Rights category only. </w:t>
      </w:r>
    </w:p>
    <w:p w14:paraId="67BE3697" w14:textId="77777777" w:rsidR="00D95EC3" w:rsidRPr="00D95EC3" w:rsidRDefault="00D95EC3" w:rsidP="00D95EC3">
      <w:pPr>
        <w:spacing w:after="120"/>
        <w:ind w:left="284"/>
        <w:rPr>
          <w:rFonts w:cs="Arial"/>
          <w:bCs/>
          <w:color w:val="000000"/>
          <w:sz w:val="22"/>
          <w:szCs w:val="22"/>
          <w:lang w:eastAsia="en-GB"/>
        </w:rPr>
      </w:pPr>
    </w:p>
    <w:p w14:paraId="07413432" w14:textId="60CC8763"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 xml:space="preserve">Estimated annual savings = £1.21 </w:t>
      </w:r>
      <w:r w:rsidR="00123FE4" w:rsidRPr="00D95EC3">
        <w:rPr>
          <w:rFonts w:cs="Arial"/>
          <w:bCs/>
          <w:color w:val="000000"/>
          <w:sz w:val="22"/>
          <w:szCs w:val="22"/>
          <w:lang w:eastAsia="en-GB"/>
        </w:rPr>
        <w:t>m</w:t>
      </w:r>
      <w:r w:rsidR="00123FE4">
        <w:rPr>
          <w:rFonts w:cs="Arial"/>
          <w:bCs/>
          <w:color w:val="000000"/>
          <w:sz w:val="22"/>
          <w:szCs w:val="22"/>
          <w:lang w:eastAsia="en-GB"/>
        </w:rPr>
        <w:t xml:space="preserve">illion </w:t>
      </w:r>
      <w:r w:rsidRPr="00D95EC3">
        <w:rPr>
          <w:rFonts w:cs="Arial"/>
          <w:bCs/>
          <w:color w:val="000000"/>
          <w:sz w:val="22"/>
          <w:szCs w:val="22"/>
          <w:lang w:eastAsia="en-GB"/>
        </w:rPr>
        <w:t>[best estimate]</w:t>
      </w:r>
    </w:p>
    <w:p w14:paraId="6B7C26DF" w14:textId="5631CDFB"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Present value over 10 years = £</w:t>
      </w:r>
      <w:r w:rsidR="003063F6">
        <w:rPr>
          <w:rFonts w:cs="Arial"/>
          <w:bCs/>
          <w:color w:val="000000"/>
          <w:sz w:val="22"/>
          <w:szCs w:val="22"/>
          <w:lang w:eastAsia="en-GB"/>
        </w:rPr>
        <w:t>10.06</w:t>
      </w:r>
      <w:r w:rsidRPr="00D95EC3">
        <w:rPr>
          <w:rFonts w:cs="Arial"/>
          <w:bCs/>
          <w:color w:val="000000"/>
          <w:sz w:val="22"/>
          <w:szCs w:val="22"/>
          <w:lang w:eastAsia="en-GB"/>
        </w:rPr>
        <w:t xml:space="preserve"> million [best estimate]</w:t>
      </w:r>
    </w:p>
    <w:p w14:paraId="14EC2882" w14:textId="28645F43" w:rsidR="00D95EC3" w:rsidRDefault="00D95EC3" w:rsidP="00D95EC3">
      <w:pPr>
        <w:spacing w:after="120"/>
        <w:ind w:left="284" w:hanging="284"/>
        <w:rPr>
          <w:rFonts w:cs="Arial"/>
          <w:bCs/>
          <w:color w:val="000000"/>
          <w:sz w:val="22"/>
          <w:szCs w:val="22"/>
          <w:lang w:eastAsia="en-GB"/>
        </w:rPr>
      </w:pPr>
    </w:p>
    <w:p w14:paraId="2DA75FEA" w14:textId="048802BE" w:rsidR="00B55123" w:rsidRDefault="00B55123" w:rsidP="00D95EC3">
      <w:pPr>
        <w:spacing w:after="120"/>
        <w:ind w:left="284" w:hanging="284"/>
        <w:rPr>
          <w:rFonts w:cs="Arial"/>
          <w:bCs/>
          <w:color w:val="000000"/>
          <w:sz w:val="22"/>
          <w:szCs w:val="22"/>
          <w:lang w:eastAsia="en-GB"/>
        </w:rPr>
      </w:pPr>
      <w:r>
        <w:rPr>
          <w:rFonts w:cs="Arial"/>
          <w:bCs/>
          <w:color w:val="000000"/>
          <w:sz w:val="22"/>
          <w:szCs w:val="22"/>
          <w:lang w:eastAsia="en-GB"/>
        </w:rPr>
        <w:t>We seek evidence from practitioners/other consultees on cost savings for applicants.</w:t>
      </w:r>
    </w:p>
    <w:p w14:paraId="70DDF1BC" w14:textId="77777777" w:rsidR="00B55123" w:rsidRPr="00D95EC3" w:rsidRDefault="00B55123" w:rsidP="00D95EC3">
      <w:pPr>
        <w:spacing w:after="120"/>
        <w:ind w:left="284" w:hanging="284"/>
        <w:rPr>
          <w:rFonts w:cs="Arial"/>
          <w:bCs/>
          <w:color w:val="000000"/>
          <w:sz w:val="22"/>
          <w:szCs w:val="22"/>
          <w:lang w:eastAsia="en-GB"/>
        </w:rPr>
      </w:pPr>
    </w:p>
    <w:p w14:paraId="42DAC17E" w14:textId="697A0BB3" w:rsidR="00D95EC3" w:rsidRPr="00D95EC3" w:rsidRDefault="006300EE" w:rsidP="006300EE">
      <w:pPr>
        <w:spacing w:after="120"/>
        <w:rPr>
          <w:rFonts w:cs="Arial"/>
          <w:bCs/>
          <w:color w:val="000000"/>
          <w:sz w:val="22"/>
          <w:szCs w:val="22"/>
          <w:u w:val="single"/>
          <w:lang w:eastAsia="en-GB"/>
        </w:rPr>
      </w:pPr>
      <w:r w:rsidRPr="006300EE">
        <w:rPr>
          <w:rFonts w:cs="Arial"/>
          <w:bCs/>
          <w:color w:val="000000"/>
          <w:sz w:val="22"/>
          <w:szCs w:val="22"/>
          <w:lang w:eastAsia="en-GB"/>
        </w:rPr>
        <w:t xml:space="preserve">3.  </w:t>
      </w:r>
      <w:r w:rsidR="00D95EC3" w:rsidRPr="00D95EC3">
        <w:rPr>
          <w:rFonts w:cs="Arial"/>
          <w:bCs/>
          <w:color w:val="000000"/>
          <w:sz w:val="22"/>
          <w:szCs w:val="22"/>
          <w:u w:val="single"/>
          <w:lang w:eastAsia="en-GB"/>
        </w:rPr>
        <w:t>Reduction in number of administrative reviews</w:t>
      </w:r>
    </w:p>
    <w:p w14:paraId="309B9DE4" w14:textId="6AF669DE" w:rsidR="00B55123" w:rsidRDefault="00D95EC3" w:rsidP="00D95EC3">
      <w:pPr>
        <w:spacing w:after="120"/>
        <w:rPr>
          <w:rFonts w:cs="Arial"/>
          <w:bCs/>
          <w:color w:val="000000"/>
          <w:sz w:val="22"/>
          <w:szCs w:val="22"/>
          <w:lang w:eastAsia="en-GB"/>
        </w:rPr>
      </w:pPr>
      <w:r w:rsidRPr="00D95EC3">
        <w:rPr>
          <w:rFonts w:cs="Arial"/>
          <w:bCs/>
          <w:color w:val="000000"/>
          <w:sz w:val="22"/>
          <w:szCs w:val="22"/>
          <w:lang w:eastAsia="en-GB"/>
        </w:rPr>
        <w:t>We consider that clearer Rules could reduce the number of administrative review</w:t>
      </w:r>
      <w:r w:rsidR="00B7500B">
        <w:rPr>
          <w:rFonts w:cs="Arial"/>
          <w:bCs/>
          <w:color w:val="000000"/>
          <w:sz w:val="22"/>
          <w:szCs w:val="22"/>
          <w:lang w:eastAsia="en-GB"/>
        </w:rPr>
        <w:t>s. Decisions under Part 6A (</w:t>
      </w:r>
      <w:r w:rsidRPr="00D95EC3">
        <w:rPr>
          <w:rFonts w:cs="Arial"/>
          <w:bCs/>
          <w:color w:val="000000"/>
          <w:sz w:val="22"/>
          <w:szCs w:val="22"/>
          <w:lang w:eastAsia="en-GB"/>
        </w:rPr>
        <w:t>Points-based system), which are eligible for review, would be substantially restructured and redrafted under option 1. Parents and children of points-based system applicants could also benefit through our reforms. Administrative reviews could be reduced if applicants submit the correct evidence first time or if Home Office decision-makers make the correct decision in the first instance.</w:t>
      </w:r>
      <w:r w:rsidRPr="00D95EC3">
        <w:rPr>
          <w:rFonts w:cs="Arial"/>
          <w:bCs/>
          <w:color w:val="000000"/>
          <w:sz w:val="22"/>
          <w:szCs w:val="22"/>
          <w:vertAlign w:val="superscript"/>
          <w:lang w:eastAsia="en-GB"/>
        </w:rPr>
        <w:footnoteReference w:id="31"/>
      </w:r>
      <w:r w:rsidR="00B7500B">
        <w:rPr>
          <w:rFonts w:cs="Arial"/>
          <w:bCs/>
          <w:color w:val="000000"/>
          <w:sz w:val="22"/>
          <w:szCs w:val="22"/>
          <w:lang w:eastAsia="en-GB"/>
        </w:rPr>
        <w:t xml:space="preserve"> </w:t>
      </w:r>
      <w:r w:rsidRPr="00D95EC3">
        <w:rPr>
          <w:rFonts w:cs="Arial"/>
          <w:bCs/>
          <w:color w:val="000000"/>
          <w:sz w:val="22"/>
          <w:szCs w:val="22"/>
          <w:lang w:eastAsia="en-GB"/>
        </w:rPr>
        <w:t>We have not proposed far-reaching reform to Part 6A in option 2 and would therefore expect reductions to be more limited under this approach. The impact assessment introducing administrative reviews indicated a fee on a cost recovery basis. If this is the case</w:t>
      </w:r>
      <w:r w:rsidR="00B7500B">
        <w:rPr>
          <w:rFonts w:cs="Arial"/>
          <w:bCs/>
          <w:color w:val="000000"/>
          <w:sz w:val="22"/>
          <w:szCs w:val="22"/>
          <w:lang w:eastAsia="en-GB"/>
        </w:rPr>
        <w:t>,</w:t>
      </w:r>
      <w:r w:rsidRPr="00D95EC3">
        <w:rPr>
          <w:rFonts w:cs="Arial"/>
          <w:bCs/>
          <w:color w:val="000000"/>
          <w:sz w:val="22"/>
          <w:szCs w:val="22"/>
          <w:lang w:eastAsia="en-GB"/>
        </w:rPr>
        <w:t xml:space="preserve"> the anticipated reduction in the number of administrative reviews is likely to have little direct financial impact</w:t>
      </w:r>
      <w:r w:rsidR="002470F6">
        <w:rPr>
          <w:rFonts w:cs="Arial"/>
          <w:bCs/>
          <w:color w:val="000000"/>
          <w:sz w:val="22"/>
          <w:szCs w:val="22"/>
          <w:lang w:eastAsia="en-GB"/>
        </w:rPr>
        <w:t xml:space="preserve"> on the Home Office</w:t>
      </w:r>
      <w:r w:rsidRPr="00D95EC3">
        <w:rPr>
          <w:rFonts w:cs="Arial"/>
          <w:bCs/>
          <w:color w:val="000000"/>
          <w:sz w:val="22"/>
          <w:szCs w:val="22"/>
          <w:lang w:eastAsia="en-GB"/>
        </w:rPr>
        <w:t xml:space="preserve"> but could facilitate the re-di</w:t>
      </w:r>
      <w:r w:rsidR="00B7500B">
        <w:rPr>
          <w:rFonts w:cs="Arial"/>
          <w:bCs/>
          <w:color w:val="000000"/>
          <w:sz w:val="22"/>
          <w:szCs w:val="22"/>
          <w:lang w:eastAsia="en-GB"/>
        </w:rPr>
        <w:t xml:space="preserve">rection of resources to </w:t>
      </w:r>
      <w:r w:rsidRPr="00D95EC3">
        <w:rPr>
          <w:rFonts w:cs="Arial"/>
          <w:bCs/>
          <w:color w:val="000000"/>
          <w:sz w:val="22"/>
          <w:szCs w:val="22"/>
          <w:lang w:eastAsia="en-GB"/>
        </w:rPr>
        <w:t>suit business needs</w:t>
      </w:r>
      <w:r w:rsidR="00B7500B">
        <w:rPr>
          <w:rFonts w:cs="Arial"/>
          <w:bCs/>
          <w:color w:val="000000"/>
          <w:sz w:val="22"/>
          <w:szCs w:val="22"/>
          <w:lang w:eastAsia="en-GB"/>
        </w:rPr>
        <w:t xml:space="preserve"> better</w:t>
      </w:r>
      <w:r w:rsidR="002470F6">
        <w:rPr>
          <w:rFonts w:cs="Arial"/>
          <w:bCs/>
          <w:color w:val="000000"/>
          <w:sz w:val="22"/>
          <w:szCs w:val="22"/>
          <w:lang w:eastAsia="en-GB"/>
        </w:rPr>
        <w:t>. It would also mean savings for applicants.</w:t>
      </w:r>
    </w:p>
    <w:p w14:paraId="5D3DD670" w14:textId="21B0096D" w:rsidR="00D95EC3" w:rsidRPr="00D95EC3" w:rsidRDefault="00EA3AEA" w:rsidP="00D95EC3">
      <w:pPr>
        <w:spacing w:after="120"/>
        <w:rPr>
          <w:rFonts w:cs="Arial"/>
          <w:bCs/>
          <w:color w:val="000000"/>
          <w:sz w:val="22"/>
          <w:szCs w:val="22"/>
          <w:lang w:eastAsia="en-GB"/>
        </w:rPr>
      </w:pPr>
      <w:r>
        <w:rPr>
          <w:rFonts w:cs="Arial"/>
          <w:bCs/>
          <w:color w:val="000000"/>
          <w:sz w:val="22"/>
          <w:szCs w:val="22"/>
          <w:lang w:eastAsia="en-GB"/>
        </w:rPr>
        <w:t>We seek evidence fro</w:t>
      </w:r>
      <w:r w:rsidR="00B55123">
        <w:rPr>
          <w:rFonts w:cs="Arial"/>
          <w:bCs/>
          <w:color w:val="000000"/>
          <w:sz w:val="22"/>
          <w:szCs w:val="22"/>
          <w:lang w:eastAsia="en-GB"/>
        </w:rPr>
        <w:t>m practitioners/other consultees on cost savings for applicants.</w:t>
      </w:r>
    </w:p>
    <w:p w14:paraId="28587476" w14:textId="77777777" w:rsidR="00D95EC3" w:rsidRPr="00D95EC3" w:rsidRDefault="00D95EC3" w:rsidP="00D95EC3">
      <w:pPr>
        <w:spacing w:after="120"/>
        <w:ind w:left="568" w:hanging="284"/>
        <w:rPr>
          <w:rFonts w:cs="Arial"/>
          <w:bCs/>
          <w:color w:val="000000"/>
          <w:sz w:val="22"/>
          <w:szCs w:val="22"/>
          <w:lang w:eastAsia="en-GB"/>
        </w:rPr>
      </w:pPr>
    </w:p>
    <w:p w14:paraId="64788A50" w14:textId="05BEDD04" w:rsidR="00D95EC3" w:rsidRPr="00D95EC3" w:rsidRDefault="006300EE" w:rsidP="006300EE">
      <w:pPr>
        <w:spacing w:after="120"/>
        <w:rPr>
          <w:rFonts w:cs="Arial"/>
          <w:bCs/>
          <w:color w:val="000000"/>
          <w:sz w:val="22"/>
          <w:szCs w:val="22"/>
          <w:u w:val="single"/>
          <w:lang w:eastAsia="en-GB"/>
        </w:rPr>
      </w:pPr>
      <w:r w:rsidRPr="006300EE">
        <w:rPr>
          <w:rFonts w:cs="Arial"/>
          <w:bCs/>
          <w:color w:val="000000"/>
          <w:sz w:val="22"/>
          <w:szCs w:val="22"/>
          <w:lang w:eastAsia="en-GB"/>
        </w:rPr>
        <w:t xml:space="preserve">4.  </w:t>
      </w:r>
      <w:r w:rsidR="00D95EC3" w:rsidRPr="00D95EC3">
        <w:rPr>
          <w:rFonts w:cs="Arial"/>
          <w:bCs/>
          <w:color w:val="000000"/>
          <w:sz w:val="22"/>
          <w:szCs w:val="22"/>
          <w:u w:val="single"/>
          <w:lang w:eastAsia="en-GB"/>
        </w:rPr>
        <w:t>Efficiency [time] savings from shorter judicial reviews and appeal hearings</w:t>
      </w:r>
    </w:p>
    <w:p w14:paraId="7F5F08C8" w14:textId="36CA02EF" w:rsidR="00D95EC3" w:rsidRPr="00D95EC3" w:rsidRDefault="00D95EC3" w:rsidP="00D95EC3">
      <w:pPr>
        <w:spacing w:after="120"/>
        <w:rPr>
          <w:rFonts w:cs="Arial"/>
          <w:bCs/>
          <w:color w:val="000000"/>
          <w:sz w:val="22"/>
          <w:szCs w:val="22"/>
          <w:lang w:eastAsia="en-GB"/>
        </w:rPr>
      </w:pPr>
      <w:bookmarkStart w:id="51" w:name="_Hlk531963966"/>
      <w:r w:rsidRPr="00D95EC3">
        <w:rPr>
          <w:rFonts w:cs="Arial"/>
          <w:bCs/>
          <w:color w:val="000000"/>
          <w:sz w:val="22"/>
          <w:szCs w:val="22"/>
          <w:lang w:eastAsia="en-GB"/>
        </w:rPr>
        <w:t xml:space="preserve">We consider that our reforms will also deliver efficiency savings. </w:t>
      </w:r>
      <w:r w:rsidRPr="00AC3D99">
        <w:rPr>
          <w:rFonts w:cs="Arial"/>
          <w:bCs/>
          <w:color w:val="000000"/>
          <w:sz w:val="22"/>
          <w:szCs w:val="22"/>
          <w:lang w:eastAsia="en-GB"/>
        </w:rPr>
        <w:t xml:space="preserve">On average, </w:t>
      </w:r>
      <w:r w:rsidRPr="004004FF">
        <w:rPr>
          <w:rFonts w:cs="Arial"/>
          <w:bCs/>
          <w:color w:val="000000"/>
          <w:sz w:val="22"/>
          <w:szCs w:val="22"/>
          <w:lang w:eastAsia="en-GB"/>
        </w:rPr>
        <w:t>judicial reviews take approximately 8 hours which includes: reading the papers, the hearing, and writing up the judgment.</w:t>
      </w:r>
      <w:r w:rsidRPr="00AC3D99">
        <w:rPr>
          <w:rFonts w:cs="Arial"/>
          <w:bCs/>
          <w:color w:val="000000"/>
          <w:sz w:val="22"/>
          <w:szCs w:val="22"/>
          <w:lang w:eastAsia="en-GB"/>
        </w:rPr>
        <w:t xml:space="preserve"> However, this figure includes lengthy substantive judicial review hearings. Most</w:t>
      </w:r>
      <w:r w:rsidRPr="004004FF">
        <w:rPr>
          <w:rFonts w:cs="Arial"/>
          <w:bCs/>
          <w:color w:val="000000"/>
          <w:sz w:val="22"/>
          <w:szCs w:val="22"/>
          <w:lang w:eastAsia="en-GB"/>
        </w:rPr>
        <w:t xml:space="preserve"> judicial reviews are concluded at the permission stage. We have adjusted our estimate of the time taken to 4 hours to reflect this. This figure includes the possibility that the claim proceeds to an oral hearing.  A proportion will however conclude at the paper stage. </w:t>
      </w:r>
      <w:bookmarkEnd w:id="51"/>
      <w:r w:rsidRPr="00AC3D99">
        <w:rPr>
          <w:rFonts w:cs="Arial"/>
          <w:bCs/>
          <w:color w:val="000000"/>
          <w:sz w:val="22"/>
          <w:szCs w:val="22"/>
          <w:lang w:eastAsia="en-GB"/>
        </w:rPr>
        <w:t>Appeals in t</w:t>
      </w:r>
      <w:r w:rsidRPr="00D95EC3">
        <w:rPr>
          <w:rFonts w:cs="Arial"/>
          <w:bCs/>
          <w:color w:val="000000"/>
          <w:sz w:val="22"/>
          <w:szCs w:val="22"/>
          <w:lang w:eastAsia="en-GB"/>
        </w:rPr>
        <w:t>he Upper Tribunal take about three hours (inclusive of reading and writing time).</w:t>
      </w:r>
    </w:p>
    <w:p w14:paraId="7BE0EC2B" w14:textId="23E6472C" w:rsid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In our view, our reforms are most likely to impact reading and writing times. This is because judges may have to consult the Rules frequently in these stages</w:t>
      </w:r>
      <w:r w:rsidR="002470F6">
        <w:rPr>
          <w:rFonts w:cs="Arial"/>
          <w:bCs/>
          <w:color w:val="000000"/>
          <w:sz w:val="22"/>
          <w:szCs w:val="22"/>
          <w:lang w:eastAsia="en-GB"/>
        </w:rPr>
        <w:t xml:space="preserve">. It is difficult to estimate the </w:t>
      </w:r>
      <w:r w:rsidR="00595389">
        <w:rPr>
          <w:rFonts w:cs="Arial"/>
          <w:bCs/>
          <w:color w:val="000000"/>
          <w:sz w:val="22"/>
          <w:szCs w:val="22"/>
          <w:lang w:eastAsia="en-GB"/>
        </w:rPr>
        <w:t xml:space="preserve">time taken by references to the Rules during the hearing, and to determine </w:t>
      </w:r>
      <w:r w:rsidR="003415A9">
        <w:rPr>
          <w:rFonts w:cs="Arial"/>
          <w:bCs/>
          <w:color w:val="000000"/>
          <w:sz w:val="22"/>
          <w:szCs w:val="22"/>
          <w:lang w:eastAsia="en-GB"/>
        </w:rPr>
        <w:t>to what extent</w:t>
      </w:r>
      <w:r w:rsidR="006E742D">
        <w:rPr>
          <w:rFonts w:cs="Arial"/>
          <w:bCs/>
          <w:color w:val="000000"/>
          <w:sz w:val="22"/>
          <w:szCs w:val="22"/>
          <w:lang w:eastAsia="en-GB"/>
        </w:rPr>
        <w:t xml:space="preserve"> </w:t>
      </w:r>
      <w:r w:rsidR="00595389">
        <w:rPr>
          <w:rFonts w:cs="Arial"/>
          <w:bCs/>
          <w:color w:val="000000"/>
          <w:sz w:val="22"/>
          <w:szCs w:val="22"/>
          <w:lang w:eastAsia="en-GB"/>
        </w:rPr>
        <w:t xml:space="preserve">the complexity of the Rules of itself lengthens hearing times. </w:t>
      </w:r>
    </w:p>
    <w:p w14:paraId="02FA9353" w14:textId="46234FE5" w:rsidR="00EA3AEA" w:rsidRPr="00D95EC3" w:rsidRDefault="00EA3AEA" w:rsidP="00D95EC3">
      <w:pPr>
        <w:spacing w:after="120"/>
        <w:rPr>
          <w:rFonts w:cs="Arial"/>
          <w:bCs/>
          <w:color w:val="000000"/>
          <w:sz w:val="22"/>
          <w:szCs w:val="22"/>
          <w:lang w:eastAsia="en-GB"/>
        </w:rPr>
      </w:pPr>
      <w:r>
        <w:rPr>
          <w:rFonts w:cs="Arial"/>
          <w:bCs/>
          <w:color w:val="000000"/>
          <w:sz w:val="22"/>
          <w:szCs w:val="22"/>
          <w:lang w:eastAsia="en-GB"/>
        </w:rPr>
        <w:t>We seek evidence from practitioners/other consultees on savings for applicants.</w:t>
      </w:r>
    </w:p>
    <w:p w14:paraId="7ED13636" w14:textId="77777777" w:rsidR="00D95EC3" w:rsidRPr="00D95EC3" w:rsidRDefault="00D95EC3" w:rsidP="00D95EC3"/>
    <w:p w14:paraId="3B19BAEA" w14:textId="77777777" w:rsidR="00D95EC3" w:rsidRPr="00D95EC3" w:rsidRDefault="00D95EC3" w:rsidP="00D95EC3">
      <w:pPr>
        <w:spacing w:after="120"/>
        <w:ind w:left="284" w:hanging="284"/>
        <w:rPr>
          <w:rFonts w:cs="Arial"/>
          <w:bCs/>
          <w:color w:val="000000"/>
          <w:sz w:val="22"/>
          <w:szCs w:val="22"/>
          <w:u w:val="single"/>
          <w:lang w:eastAsia="en-GB"/>
        </w:rPr>
      </w:pPr>
      <w:r w:rsidRPr="00D95EC3">
        <w:rPr>
          <w:rFonts w:cs="Arial"/>
          <w:bCs/>
          <w:color w:val="000000"/>
          <w:sz w:val="22"/>
          <w:szCs w:val="22"/>
          <w:lang w:eastAsia="en-GB"/>
        </w:rPr>
        <w:tab/>
      </w:r>
      <w:r w:rsidRPr="00D95EC3">
        <w:rPr>
          <w:rFonts w:cs="Arial"/>
          <w:bCs/>
          <w:color w:val="000000"/>
          <w:sz w:val="22"/>
          <w:szCs w:val="22"/>
          <w:u w:val="single"/>
          <w:lang w:eastAsia="en-GB"/>
        </w:rPr>
        <w:t>Table 6: Judiciary Time savings in reading/writing judgment time</w:t>
      </w:r>
    </w:p>
    <w:p w14:paraId="6524823D" w14:textId="77777777" w:rsidR="00D95EC3" w:rsidRPr="00D95EC3" w:rsidRDefault="00D95EC3" w:rsidP="00D95EC3">
      <w:pPr>
        <w:spacing w:after="120"/>
        <w:ind w:left="284" w:hanging="284"/>
        <w:rPr>
          <w:rFonts w:cs="Arial"/>
          <w:bCs/>
          <w:color w:val="000000"/>
          <w:sz w:val="22"/>
          <w:szCs w:val="22"/>
          <w:lang w:eastAsia="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59"/>
        <w:gridCol w:w="1701"/>
        <w:gridCol w:w="1843"/>
      </w:tblGrid>
      <w:tr w:rsidR="00D95EC3" w:rsidRPr="00D95EC3" w14:paraId="1D13B72A" w14:textId="77777777" w:rsidTr="00D95EC3">
        <w:tc>
          <w:tcPr>
            <w:tcW w:w="2830" w:type="dxa"/>
          </w:tcPr>
          <w:p w14:paraId="44A55931" w14:textId="77777777" w:rsidR="00D95EC3" w:rsidRPr="00D95EC3" w:rsidRDefault="00D95EC3" w:rsidP="00D95EC3">
            <w:pPr>
              <w:spacing w:after="120"/>
              <w:rPr>
                <w:rFonts w:cs="Arial"/>
                <w:bCs/>
                <w:color w:val="000000"/>
                <w:sz w:val="22"/>
                <w:szCs w:val="22"/>
                <w:lang w:eastAsia="en-GB"/>
              </w:rPr>
            </w:pPr>
          </w:p>
        </w:tc>
        <w:tc>
          <w:tcPr>
            <w:tcW w:w="1559" w:type="dxa"/>
          </w:tcPr>
          <w:p w14:paraId="165B9062"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Low estimate</w:t>
            </w:r>
          </w:p>
        </w:tc>
        <w:tc>
          <w:tcPr>
            <w:tcW w:w="1701" w:type="dxa"/>
          </w:tcPr>
          <w:p w14:paraId="51BEC270"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Best estimate</w:t>
            </w:r>
          </w:p>
        </w:tc>
        <w:tc>
          <w:tcPr>
            <w:tcW w:w="1843" w:type="dxa"/>
          </w:tcPr>
          <w:p w14:paraId="1E361D6E"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High estimate</w:t>
            </w:r>
          </w:p>
        </w:tc>
      </w:tr>
      <w:tr w:rsidR="00D95EC3" w:rsidRPr="00D95EC3" w14:paraId="41658348" w14:textId="77777777" w:rsidTr="00D95EC3">
        <w:tc>
          <w:tcPr>
            <w:tcW w:w="2830" w:type="dxa"/>
          </w:tcPr>
          <w:p w14:paraId="18669490"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Number of FT IAC appeals</w:t>
            </w:r>
          </w:p>
        </w:tc>
        <w:tc>
          <w:tcPr>
            <w:tcW w:w="1559" w:type="dxa"/>
          </w:tcPr>
          <w:p w14:paraId="325E04AC"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10,824</w:t>
            </w:r>
          </w:p>
        </w:tc>
        <w:tc>
          <w:tcPr>
            <w:tcW w:w="1701" w:type="dxa"/>
          </w:tcPr>
          <w:p w14:paraId="5BE60257"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11,394</w:t>
            </w:r>
          </w:p>
        </w:tc>
        <w:tc>
          <w:tcPr>
            <w:tcW w:w="1843" w:type="dxa"/>
          </w:tcPr>
          <w:p w14:paraId="21F4A4DD"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12,533</w:t>
            </w:r>
          </w:p>
        </w:tc>
      </w:tr>
      <w:tr w:rsidR="00D95EC3" w:rsidRPr="00D95EC3" w14:paraId="682CA181" w14:textId="77777777" w:rsidTr="00D95EC3">
        <w:tc>
          <w:tcPr>
            <w:tcW w:w="2830" w:type="dxa"/>
          </w:tcPr>
          <w:p w14:paraId="6E6A488E"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Time reduction [mins]</w:t>
            </w:r>
          </w:p>
        </w:tc>
        <w:tc>
          <w:tcPr>
            <w:tcW w:w="1559" w:type="dxa"/>
          </w:tcPr>
          <w:p w14:paraId="7E6E62E6"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15</w:t>
            </w:r>
          </w:p>
        </w:tc>
        <w:tc>
          <w:tcPr>
            <w:tcW w:w="1701" w:type="dxa"/>
          </w:tcPr>
          <w:p w14:paraId="6BD5005F"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15</w:t>
            </w:r>
          </w:p>
        </w:tc>
        <w:tc>
          <w:tcPr>
            <w:tcW w:w="1843" w:type="dxa"/>
          </w:tcPr>
          <w:p w14:paraId="657C2F3A"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30</w:t>
            </w:r>
          </w:p>
        </w:tc>
      </w:tr>
      <w:tr w:rsidR="00D95EC3" w:rsidRPr="00D95EC3" w14:paraId="232BCD4C" w14:textId="77777777" w:rsidTr="00D95EC3">
        <w:tc>
          <w:tcPr>
            <w:tcW w:w="2830" w:type="dxa"/>
          </w:tcPr>
          <w:p w14:paraId="133CBF1D" w14:textId="77777777" w:rsidR="00D95EC3" w:rsidRPr="00D95EC3" w:rsidRDefault="00D95EC3" w:rsidP="00D95EC3">
            <w:pPr>
              <w:spacing w:after="120"/>
              <w:rPr>
                <w:rFonts w:cs="Arial"/>
                <w:b/>
                <w:bCs/>
                <w:color w:val="000000"/>
                <w:sz w:val="22"/>
                <w:szCs w:val="22"/>
                <w:lang w:eastAsia="en-GB"/>
              </w:rPr>
            </w:pPr>
            <w:r w:rsidRPr="00D95EC3">
              <w:rPr>
                <w:rFonts w:cs="Arial"/>
                <w:b/>
                <w:bCs/>
                <w:color w:val="000000"/>
                <w:sz w:val="22"/>
                <w:szCs w:val="22"/>
                <w:lang w:eastAsia="en-GB"/>
              </w:rPr>
              <w:t xml:space="preserve">Annual time savings in FT IAC </w:t>
            </w:r>
          </w:p>
        </w:tc>
        <w:tc>
          <w:tcPr>
            <w:tcW w:w="1559" w:type="dxa"/>
          </w:tcPr>
          <w:p w14:paraId="1C7C6892" w14:textId="77777777" w:rsidR="00D95EC3" w:rsidRPr="00D95EC3" w:rsidRDefault="00D95EC3" w:rsidP="00D95EC3">
            <w:pPr>
              <w:spacing w:after="120"/>
              <w:rPr>
                <w:rFonts w:cs="Arial"/>
                <w:b/>
                <w:bCs/>
                <w:color w:val="000000"/>
                <w:sz w:val="22"/>
                <w:szCs w:val="22"/>
                <w:lang w:eastAsia="en-GB"/>
              </w:rPr>
            </w:pPr>
            <w:r w:rsidRPr="00D95EC3">
              <w:rPr>
                <w:rFonts w:cs="Arial"/>
                <w:b/>
                <w:bCs/>
                <w:color w:val="000000"/>
                <w:sz w:val="22"/>
                <w:szCs w:val="22"/>
                <w:lang w:eastAsia="en-GB"/>
              </w:rPr>
              <w:t>£1.84 m</w:t>
            </w:r>
          </w:p>
        </w:tc>
        <w:tc>
          <w:tcPr>
            <w:tcW w:w="1701" w:type="dxa"/>
          </w:tcPr>
          <w:p w14:paraId="6BC462E2" w14:textId="77777777" w:rsidR="00D95EC3" w:rsidRPr="00D95EC3" w:rsidRDefault="00D95EC3" w:rsidP="00D95EC3">
            <w:pPr>
              <w:spacing w:after="120"/>
              <w:rPr>
                <w:rFonts w:cs="Arial"/>
                <w:b/>
                <w:bCs/>
                <w:color w:val="000000"/>
                <w:sz w:val="22"/>
                <w:szCs w:val="22"/>
                <w:lang w:eastAsia="en-GB"/>
              </w:rPr>
            </w:pPr>
            <w:r w:rsidRPr="00D95EC3">
              <w:rPr>
                <w:rFonts w:cs="Arial"/>
                <w:b/>
                <w:bCs/>
                <w:color w:val="000000"/>
                <w:sz w:val="22"/>
                <w:szCs w:val="22"/>
                <w:lang w:eastAsia="en-GB"/>
              </w:rPr>
              <w:t>£1.94 m</w:t>
            </w:r>
          </w:p>
        </w:tc>
        <w:tc>
          <w:tcPr>
            <w:tcW w:w="1843" w:type="dxa"/>
          </w:tcPr>
          <w:p w14:paraId="68125AA1" w14:textId="77777777" w:rsidR="00D95EC3" w:rsidRPr="00D95EC3" w:rsidRDefault="00D95EC3" w:rsidP="00D95EC3">
            <w:pPr>
              <w:spacing w:after="120"/>
              <w:rPr>
                <w:rFonts w:cs="Arial"/>
                <w:b/>
                <w:bCs/>
                <w:color w:val="000000"/>
                <w:sz w:val="22"/>
                <w:szCs w:val="22"/>
                <w:lang w:eastAsia="en-GB"/>
              </w:rPr>
            </w:pPr>
            <w:r w:rsidRPr="00D95EC3">
              <w:rPr>
                <w:rFonts w:cs="Arial"/>
                <w:b/>
                <w:bCs/>
                <w:color w:val="000000"/>
                <w:sz w:val="22"/>
                <w:szCs w:val="22"/>
                <w:lang w:eastAsia="en-GB"/>
              </w:rPr>
              <w:t>£4.27 m</w:t>
            </w:r>
          </w:p>
        </w:tc>
      </w:tr>
      <w:tr w:rsidR="00D95EC3" w:rsidRPr="00D95EC3" w14:paraId="64332D9A" w14:textId="77777777" w:rsidTr="00D95EC3">
        <w:tc>
          <w:tcPr>
            <w:tcW w:w="2830" w:type="dxa"/>
          </w:tcPr>
          <w:p w14:paraId="626FAB48"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lastRenderedPageBreak/>
              <w:t>Number of UT IAC appeals</w:t>
            </w:r>
          </w:p>
        </w:tc>
        <w:tc>
          <w:tcPr>
            <w:tcW w:w="1559" w:type="dxa"/>
          </w:tcPr>
          <w:p w14:paraId="710ADEB7"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541</w:t>
            </w:r>
          </w:p>
        </w:tc>
        <w:tc>
          <w:tcPr>
            <w:tcW w:w="1701" w:type="dxa"/>
          </w:tcPr>
          <w:p w14:paraId="490F1275"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570</w:t>
            </w:r>
          </w:p>
        </w:tc>
        <w:tc>
          <w:tcPr>
            <w:tcW w:w="1843" w:type="dxa"/>
          </w:tcPr>
          <w:p w14:paraId="6243F5A2"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626</w:t>
            </w:r>
          </w:p>
        </w:tc>
      </w:tr>
      <w:tr w:rsidR="00D95EC3" w:rsidRPr="00D95EC3" w14:paraId="7C41AFFD" w14:textId="77777777" w:rsidTr="00D95EC3">
        <w:tc>
          <w:tcPr>
            <w:tcW w:w="2830" w:type="dxa"/>
          </w:tcPr>
          <w:p w14:paraId="1A69606A"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Time reduction [mins]</w:t>
            </w:r>
          </w:p>
        </w:tc>
        <w:tc>
          <w:tcPr>
            <w:tcW w:w="1559" w:type="dxa"/>
          </w:tcPr>
          <w:p w14:paraId="57A47276"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15</w:t>
            </w:r>
          </w:p>
        </w:tc>
        <w:tc>
          <w:tcPr>
            <w:tcW w:w="1701" w:type="dxa"/>
          </w:tcPr>
          <w:p w14:paraId="5AC7FC4C"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15</w:t>
            </w:r>
          </w:p>
        </w:tc>
        <w:tc>
          <w:tcPr>
            <w:tcW w:w="1843" w:type="dxa"/>
          </w:tcPr>
          <w:p w14:paraId="4526CADF"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30</w:t>
            </w:r>
          </w:p>
        </w:tc>
      </w:tr>
      <w:tr w:rsidR="00D95EC3" w:rsidRPr="00D95EC3" w14:paraId="4DD9D14D" w14:textId="77777777" w:rsidTr="00D95EC3">
        <w:tc>
          <w:tcPr>
            <w:tcW w:w="2830" w:type="dxa"/>
          </w:tcPr>
          <w:p w14:paraId="7F097B16" w14:textId="77777777" w:rsidR="00D95EC3" w:rsidRPr="00D95EC3" w:rsidRDefault="00D95EC3" w:rsidP="00D95EC3">
            <w:pPr>
              <w:spacing w:after="120"/>
              <w:rPr>
                <w:rFonts w:cs="Arial"/>
                <w:b/>
                <w:bCs/>
                <w:color w:val="000000"/>
                <w:sz w:val="22"/>
                <w:szCs w:val="22"/>
                <w:lang w:eastAsia="en-GB"/>
              </w:rPr>
            </w:pPr>
            <w:r w:rsidRPr="00D95EC3">
              <w:rPr>
                <w:rFonts w:cs="Arial"/>
                <w:b/>
                <w:bCs/>
                <w:color w:val="000000"/>
                <w:sz w:val="22"/>
                <w:szCs w:val="22"/>
                <w:lang w:eastAsia="en-GB"/>
              </w:rPr>
              <w:t>Annual time savings in UT IAC</w:t>
            </w:r>
          </w:p>
        </w:tc>
        <w:tc>
          <w:tcPr>
            <w:tcW w:w="1559" w:type="dxa"/>
          </w:tcPr>
          <w:p w14:paraId="29C3F6B3" w14:textId="77777777" w:rsidR="00D95EC3" w:rsidRPr="00D95EC3" w:rsidRDefault="00D95EC3" w:rsidP="00D95EC3">
            <w:pPr>
              <w:spacing w:after="120"/>
              <w:rPr>
                <w:rFonts w:cs="Arial"/>
                <w:b/>
                <w:bCs/>
                <w:color w:val="000000"/>
                <w:sz w:val="22"/>
                <w:szCs w:val="22"/>
                <w:lang w:eastAsia="en-GB"/>
              </w:rPr>
            </w:pPr>
            <w:r w:rsidRPr="00D95EC3">
              <w:rPr>
                <w:rFonts w:cs="Arial"/>
                <w:b/>
                <w:bCs/>
                <w:color w:val="000000"/>
                <w:sz w:val="22"/>
                <w:szCs w:val="22"/>
                <w:lang w:eastAsia="en-GB"/>
              </w:rPr>
              <w:t>£0.12 m</w:t>
            </w:r>
          </w:p>
        </w:tc>
        <w:tc>
          <w:tcPr>
            <w:tcW w:w="1701" w:type="dxa"/>
          </w:tcPr>
          <w:p w14:paraId="5DDC06AB" w14:textId="77777777" w:rsidR="00D95EC3" w:rsidRPr="00D95EC3" w:rsidRDefault="00D95EC3" w:rsidP="00D95EC3">
            <w:pPr>
              <w:spacing w:after="120"/>
              <w:rPr>
                <w:rFonts w:cs="Arial"/>
                <w:b/>
                <w:bCs/>
                <w:color w:val="000000"/>
                <w:sz w:val="22"/>
                <w:szCs w:val="22"/>
                <w:lang w:eastAsia="en-GB"/>
              </w:rPr>
            </w:pPr>
            <w:r w:rsidRPr="00D95EC3">
              <w:rPr>
                <w:rFonts w:cs="Arial"/>
                <w:b/>
                <w:bCs/>
                <w:color w:val="000000"/>
                <w:sz w:val="22"/>
                <w:szCs w:val="22"/>
                <w:lang w:eastAsia="en-GB"/>
              </w:rPr>
              <w:t>£0.13 m</w:t>
            </w:r>
          </w:p>
        </w:tc>
        <w:tc>
          <w:tcPr>
            <w:tcW w:w="1843" w:type="dxa"/>
          </w:tcPr>
          <w:p w14:paraId="5CF8BF90" w14:textId="77777777" w:rsidR="00D95EC3" w:rsidRPr="00D95EC3" w:rsidRDefault="00D95EC3" w:rsidP="00D95EC3">
            <w:pPr>
              <w:spacing w:after="120"/>
              <w:rPr>
                <w:rFonts w:cs="Arial"/>
                <w:b/>
                <w:bCs/>
                <w:color w:val="000000"/>
                <w:sz w:val="22"/>
                <w:szCs w:val="22"/>
                <w:lang w:eastAsia="en-GB"/>
              </w:rPr>
            </w:pPr>
            <w:r w:rsidRPr="00D95EC3">
              <w:rPr>
                <w:rFonts w:cs="Arial"/>
                <w:b/>
                <w:bCs/>
                <w:color w:val="000000"/>
                <w:sz w:val="22"/>
                <w:szCs w:val="22"/>
                <w:lang w:eastAsia="en-GB"/>
              </w:rPr>
              <w:t>£0.28 m</w:t>
            </w:r>
          </w:p>
        </w:tc>
      </w:tr>
      <w:tr w:rsidR="00D95EC3" w:rsidRPr="00D95EC3" w14:paraId="05EF7FAB" w14:textId="77777777" w:rsidTr="00D95EC3">
        <w:tc>
          <w:tcPr>
            <w:tcW w:w="2830" w:type="dxa"/>
          </w:tcPr>
          <w:p w14:paraId="383F5695"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Number of UT IAC [JRs]</w:t>
            </w:r>
          </w:p>
        </w:tc>
        <w:tc>
          <w:tcPr>
            <w:tcW w:w="1559" w:type="dxa"/>
          </w:tcPr>
          <w:p w14:paraId="70E96346"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4,738</w:t>
            </w:r>
          </w:p>
        </w:tc>
        <w:tc>
          <w:tcPr>
            <w:tcW w:w="1701" w:type="dxa"/>
          </w:tcPr>
          <w:p w14:paraId="449269C4"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4,987</w:t>
            </w:r>
          </w:p>
        </w:tc>
        <w:tc>
          <w:tcPr>
            <w:tcW w:w="1843" w:type="dxa"/>
          </w:tcPr>
          <w:p w14:paraId="3FF06F6D"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5,236</w:t>
            </w:r>
          </w:p>
        </w:tc>
      </w:tr>
      <w:tr w:rsidR="00D95EC3" w:rsidRPr="00D95EC3" w14:paraId="613A4B27" w14:textId="77777777" w:rsidTr="00D95EC3">
        <w:tc>
          <w:tcPr>
            <w:tcW w:w="2830" w:type="dxa"/>
          </w:tcPr>
          <w:p w14:paraId="50017925"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Time reduction [mins]</w:t>
            </w:r>
          </w:p>
        </w:tc>
        <w:tc>
          <w:tcPr>
            <w:tcW w:w="1559" w:type="dxa"/>
          </w:tcPr>
          <w:p w14:paraId="639158DB" w14:textId="3FFBCB1E" w:rsidR="00D95EC3" w:rsidRPr="00D95EC3" w:rsidRDefault="00CC4A43" w:rsidP="00D95EC3">
            <w:pPr>
              <w:spacing w:after="120"/>
              <w:rPr>
                <w:rFonts w:cs="Arial"/>
                <w:bCs/>
                <w:color w:val="000000"/>
                <w:sz w:val="22"/>
                <w:szCs w:val="22"/>
                <w:lang w:eastAsia="en-GB"/>
              </w:rPr>
            </w:pPr>
            <w:r>
              <w:rPr>
                <w:rFonts w:cs="Arial"/>
                <w:bCs/>
                <w:color w:val="000000"/>
                <w:sz w:val="22"/>
                <w:szCs w:val="22"/>
                <w:lang w:eastAsia="en-GB"/>
              </w:rPr>
              <w:t>n/a</w:t>
            </w:r>
          </w:p>
        </w:tc>
        <w:tc>
          <w:tcPr>
            <w:tcW w:w="1701" w:type="dxa"/>
          </w:tcPr>
          <w:p w14:paraId="5A0AB049" w14:textId="1962677B" w:rsidR="00D95EC3" w:rsidRPr="00D95EC3" w:rsidRDefault="00CC4A43" w:rsidP="00D95EC3">
            <w:pPr>
              <w:spacing w:after="120"/>
              <w:rPr>
                <w:rFonts w:cs="Arial"/>
                <w:bCs/>
                <w:color w:val="000000"/>
                <w:sz w:val="22"/>
                <w:szCs w:val="22"/>
                <w:lang w:eastAsia="en-GB"/>
              </w:rPr>
            </w:pPr>
            <w:r>
              <w:rPr>
                <w:rFonts w:cs="Arial"/>
                <w:bCs/>
                <w:color w:val="000000"/>
                <w:sz w:val="22"/>
                <w:szCs w:val="22"/>
                <w:lang w:eastAsia="en-GB"/>
              </w:rPr>
              <w:t>n/a</w:t>
            </w:r>
          </w:p>
        </w:tc>
        <w:tc>
          <w:tcPr>
            <w:tcW w:w="1843" w:type="dxa"/>
          </w:tcPr>
          <w:p w14:paraId="6719BB7B" w14:textId="06149D85" w:rsidR="00D95EC3" w:rsidRPr="00D95EC3" w:rsidRDefault="00CC4A43" w:rsidP="00D95EC3">
            <w:pPr>
              <w:spacing w:after="120"/>
              <w:rPr>
                <w:rFonts w:cs="Arial"/>
                <w:bCs/>
                <w:color w:val="000000"/>
                <w:sz w:val="22"/>
                <w:szCs w:val="22"/>
                <w:lang w:eastAsia="en-GB"/>
              </w:rPr>
            </w:pPr>
            <w:r>
              <w:rPr>
                <w:rFonts w:cs="Arial"/>
                <w:bCs/>
                <w:color w:val="000000"/>
                <w:sz w:val="22"/>
                <w:szCs w:val="22"/>
                <w:lang w:eastAsia="en-GB"/>
              </w:rPr>
              <w:t>n/a</w:t>
            </w:r>
          </w:p>
        </w:tc>
      </w:tr>
      <w:tr w:rsidR="00D95EC3" w:rsidRPr="00D95EC3" w14:paraId="7CC43D8B" w14:textId="77777777" w:rsidTr="00D95EC3">
        <w:tc>
          <w:tcPr>
            <w:tcW w:w="2830" w:type="dxa"/>
          </w:tcPr>
          <w:p w14:paraId="1461FF79" w14:textId="77777777" w:rsidR="00D95EC3" w:rsidRPr="00D95EC3" w:rsidRDefault="00D95EC3" w:rsidP="00D95EC3">
            <w:pPr>
              <w:spacing w:after="120"/>
              <w:rPr>
                <w:rFonts w:cs="Arial"/>
                <w:b/>
                <w:bCs/>
                <w:color w:val="000000"/>
                <w:sz w:val="22"/>
                <w:szCs w:val="22"/>
                <w:lang w:eastAsia="en-GB"/>
              </w:rPr>
            </w:pPr>
            <w:r w:rsidRPr="00D95EC3">
              <w:rPr>
                <w:rFonts w:cs="Arial"/>
                <w:b/>
                <w:bCs/>
                <w:color w:val="000000"/>
                <w:sz w:val="22"/>
                <w:szCs w:val="22"/>
                <w:lang w:eastAsia="en-GB"/>
              </w:rPr>
              <w:t>Annual time savings in UT IAC [JRs]</w:t>
            </w:r>
          </w:p>
        </w:tc>
        <w:tc>
          <w:tcPr>
            <w:tcW w:w="1559" w:type="dxa"/>
          </w:tcPr>
          <w:p w14:paraId="0E927271" w14:textId="5FEBBAD3" w:rsidR="00D95EC3" w:rsidRPr="00D95EC3" w:rsidRDefault="00D95EC3" w:rsidP="00D95EC3">
            <w:pPr>
              <w:spacing w:after="120"/>
              <w:rPr>
                <w:rFonts w:cs="Arial"/>
                <w:b/>
                <w:bCs/>
                <w:color w:val="000000"/>
                <w:sz w:val="22"/>
                <w:szCs w:val="22"/>
                <w:lang w:eastAsia="en-GB"/>
              </w:rPr>
            </w:pPr>
            <w:r w:rsidRPr="00D95EC3">
              <w:rPr>
                <w:rFonts w:cs="Arial"/>
                <w:b/>
                <w:bCs/>
                <w:color w:val="000000"/>
                <w:sz w:val="22"/>
                <w:szCs w:val="22"/>
                <w:lang w:eastAsia="en-GB"/>
              </w:rPr>
              <w:t>£0.0</w:t>
            </w:r>
            <w:r w:rsidR="00821041">
              <w:rPr>
                <w:rFonts w:cs="Arial"/>
                <w:b/>
                <w:bCs/>
                <w:color w:val="000000"/>
                <w:sz w:val="22"/>
                <w:szCs w:val="22"/>
                <w:lang w:eastAsia="en-GB"/>
              </w:rPr>
              <w:t>6</w:t>
            </w:r>
            <w:r w:rsidRPr="00D95EC3">
              <w:rPr>
                <w:rFonts w:cs="Arial"/>
                <w:b/>
                <w:bCs/>
                <w:color w:val="000000"/>
                <w:sz w:val="22"/>
                <w:szCs w:val="22"/>
                <w:lang w:eastAsia="en-GB"/>
              </w:rPr>
              <w:t xml:space="preserve"> m</w:t>
            </w:r>
          </w:p>
        </w:tc>
        <w:tc>
          <w:tcPr>
            <w:tcW w:w="1701" w:type="dxa"/>
          </w:tcPr>
          <w:p w14:paraId="233D1658" w14:textId="716B23BD" w:rsidR="00D95EC3" w:rsidRPr="00D95EC3" w:rsidRDefault="00D95EC3" w:rsidP="00D95EC3">
            <w:pPr>
              <w:spacing w:after="120"/>
              <w:rPr>
                <w:rFonts w:cs="Arial"/>
                <w:b/>
                <w:bCs/>
                <w:color w:val="000000"/>
                <w:sz w:val="22"/>
                <w:szCs w:val="22"/>
                <w:lang w:eastAsia="en-GB"/>
              </w:rPr>
            </w:pPr>
            <w:r w:rsidRPr="00D95EC3">
              <w:rPr>
                <w:rFonts w:cs="Arial"/>
                <w:b/>
                <w:bCs/>
                <w:color w:val="000000"/>
                <w:sz w:val="22"/>
                <w:szCs w:val="22"/>
                <w:lang w:eastAsia="en-GB"/>
              </w:rPr>
              <w:t>£0.0</w:t>
            </w:r>
            <w:r w:rsidR="00821041">
              <w:rPr>
                <w:rFonts w:cs="Arial"/>
                <w:b/>
                <w:bCs/>
                <w:color w:val="000000"/>
                <w:sz w:val="22"/>
                <w:szCs w:val="22"/>
                <w:lang w:eastAsia="en-GB"/>
              </w:rPr>
              <w:t>7</w:t>
            </w:r>
            <w:r w:rsidRPr="00D95EC3">
              <w:rPr>
                <w:rFonts w:cs="Arial"/>
                <w:b/>
                <w:bCs/>
                <w:color w:val="000000"/>
                <w:sz w:val="22"/>
                <w:szCs w:val="22"/>
                <w:lang w:eastAsia="en-GB"/>
              </w:rPr>
              <w:t xml:space="preserve"> m</w:t>
            </w:r>
          </w:p>
        </w:tc>
        <w:tc>
          <w:tcPr>
            <w:tcW w:w="1843" w:type="dxa"/>
          </w:tcPr>
          <w:p w14:paraId="798EF7C5" w14:textId="364709DD" w:rsidR="00D95EC3" w:rsidRPr="00D95EC3" w:rsidRDefault="00D95EC3" w:rsidP="00D95EC3">
            <w:pPr>
              <w:spacing w:after="120"/>
              <w:rPr>
                <w:rFonts w:cs="Arial"/>
                <w:b/>
                <w:bCs/>
                <w:color w:val="000000"/>
                <w:sz w:val="22"/>
                <w:szCs w:val="22"/>
                <w:lang w:eastAsia="en-GB"/>
              </w:rPr>
            </w:pPr>
            <w:r w:rsidRPr="00D95EC3">
              <w:rPr>
                <w:rFonts w:cs="Arial"/>
                <w:b/>
                <w:bCs/>
                <w:color w:val="000000"/>
                <w:sz w:val="22"/>
                <w:szCs w:val="22"/>
                <w:lang w:eastAsia="en-GB"/>
              </w:rPr>
              <w:t>£0.</w:t>
            </w:r>
            <w:r w:rsidR="00821041">
              <w:rPr>
                <w:rFonts w:cs="Arial"/>
                <w:b/>
                <w:bCs/>
                <w:color w:val="000000"/>
                <w:sz w:val="22"/>
                <w:szCs w:val="22"/>
                <w:lang w:eastAsia="en-GB"/>
              </w:rPr>
              <w:t>09</w:t>
            </w:r>
            <w:r w:rsidR="00821041" w:rsidRPr="00D95EC3">
              <w:rPr>
                <w:rFonts w:cs="Arial"/>
                <w:b/>
                <w:bCs/>
                <w:color w:val="000000"/>
                <w:sz w:val="22"/>
                <w:szCs w:val="22"/>
                <w:lang w:eastAsia="en-GB"/>
              </w:rPr>
              <w:t xml:space="preserve"> </w:t>
            </w:r>
            <w:r w:rsidRPr="00D95EC3">
              <w:rPr>
                <w:rFonts w:cs="Arial"/>
                <w:b/>
                <w:bCs/>
                <w:color w:val="000000"/>
                <w:sz w:val="22"/>
                <w:szCs w:val="22"/>
                <w:lang w:eastAsia="en-GB"/>
              </w:rPr>
              <w:t>m</w:t>
            </w:r>
          </w:p>
        </w:tc>
      </w:tr>
      <w:tr w:rsidR="00D95EC3" w:rsidRPr="00D95EC3" w14:paraId="63A1AA9C" w14:textId="77777777" w:rsidTr="00D95EC3">
        <w:tc>
          <w:tcPr>
            <w:tcW w:w="2830" w:type="dxa"/>
          </w:tcPr>
          <w:p w14:paraId="0F79FCCD" w14:textId="7E1B46F2" w:rsidR="00D95EC3" w:rsidRPr="00D95EC3" w:rsidRDefault="00D95EC3" w:rsidP="00D95EC3">
            <w:pPr>
              <w:spacing w:after="120"/>
              <w:rPr>
                <w:rFonts w:cs="Arial"/>
                <w:b/>
                <w:bCs/>
                <w:color w:val="000000"/>
                <w:sz w:val="22"/>
                <w:szCs w:val="22"/>
                <w:lang w:eastAsia="en-GB"/>
              </w:rPr>
            </w:pPr>
            <w:r w:rsidRPr="00D95EC3">
              <w:rPr>
                <w:rFonts w:cs="Arial"/>
                <w:b/>
                <w:bCs/>
                <w:color w:val="000000"/>
                <w:sz w:val="22"/>
                <w:szCs w:val="22"/>
                <w:lang w:eastAsia="en-GB"/>
              </w:rPr>
              <w:t>TOTAL SAVINGS</w:t>
            </w:r>
            <w:r w:rsidR="00821041">
              <w:rPr>
                <w:rStyle w:val="FootnoteReference"/>
                <w:rFonts w:cs="Arial"/>
                <w:b/>
                <w:bCs/>
                <w:color w:val="000000"/>
                <w:szCs w:val="22"/>
                <w:lang w:eastAsia="en-GB"/>
              </w:rPr>
              <w:footnoteReference w:id="32"/>
            </w:r>
          </w:p>
        </w:tc>
        <w:tc>
          <w:tcPr>
            <w:tcW w:w="1559" w:type="dxa"/>
          </w:tcPr>
          <w:p w14:paraId="55E40F53" w14:textId="5E523508"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£2.0</w:t>
            </w:r>
            <w:r w:rsidR="00821041">
              <w:rPr>
                <w:rFonts w:cs="Arial"/>
                <w:bCs/>
                <w:color w:val="000000"/>
                <w:sz w:val="22"/>
                <w:szCs w:val="22"/>
                <w:lang w:eastAsia="en-GB"/>
              </w:rPr>
              <w:t>2</w:t>
            </w:r>
            <w:r w:rsidRPr="00D95EC3">
              <w:rPr>
                <w:rFonts w:cs="Arial"/>
                <w:bCs/>
                <w:color w:val="000000"/>
                <w:sz w:val="22"/>
                <w:szCs w:val="22"/>
                <w:lang w:eastAsia="en-GB"/>
              </w:rPr>
              <w:t xml:space="preserve"> m</w:t>
            </w:r>
          </w:p>
        </w:tc>
        <w:tc>
          <w:tcPr>
            <w:tcW w:w="1701" w:type="dxa"/>
          </w:tcPr>
          <w:p w14:paraId="292CCE9A" w14:textId="12C95444"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£2.1</w:t>
            </w:r>
            <w:r w:rsidR="00821041">
              <w:rPr>
                <w:rFonts w:cs="Arial"/>
                <w:bCs/>
                <w:color w:val="000000"/>
                <w:sz w:val="22"/>
                <w:szCs w:val="22"/>
                <w:lang w:eastAsia="en-GB"/>
              </w:rPr>
              <w:t>4</w:t>
            </w:r>
            <w:r w:rsidRPr="00D95EC3">
              <w:rPr>
                <w:rFonts w:cs="Arial"/>
                <w:bCs/>
                <w:color w:val="000000"/>
                <w:sz w:val="22"/>
                <w:szCs w:val="22"/>
                <w:lang w:eastAsia="en-GB"/>
              </w:rPr>
              <w:t xml:space="preserve"> m</w:t>
            </w:r>
          </w:p>
        </w:tc>
        <w:tc>
          <w:tcPr>
            <w:tcW w:w="1843" w:type="dxa"/>
          </w:tcPr>
          <w:p w14:paraId="36FEAF8E" w14:textId="50B27ECE"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£4.6</w:t>
            </w:r>
            <w:r w:rsidR="00821041">
              <w:rPr>
                <w:rFonts w:cs="Arial"/>
                <w:bCs/>
                <w:color w:val="000000"/>
                <w:sz w:val="22"/>
                <w:szCs w:val="22"/>
                <w:lang w:eastAsia="en-GB"/>
              </w:rPr>
              <w:t>4</w:t>
            </w:r>
            <w:r w:rsidRPr="00D95EC3">
              <w:rPr>
                <w:rFonts w:cs="Arial"/>
                <w:bCs/>
                <w:color w:val="000000"/>
                <w:sz w:val="22"/>
                <w:szCs w:val="22"/>
                <w:lang w:eastAsia="en-GB"/>
              </w:rPr>
              <w:t xml:space="preserve"> m</w:t>
            </w:r>
          </w:p>
        </w:tc>
      </w:tr>
    </w:tbl>
    <w:p w14:paraId="4C1AFC36" w14:textId="77777777" w:rsidR="00D95EC3" w:rsidRPr="00D95EC3" w:rsidRDefault="00D95EC3" w:rsidP="00D95EC3">
      <w:pPr>
        <w:spacing w:after="120"/>
        <w:ind w:left="284" w:hanging="284"/>
        <w:rPr>
          <w:rFonts w:cs="Arial"/>
          <w:bCs/>
          <w:color w:val="000000"/>
          <w:sz w:val="22"/>
          <w:szCs w:val="22"/>
          <w:lang w:eastAsia="en-GB"/>
        </w:rPr>
      </w:pPr>
    </w:p>
    <w:p w14:paraId="424A7FC7" w14:textId="77777777" w:rsidR="00D95EC3" w:rsidRPr="00D95EC3" w:rsidRDefault="00D95EC3" w:rsidP="00D95EC3">
      <w:pPr>
        <w:spacing w:after="120"/>
        <w:ind w:left="284" w:hanging="284"/>
        <w:rPr>
          <w:rFonts w:cs="Arial"/>
          <w:bCs/>
          <w:color w:val="000000"/>
          <w:sz w:val="22"/>
          <w:szCs w:val="22"/>
          <w:lang w:eastAsia="en-GB"/>
        </w:rPr>
      </w:pPr>
      <w:r w:rsidRPr="00D95EC3">
        <w:rPr>
          <w:rFonts w:cs="Arial"/>
          <w:bCs/>
          <w:color w:val="000000"/>
          <w:sz w:val="22"/>
          <w:szCs w:val="22"/>
          <w:lang w:eastAsia="en-GB"/>
        </w:rPr>
        <w:tab/>
        <w:t>Assumptions:</w:t>
      </w:r>
    </w:p>
    <w:p w14:paraId="3F14DF2B" w14:textId="0D11C2BA" w:rsidR="00D95EC3" w:rsidRDefault="00D95EC3" w:rsidP="00A92BFF">
      <w:pPr>
        <w:numPr>
          <w:ilvl w:val="0"/>
          <w:numId w:val="14"/>
        </w:numPr>
        <w:spacing w:after="120"/>
        <w:rPr>
          <w:rFonts w:cs="Arial"/>
          <w:bCs/>
          <w:color w:val="000000"/>
          <w:sz w:val="22"/>
          <w:szCs w:val="22"/>
          <w:lang w:eastAsia="en-GB"/>
        </w:rPr>
      </w:pPr>
      <w:r w:rsidRPr="00D95EC3">
        <w:rPr>
          <w:rFonts w:cs="Arial"/>
          <w:bCs/>
          <w:color w:val="000000"/>
          <w:sz w:val="22"/>
          <w:szCs w:val="22"/>
          <w:lang w:eastAsia="en-GB"/>
        </w:rPr>
        <w:t>Only 50% of all appeals and judicial reviews generate time savings</w:t>
      </w:r>
      <w:r w:rsidR="00240CF3">
        <w:rPr>
          <w:rFonts w:cs="Arial"/>
          <w:bCs/>
          <w:color w:val="000000"/>
          <w:sz w:val="22"/>
          <w:szCs w:val="22"/>
          <w:lang w:eastAsia="en-GB"/>
        </w:rPr>
        <w:t>;</w:t>
      </w:r>
    </w:p>
    <w:p w14:paraId="7D681715" w14:textId="77777777" w:rsidR="00240CF3" w:rsidRDefault="00240CF3" w:rsidP="001A1B7D">
      <w:pPr>
        <w:spacing w:after="120"/>
        <w:ind w:left="360"/>
        <w:rPr>
          <w:rFonts w:cs="Arial"/>
          <w:bCs/>
          <w:color w:val="000000"/>
          <w:sz w:val="22"/>
          <w:szCs w:val="22"/>
          <w:lang w:eastAsia="en-GB"/>
        </w:rPr>
      </w:pPr>
    </w:p>
    <w:p w14:paraId="6431EF62" w14:textId="6E820ECB" w:rsidR="0090352B" w:rsidRPr="00D95EC3" w:rsidRDefault="0090352B" w:rsidP="00A92BFF">
      <w:pPr>
        <w:numPr>
          <w:ilvl w:val="0"/>
          <w:numId w:val="14"/>
        </w:numPr>
        <w:spacing w:after="120"/>
        <w:rPr>
          <w:rFonts w:cs="Arial"/>
          <w:bCs/>
          <w:color w:val="000000"/>
          <w:sz w:val="22"/>
          <w:szCs w:val="22"/>
          <w:lang w:eastAsia="en-GB"/>
        </w:rPr>
      </w:pPr>
      <w:r>
        <w:rPr>
          <w:rFonts w:cs="Arial"/>
          <w:bCs/>
          <w:color w:val="000000"/>
          <w:sz w:val="22"/>
          <w:szCs w:val="22"/>
          <w:lang w:eastAsia="en-GB"/>
        </w:rPr>
        <w:t>80% of all judicial reviews are determined at the permission stage and these generate time savings between 10 mins [low/best estimate] and 15 mins [high estimate]; 20% of judicial reviews proceed to substantive hearings and generate savings between 20 mins [low/best estimate] and 25 mins [high estimate]</w:t>
      </w:r>
    </w:p>
    <w:p w14:paraId="1EC2415A" w14:textId="77777777" w:rsidR="00D95EC3" w:rsidRPr="00D95EC3" w:rsidRDefault="00D95EC3" w:rsidP="00D95EC3">
      <w:pPr>
        <w:spacing w:after="120"/>
        <w:ind w:left="284" w:hanging="284"/>
        <w:rPr>
          <w:rFonts w:cs="Arial"/>
          <w:bCs/>
          <w:color w:val="000000"/>
          <w:sz w:val="22"/>
          <w:szCs w:val="22"/>
          <w:lang w:eastAsia="en-GB"/>
        </w:rPr>
      </w:pPr>
    </w:p>
    <w:p w14:paraId="1D51CD2C" w14:textId="682D6EAD"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Estimated annual savings = £2.</w:t>
      </w:r>
      <w:r w:rsidR="00B14E9C">
        <w:rPr>
          <w:rFonts w:cs="Arial"/>
          <w:bCs/>
          <w:color w:val="000000"/>
          <w:sz w:val="22"/>
          <w:szCs w:val="22"/>
          <w:lang w:eastAsia="en-GB"/>
        </w:rPr>
        <w:t>1</w:t>
      </w:r>
      <w:r w:rsidR="00821041">
        <w:rPr>
          <w:rFonts w:cs="Arial"/>
          <w:bCs/>
          <w:color w:val="000000"/>
          <w:sz w:val="22"/>
          <w:szCs w:val="22"/>
          <w:lang w:eastAsia="en-GB"/>
        </w:rPr>
        <w:t>4</w:t>
      </w:r>
      <w:r w:rsidR="00821041" w:rsidRPr="00D95EC3">
        <w:rPr>
          <w:rFonts w:cs="Arial"/>
          <w:bCs/>
          <w:color w:val="000000"/>
          <w:sz w:val="22"/>
          <w:szCs w:val="22"/>
          <w:lang w:eastAsia="en-GB"/>
        </w:rPr>
        <w:t xml:space="preserve"> </w:t>
      </w:r>
      <w:r w:rsidRPr="00D95EC3">
        <w:rPr>
          <w:rFonts w:cs="Arial"/>
          <w:bCs/>
          <w:color w:val="000000"/>
          <w:sz w:val="22"/>
          <w:szCs w:val="22"/>
          <w:lang w:eastAsia="en-GB"/>
        </w:rPr>
        <w:t>m</w:t>
      </w:r>
      <w:r w:rsidR="00123FE4">
        <w:rPr>
          <w:rFonts w:cs="Arial"/>
          <w:bCs/>
          <w:color w:val="000000"/>
          <w:sz w:val="22"/>
          <w:szCs w:val="22"/>
          <w:lang w:eastAsia="en-GB"/>
        </w:rPr>
        <w:t>illion</w:t>
      </w:r>
      <w:r w:rsidRPr="00D95EC3">
        <w:rPr>
          <w:rFonts w:cs="Arial"/>
          <w:bCs/>
          <w:color w:val="000000"/>
          <w:sz w:val="22"/>
          <w:szCs w:val="22"/>
          <w:lang w:eastAsia="en-GB"/>
        </w:rPr>
        <w:t xml:space="preserve"> [best estimate]</w:t>
      </w:r>
    </w:p>
    <w:p w14:paraId="6638E2A7" w14:textId="69BBAFF0" w:rsid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Present value over 10 years = £</w:t>
      </w:r>
      <w:r w:rsidR="003063F6">
        <w:rPr>
          <w:rFonts w:cs="Arial"/>
          <w:bCs/>
          <w:color w:val="000000"/>
          <w:sz w:val="22"/>
          <w:szCs w:val="22"/>
          <w:lang w:eastAsia="en-GB"/>
        </w:rPr>
        <w:t>17.</w:t>
      </w:r>
      <w:r w:rsidR="00821041">
        <w:rPr>
          <w:rFonts w:cs="Arial"/>
          <w:bCs/>
          <w:color w:val="000000"/>
          <w:sz w:val="22"/>
          <w:szCs w:val="22"/>
          <w:lang w:eastAsia="en-GB"/>
        </w:rPr>
        <w:t>81</w:t>
      </w:r>
      <w:r w:rsidRPr="00D95EC3">
        <w:rPr>
          <w:rFonts w:cs="Arial"/>
          <w:bCs/>
          <w:color w:val="000000"/>
          <w:sz w:val="22"/>
          <w:szCs w:val="22"/>
          <w:lang w:eastAsia="en-GB"/>
        </w:rPr>
        <w:t xml:space="preserve"> million [best estimate]</w:t>
      </w:r>
    </w:p>
    <w:p w14:paraId="605966CC" w14:textId="1337EACA" w:rsidR="00C0469B" w:rsidRDefault="00C0469B" w:rsidP="00D95EC3">
      <w:pPr>
        <w:spacing w:after="120"/>
        <w:ind w:left="284"/>
        <w:rPr>
          <w:rFonts w:cs="Arial"/>
          <w:bCs/>
          <w:color w:val="000000"/>
          <w:sz w:val="22"/>
          <w:szCs w:val="22"/>
          <w:lang w:eastAsia="en-GB"/>
        </w:rPr>
      </w:pPr>
    </w:p>
    <w:p w14:paraId="4A6F594F" w14:textId="4BD89501" w:rsidR="00C0469B" w:rsidRPr="006300EE" w:rsidRDefault="006300EE" w:rsidP="006300EE">
      <w:pPr>
        <w:spacing w:after="120"/>
        <w:rPr>
          <w:rFonts w:cs="Arial"/>
          <w:bCs/>
          <w:color w:val="000000"/>
          <w:sz w:val="22"/>
          <w:szCs w:val="22"/>
          <w:u w:val="single"/>
          <w:lang w:eastAsia="en-GB"/>
        </w:rPr>
      </w:pPr>
      <w:r w:rsidRPr="006300EE">
        <w:rPr>
          <w:rFonts w:cs="Arial"/>
          <w:bCs/>
          <w:color w:val="000000"/>
          <w:sz w:val="22"/>
          <w:szCs w:val="22"/>
          <w:lang w:eastAsia="en-GB"/>
        </w:rPr>
        <w:t xml:space="preserve">5.  </w:t>
      </w:r>
      <w:r w:rsidR="00C0469B" w:rsidRPr="006300EE">
        <w:rPr>
          <w:rFonts w:cs="Arial"/>
          <w:bCs/>
          <w:color w:val="000000"/>
          <w:sz w:val="22"/>
          <w:szCs w:val="22"/>
          <w:u w:val="single"/>
          <w:lang w:eastAsia="en-GB"/>
        </w:rPr>
        <w:t>Reduced departmental costs</w:t>
      </w:r>
    </w:p>
    <w:p w14:paraId="63370ABE" w14:textId="4B952E44" w:rsidR="00C0469B" w:rsidRPr="00D95EC3" w:rsidRDefault="00C0469B" w:rsidP="006300EE">
      <w:pPr>
        <w:spacing w:after="120"/>
        <w:rPr>
          <w:rFonts w:cs="Arial"/>
          <w:bCs/>
          <w:color w:val="000000"/>
          <w:sz w:val="22"/>
          <w:szCs w:val="22"/>
          <w:lang w:eastAsia="en-GB"/>
        </w:rPr>
      </w:pPr>
      <w:r w:rsidRPr="00430EAE">
        <w:rPr>
          <w:rFonts w:cs="Arial"/>
          <w:bCs/>
          <w:color w:val="000000"/>
          <w:sz w:val="22"/>
          <w:szCs w:val="22"/>
          <w:lang w:eastAsia="en-GB"/>
        </w:rPr>
        <w:t>There are costs to the Home Office from preparing for appe</w:t>
      </w:r>
      <w:r>
        <w:rPr>
          <w:rFonts w:cs="Arial"/>
          <w:bCs/>
          <w:color w:val="000000"/>
          <w:sz w:val="22"/>
          <w:szCs w:val="22"/>
          <w:lang w:eastAsia="en-GB"/>
        </w:rPr>
        <w:t>als</w:t>
      </w:r>
      <w:r w:rsidR="00D51C35">
        <w:rPr>
          <w:rFonts w:cs="Arial"/>
          <w:bCs/>
          <w:color w:val="000000"/>
          <w:sz w:val="22"/>
          <w:szCs w:val="22"/>
          <w:lang w:eastAsia="en-GB"/>
        </w:rPr>
        <w:t>/judicial reviews</w:t>
      </w:r>
      <w:r>
        <w:rPr>
          <w:rFonts w:cs="Arial"/>
          <w:bCs/>
          <w:color w:val="000000"/>
          <w:sz w:val="22"/>
          <w:szCs w:val="22"/>
          <w:lang w:eastAsia="en-GB"/>
        </w:rPr>
        <w:t xml:space="preserve"> and also from attendance at</w:t>
      </w:r>
      <w:r w:rsidR="00D51C35">
        <w:rPr>
          <w:rFonts w:cs="Arial"/>
          <w:bCs/>
          <w:color w:val="000000"/>
          <w:sz w:val="22"/>
          <w:szCs w:val="22"/>
          <w:lang w:eastAsia="en-GB"/>
        </w:rPr>
        <w:t xml:space="preserve"> hearings</w:t>
      </w:r>
      <w:r w:rsidRPr="00430EAE">
        <w:rPr>
          <w:rFonts w:cs="Arial"/>
          <w:bCs/>
          <w:color w:val="000000"/>
          <w:sz w:val="22"/>
          <w:szCs w:val="22"/>
          <w:lang w:eastAsia="en-GB"/>
        </w:rPr>
        <w:t>. With the reduction in the number of appeals/judicial reviews</w:t>
      </w:r>
      <w:r w:rsidR="00D51C35">
        <w:rPr>
          <w:rFonts w:cs="Arial"/>
          <w:bCs/>
          <w:color w:val="000000"/>
          <w:sz w:val="22"/>
          <w:szCs w:val="22"/>
          <w:lang w:eastAsia="en-GB"/>
        </w:rPr>
        <w:t>,</w:t>
      </w:r>
      <w:r w:rsidRPr="00430EAE">
        <w:rPr>
          <w:rFonts w:cs="Arial"/>
          <w:bCs/>
          <w:color w:val="000000"/>
          <w:sz w:val="22"/>
          <w:szCs w:val="22"/>
          <w:lang w:eastAsia="en-GB"/>
        </w:rPr>
        <w:t xml:space="preserve"> this represents a departmental benefit. Resources can be reallocated elsewhere to other areas of priority</w:t>
      </w:r>
      <w:bookmarkStart w:id="52" w:name="_Hlk536618643"/>
      <w:r w:rsidRPr="00430EAE">
        <w:rPr>
          <w:rFonts w:cs="Arial"/>
          <w:bCs/>
          <w:color w:val="000000"/>
          <w:sz w:val="22"/>
          <w:szCs w:val="22"/>
          <w:lang w:eastAsia="en-GB"/>
        </w:rPr>
        <w:t>. However,</w:t>
      </w:r>
      <w:r w:rsidR="00EA3AEA">
        <w:rPr>
          <w:rFonts w:cs="Arial"/>
          <w:bCs/>
          <w:color w:val="000000"/>
          <w:sz w:val="22"/>
          <w:szCs w:val="22"/>
          <w:lang w:eastAsia="en-GB"/>
        </w:rPr>
        <w:t xml:space="preserve"> efficiency savings are unlikely to be translated into cash savings, </w:t>
      </w:r>
      <w:r w:rsidRPr="00430EAE">
        <w:rPr>
          <w:rFonts w:cs="Arial"/>
          <w:bCs/>
          <w:color w:val="000000"/>
          <w:sz w:val="22"/>
          <w:szCs w:val="22"/>
          <w:lang w:eastAsia="en-GB"/>
        </w:rPr>
        <w:t>a</w:t>
      </w:r>
      <w:r w:rsidR="00B55123">
        <w:rPr>
          <w:rFonts w:cs="Arial"/>
          <w:bCs/>
          <w:color w:val="000000"/>
          <w:sz w:val="22"/>
          <w:szCs w:val="22"/>
          <w:lang w:eastAsia="en-GB"/>
        </w:rPr>
        <w:t xml:space="preserve">s </w:t>
      </w:r>
      <w:r w:rsidR="00EA3AEA">
        <w:rPr>
          <w:rFonts w:cs="Arial"/>
          <w:bCs/>
          <w:color w:val="000000"/>
          <w:sz w:val="22"/>
          <w:szCs w:val="22"/>
          <w:lang w:eastAsia="en-GB"/>
        </w:rPr>
        <w:t xml:space="preserve">such savings are likely to </w:t>
      </w:r>
      <w:r>
        <w:rPr>
          <w:rFonts w:cs="Arial"/>
          <w:bCs/>
          <w:color w:val="000000"/>
          <w:sz w:val="22"/>
          <w:szCs w:val="22"/>
          <w:lang w:eastAsia="en-GB"/>
        </w:rPr>
        <w:t>absorbed within</w:t>
      </w:r>
      <w:r w:rsidRPr="00430EAE">
        <w:rPr>
          <w:rFonts w:cs="Arial"/>
          <w:bCs/>
          <w:color w:val="000000"/>
          <w:sz w:val="22"/>
          <w:szCs w:val="22"/>
          <w:lang w:eastAsia="en-GB"/>
        </w:rPr>
        <w:t xml:space="preserve"> daily demands</w:t>
      </w:r>
      <w:r>
        <w:rPr>
          <w:rFonts w:cs="Arial"/>
          <w:bCs/>
          <w:color w:val="000000"/>
          <w:sz w:val="22"/>
          <w:szCs w:val="22"/>
          <w:lang w:eastAsia="en-GB"/>
        </w:rPr>
        <w:t>.</w:t>
      </w:r>
    </w:p>
    <w:bookmarkEnd w:id="52"/>
    <w:p w14:paraId="2F5C206C" w14:textId="77777777" w:rsidR="00D95EC3" w:rsidRPr="00D95EC3" w:rsidRDefault="00D95EC3" w:rsidP="00D95EC3">
      <w:pPr>
        <w:spacing w:after="120"/>
        <w:ind w:left="568" w:hanging="284"/>
        <w:rPr>
          <w:rFonts w:cs="Arial"/>
          <w:bCs/>
          <w:color w:val="000000"/>
          <w:sz w:val="22"/>
          <w:szCs w:val="22"/>
          <w:lang w:eastAsia="en-GB"/>
        </w:rPr>
      </w:pPr>
    </w:p>
    <w:p w14:paraId="7C549D75" w14:textId="69C5B73F" w:rsidR="00D95EC3" w:rsidRPr="00D95EC3" w:rsidRDefault="006300EE" w:rsidP="006300EE">
      <w:pPr>
        <w:spacing w:after="120"/>
        <w:rPr>
          <w:rFonts w:cs="Arial"/>
          <w:bCs/>
          <w:color w:val="000000"/>
          <w:sz w:val="22"/>
          <w:szCs w:val="22"/>
          <w:u w:val="single"/>
          <w:lang w:eastAsia="en-GB"/>
        </w:rPr>
      </w:pPr>
      <w:r w:rsidRPr="006300EE">
        <w:rPr>
          <w:rFonts w:cs="Arial"/>
          <w:bCs/>
          <w:color w:val="000000"/>
          <w:sz w:val="22"/>
          <w:szCs w:val="22"/>
          <w:lang w:eastAsia="en-GB"/>
        </w:rPr>
        <w:t xml:space="preserve">6.  </w:t>
      </w:r>
      <w:r w:rsidR="00D95EC3" w:rsidRPr="00D95EC3">
        <w:rPr>
          <w:rFonts w:cs="Arial"/>
          <w:bCs/>
          <w:color w:val="000000"/>
          <w:sz w:val="22"/>
          <w:szCs w:val="22"/>
          <w:u w:val="single"/>
          <w:lang w:eastAsia="en-GB"/>
        </w:rPr>
        <w:t>Improved public confidence in immigration procedure</w:t>
      </w:r>
    </w:p>
    <w:p w14:paraId="5529839E"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The Rules are frequently criticised by the senior judiciary and legal practitioners; they are considered to be inadequate. Our comprehensive reforms would address the causes of complexity in the Rules and improve them for the future. This is likely to improve the reputation of the UK’s immigration system.</w:t>
      </w:r>
    </w:p>
    <w:p w14:paraId="34AB36D1" w14:textId="77777777" w:rsidR="00D95EC3" w:rsidRPr="00D95EC3" w:rsidRDefault="00D95EC3" w:rsidP="00D95EC3">
      <w:pPr>
        <w:spacing w:after="120"/>
        <w:rPr>
          <w:rFonts w:cs="Arial"/>
          <w:bCs/>
          <w:color w:val="000000"/>
          <w:sz w:val="22"/>
          <w:szCs w:val="22"/>
          <w:lang w:eastAsia="en-GB"/>
        </w:rPr>
      </w:pPr>
    </w:p>
    <w:p w14:paraId="0F323D4D" w14:textId="27B4F763" w:rsidR="00D95EC3" w:rsidRPr="00D95EC3" w:rsidRDefault="00D95EC3" w:rsidP="00A5230D">
      <w:pPr>
        <w:keepNext/>
        <w:spacing w:after="120"/>
        <w:ind w:left="284"/>
        <w:rPr>
          <w:rFonts w:cs="Arial"/>
          <w:b/>
          <w:bCs/>
          <w:color w:val="000000"/>
          <w:sz w:val="28"/>
          <w:szCs w:val="28"/>
          <w:lang w:eastAsia="en-GB"/>
        </w:rPr>
      </w:pPr>
      <w:r w:rsidRPr="00B14E9C">
        <w:rPr>
          <w:rFonts w:cs="Arial"/>
          <w:b/>
          <w:bCs/>
          <w:color w:val="000000"/>
          <w:sz w:val="28"/>
          <w:szCs w:val="28"/>
          <w:lang w:eastAsia="en-GB"/>
        </w:rPr>
        <w:t xml:space="preserve">Option 2: </w:t>
      </w:r>
      <w:r w:rsidR="00C718F2" w:rsidRPr="00B14E9C">
        <w:rPr>
          <w:rFonts w:cs="Arial"/>
          <w:b/>
          <w:bCs/>
          <w:color w:val="000000"/>
          <w:sz w:val="28"/>
          <w:szCs w:val="28"/>
          <w:lang w:eastAsia="en-GB"/>
        </w:rPr>
        <w:t xml:space="preserve">Selected reform </w:t>
      </w:r>
      <w:r w:rsidR="00C718F2">
        <w:rPr>
          <w:rFonts w:cs="Arial"/>
          <w:b/>
          <w:bCs/>
          <w:color w:val="000000"/>
          <w:sz w:val="28"/>
          <w:szCs w:val="28"/>
          <w:lang w:eastAsia="en-GB"/>
        </w:rPr>
        <w:t>w</w:t>
      </w:r>
      <w:r w:rsidRPr="00D95EC3">
        <w:rPr>
          <w:rFonts w:cs="Arial"/>
          <w:b/>
          <w:bCs/>
          <w:color w:val="000000"/>
          <w:sz w:val="28"/>
          <w:szCs w:val="28"/>
          <w:lang w:eastAsia="en-GB"/>
        </w:rPr>
        <w:t>ithout archiving or review mechanism</w:t>
      </w:r>
    </w:p>
    <w:p w14:paraId="60783DBE" w14:textId="77777777" w:rsidR="00C718F2" w:rsidRDefault="00C718F2" w:rsidP="00D95EC3">
      <w:pPr>
        <w:spacing w:after="120"/>
        <w:ind w:left="284"/>
        <w:rPr>
          <w:rFonts w:cs="Arial"/>
          <w:b/>
          <w:bCs/>
          <w:color w:val="000000"/>
          <w:sz w:val="28"/>
          <w:szCs w:val="28"/>
          <w:lang w:eastAsia="en-GB"/>
        </w:rPr>
      </w:pPr>
    </w:p>
    <w:p w14:paraId="15667A88" w14:textId="46AFC729" w:rsidR="00D95EC3" w:rsidRPr="00D95EC3" w:rsidRDefault="00D95EC3" w:rsidP="00D95EC3">
      <w:pPr>
        <w:spacing w:after="120"/>
        <w:ind w:left="284"/>
        <w:rPr>
          <w:rFonts w:cs="Arial"/>
          <w:b/>
          <w:bCs/>
          <w:color w:val="000000"/>
          <w:sz w:val="28"/>
          <w:szCs w:val="28"/>
          <w:lang w:eastAsia="en-GB"/>
        </w:rPr>
      </w:pPr>
      <w:r w:rsidRPr="00D95EC3">
        <w:rPr>
          <w:rFonts w:cs="Arial"/>
          <w:b/>
          <w:bCs/>
          <w:color w:val="000000"/>
          <w:sz w:val="28"/>
          <w:szCs w:val="28"/>
          <w:lang w:eastAsia="en-GB"/>
        </w:rPr>
        <w:t>Costs</w:t>
      </w:r>
    </w:p>
    <w:p w14:paraId="177778CB" w14:textId="77777777" w:rsidR="00D95EC3" w:rsidRPr="00D95EC3" w:rsidRDefault="00D95EC3" w:rsidP="00D95EC3">
      <w:pPr>
        <w:spacing w:after="120"/>
        <w:ind w:left="284"/>
        <w:rPr>
          <w:rFonts w:cs="Arial"/>
          <w:b/>
          <w:bCs/>
          <w:color w:val="000000"/>
          <w:lang w:eastAsia="en-GB"/>
        </w:rPr>
      </w:pPr>
    </w:p>
    <w:p w14:paraId="5D61BEDD" w14:textId="77777777" w:rsidR="00D95EC3" w:rsidRPr="00D95EC3" w:rsidRDefault="00D95EC3" w:rsidP="00D95EC3">
      <w:pPr>
        <w:spacing w:after="120"/>
        <w:ind w:left="284"/>
        <w:rPr>
          <w:rFonts w:cs="Arial"/>
          <w:b/>
          <w:bCs/>
          <w:color w:val="000000"/>
          <w:lang w:eastAsia="en-GB"/>
        </w:rPr>
      </w:pPr>
      <w:r w:rsidRPr="00D95EC3">
        <w:rPr>
          <w:rFonts w:cs="Arial"/>
          <w:b/>
          <w:bCs/>
          <w:color w:val="000000"/>
          <w:lang w:eastAsia="en-GB"/>
        </w:rPr>
        <w:t>Transitional costs</w:t>
      </w:r>
    </w:p>
    <w:p w14:paraId="09E40A31" w14:textId="77777777"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None identified</w:t>
      </w:r>
    </w:p>
    <w:p w14:paraId="0C67AE7B" w14:textId="77777777" w:rsidR="00D95EC3" w:rsidRPr="00D95EC3" w:rsidRDefault="00D95EC3" w:rsidP="00D95EC3">
      <w:pPr>
        <w:spacing w:after="120"/>
        <w:ind w:left="284"/>
        <w:rPr>
          <w:rFonts w:cs="Arial"/>
          <w:bCs/>
          <w:color w:val="000000"/>
          <w:sz w:val="22"/>
          <w:szCs w:val="22"/>
          <w:lang w:eastAsia="en-GB"/>
        </w:rPr>
      </w:pPr>
    </w:p>
    <w:p w14:paraId="009D4C66" w14:textId="77777777" w:rsidR="00D95EC3" w:rsidRPr="00D95EC3" w:rsidRDefault="00D95EC3" w:rsidP="00D95EC3">
      <w:pPr>
        <w:spacing w:after="120"/>
        <w:ind w:left="284"/>
        <w:rPr>
          <w:rFonts w:cs="Arial"/>
          <w:b/>
          <w:bCs/>
          <w:color w:val="000000"/>
          <w:sz w:val="22"/>
          <w:szCs w:val="22"/>
          <w:lang w:eastAsia="en-GB"/>
        </w:rPr>
      </w:pPr>
      <w:r w:rsidRPr="00D95EC3">
        <w:rPr>
          <w:rFonts w:cs="Arial"/>
          <w:b/>
          <w:bCs/>
          <w:color w:val="000000"/>
          <w:sz w:val="22"/>
          <w:szCs w:val="22"/>
          <w:lang w:eastAsia="en-GB"/>
        </w:rPr>
        <w:t>On-going costs</w:t>
      </w:r>
    </w:p>
    <w:p w14:paraId="2D88A2DF" w14:textId="2E862ADD"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lastRenderedPageBreak/>
        <w:t xml:space="preserve">No on-going costs identified. It is assumed that drafting will be undertaken by existing staff as part of regular duties. The reforms offered in option 2 </w:t>
      </w:r>
      <w:r w:rsidR="00123FE4">
        <w:rPr>
          <w:rFonts w:cs="Arial"/>
          <w:bCs/>
          <w:color w:val="000000"/>
          <w:sz w:val="22"/>
          <w:szCs w:val="22"/>
          <w:lang w:eastAsia="en-GB"/>
        </w:rPr>
        <w:t>is</w:t>
      </w:r>
      <w:r w:rsidRPr="00D95EC3">
        <w:rPr>
          <w:rFonts w:cs="Arial"/>
          <w:bCs/>
          <w:color w:val="000000"/>
          <w:sz w:val="22"/>
          <w:szCs w:val="22"/>
          <w:lang w:eastAsia="en-GB"/>
        </w:rPr>
        <w:t xml:space="preserve"> limited in scope, and unlikely to require more resources </w:t>
      </w:r>
      <w:r w:rsidR="00AC3D99">
        <w:rPr>
          <w:rFonts w:cs="Arial"/>
          <w:bCs/>
          <w:color w:val="000000"/>
          <w:sz w:val="22"/>
          <w:szCs w:val="22"/>
          <w:lang w:eastAsia="en-GB"/>
        </w:rPr>
        <w:t xml:space="preserve">other </w:t>
      </w:r>
      <w:r w:rsidR="00AC3D99" w:rsidRPr="00D95EC3">
        <w:rPr>
          <w:rFonts w:cs="Arial"/>
          <w:bCs/>
          <w:color w:val="000000"/>
          <w:sz w:val="22"/>
          <w:szCs w:val="22"/>
          <w:lang w:eastAsia="en-GB"/>
        </w:rPr>
        <w:t>than</w:t>
      </w:r>
      <w:r w:rsidR="0059277C">
        <w:rPr>
          <w:rFonts w:cs="Arial"/>
          <w:bCs/>
          <w:color w:val="000000"/>
          <w:sz w:val="22"/>
          <w:szCs w:val="22"/>
          <w:lang w:eastAsia="en-GB"/>
        </w:rPr>
        <w:t xml:space="preserve"> </w:t>
      </w:r>
      <w:r w:rsidR="00AC3D99">
        <w:rPr>
          <w:rFonts w:cs="Arial"/>
          <w:bCs/>
          <w:color w:val="000000"/>
          <w:sz w:val="22"/>
          <w:szCs w:val="22"/>
          <w:lang w:eastAsia="en-GB"/>
        </w:rPr>
        <w:t xml:space="preserve">those required by </w:t>
      </w:r>
      <w:r w:rsidRPr="00D95EC3">
        <w:rPr>
          <w:rFonts w:cs="Arial"/>
          <w:bCs/>
          <w:color w:val="000000"/>
          <w:sz w:val="22"/>
          <w:szCs w:val="22"/>
          <w:lang w:eastAsia="en-GB"/>
        </w:rPr>
        <w:t xml:space="preserve">routine changes to the Immigration Rules. </w:t>
      </w:r>
    </w:p>
    <w:p w14:paraId="6DDD193B" w14:textId="77777777" w:rsidR="00D95EC3" w:rsidRPr="00D95EC3" w:rsidRDefault="00D95EC3" w:rsidP="00D95EC3">
      <w:pPr>
        <w:spacing w:after="120"/>
        <w:ind w:left="284"/>
        <w:rPr>
          <w:rFonts w:cs="Arial"/>
          <w:bCs/>
          <w:color w:val="000000"/>
          <w:sz w:val="22"/>
          <w:szCs w:val="22"/>
          <w:lang w:eastAsia="en-GB"/>
        </w:rPr>
      </w:pPr>
    </w:p>
    <w:p w14:paraId="561DD811" w14:textId="77777777" w:rsidR="00D95EC3" w:rsidRPr="00D95EC3" w:rsidRDefault="00D95EC3" w:rsidP="00D95EC3">
      <w:pPr>
        <w:spacing w:after="120"/>
        <w:ind w:left="284"/>
        <w:rPr>
          <w:rFonts w:cs="Arial"/>
          <w:b/>
          <w:bCs/>
          <w:color w:val="000000"/>
          <w:sz w:val="28"/>
          <w:szCs w:val="28"/>
          <w:lang w:eastAsia="en-GB"/>
        </w:rPr>
      </w:pPr>
      <w:r w:rsidRPr="00D95EC3">
        <w:rPr>
          <w:rFonts w:cs="Arial"/>
          <w:b/>
          <w:bCs/>
          <w:color w:val="000000"/>
          <w:sz w:val="28"/>
          <w:szCs w:val="28"/>
          <w:lang w:eastAsia="en-GB"/>
        </w:rPr>
        <w:t>Benefits</w:t>
      </w:r>
    </w:p>
    <w:p w14:paraId="51F6EE80" w14:textId="77777777" w:rsidR="00D95EC3" w:rsidRPr="00D95EC3" w:rsidRDefault="00D95EC3" w:rsidP="00D95EC3">
      <w:pPr>
        <w:spacing w:after="120"/>
        <w:ind w:left="284"/>
        <w:rPr>
          <w:rFonts w:cs="Arial"/>
          <w:b/>
          <w:bCs/>
          <w:color w:val="000000"/>
          <w:sz w:val="28"/>
          <w:szCs w:val="28"/>
          <w:lang w:eastAsia="en-GB"/>
        </w:rPr>
      </w:pPr>
    </w:p>
    <w:p w14:paraId="092874AD" w14:textId="77777777" w:rsidR="00D95EC3" w:rsidRPr="00D95EC3" w:rsidRDefault="00D95EC3" w:rsidP="00D95EC3">
      <w:pPr>
        <w:spacing w:after="120"/>
        <w:ind w:left="284"/>
        <w:rPr>
          <w:rFonts w:cs="Arial"/>
          <w:b/>
          <w:bCs/>
          <w:color w:val="000000"/>
          <w:sz w:val="22"/>
          <w:szCs w:val="22"/>
          <w:lang w:eastAsia="en-GB"/>
        </w:rPr>
      </w:pPr>
      <w:r w:rsidRPr="00D95EC3">
        <w:rPr>
          <w:rFonts w:cs="Arial"/>
          <w:b/>
          <w:bCs/>
          <w:color w:val="000000"/>
          <w:sz w:val="22"/>
          <w:szCs w:val="22"/>
          <w:lang w:eastAsia="en-GB"/>
        </w:rPr>
        <w:t>Transitional benefits</w:t>
      </w:r>
    </w:p>
    <w:p w14:paraId="7010D1F5" w14:textId="77777777"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None identified</w:t>
      </w:r>
    </w:p>
    <w:p w14:paraId="50539E49" w14:textId="77777777" w:rsidR="00D95EC3" w:rsidRPr="00D95EC3" w:rsidRDefault="00D95EC3" w:rsidP="00D95EC3">
      <w:pPr>
        <w:spacing w:after="120"/>
        <w:ind w:left="644"/>
        <w:rPr>
          <w:rFonts w:cs="Arial"/>
          <w:bCs/>
          <w:color w:val="000000"/>
          <w:sz w:val="22"/>
          <w:szCs w:val="22"/>
          <w:lang w:eastAsia="en-GB"/>
        </w:rPr>
      </w:pPr>
    </w:p>
    <w:p w14:paraId="32EC4125" w14:textId="77777777" w:rsidR="00D95EC3" w:rsidRPr="00D95EC3" w:rsidRDefault="00D95EC3" w:rsidP="00D95EC3">
      <w:pPr>
        <w:spacing w:after="120"/>
        <w:ind w:left="284"/>
        <w:rPr>
          <w:rFonts w:cs="Arial"/>
          <w:b/>
          <w:bCs/>
          <w:color w:val="000000"/>
          <w:sz w:val="22"/>
          <w:szCs w:val="22"/>
          <w:lang w:eastAsia="en-GB"/>
        </w:rPr>
      </w:pPr>
      <w:r w:rsidRPr="00D95EC3">
        <w:rPr>
          <w:rFonts w:cs="Arial"/>
          <w:b/>
          <w:bCs/>
          <w:color w:val="000000"/>
          <w:sz w:val="22"/>
          <w:szCs w:val="22"/>
          <w:lang w:eastAsia="en-GB"/>
        </w:rPr>
        <w:t>On-going benefits</w:t>
      </w:r>
    </w:p>
    <w:p w14:paraId="2C8BEE20" w14:textId="74B0642A" w:rsidR="00D95EC3" w:rsidRPr="00D95EC3" w:rsidRDefault="00A5230D" w:rsidP="006E742D">
      <w:pPr>
        <w:spacing w:after="120"/>
        <w:rPr>
          <w:rFonts w:cs="Arial"/>
          <w:bCs/>
          <w:color w:val="000000"/>
          <w:sz w:val="22"/>
          <w:szCs w:val="22"/>
          <w:u w:val="single"/>
          <w:lang w:eastAsia="en-GB"/>
        </w:rPr>
      </w:pPr>
      <w:r w:rsidRPr="006E742D">
        <w:rPr>
          <w:rFonts w:cs="Arial"/>
          <w:bCs/>
          <w:color w:val="000000"/>
          <w:sz w:val="22"/>
          <w:szCs w:val="22"/>
          <w:lang w:eastAsia="en-GB"/>
        </w:rPr>
        <w:t xml:space="preserve">1.  </w:t>
      </w:r>
      <w:r w:rsidR="00D95EC3" w:rsidRPr="00D95EC3">
        <w:rPr>
          <w:rFonts w:cs="Arial"/>
          <w:bCs/>
          <w:color w:val="000000"/>
          <w:sz w:val="22"/>
          <w:szCs w:val="22"/>
          <w:u w:val="single"/>
          <w:lang w:eastAsia="en-GB"/>
        </w:rPr>
        <w:t>Reduction in number of judicial reviews</w:t>
      </w:r>
    </w:p>
    <w:p w14:paraId="0F3B189F" w14:textId="76CB3059" w:rsidR="00D95EC3" w:rsidRPr="00D95EC3" w:rsidRDefault="00D95EC3" w:rsidP="00A5230D">
      <w:pPr>
        <w:spacing w:after="120"/>
        <w:rPr>
          <w:rFonts w:cs="Arial"/>
          <w:bCs/>
          <w:color w:val="000000"/>
          <w:sz w:val="22"/>
          <w:szCs w:val="22"/>
          <w:lang w:eastAsia="en-GB"/>
        </w:rPr>
      </w:pPr>
      <w:r w:rsidRPr="00D95EC3">
        <w:rPr>
          <w:rFonts w:cs="Arial"/>
          <w:bCs/>
          <w:color w:val="000000"/>
          <w:sz w:val="22"/>
          <w:szCs w:val="22"/>
          <w:lang w:eastAsia="en-GB"/>
        </w:rPr>
        <w:t xml:space="preserve">As stated, option 2 </w:t>
      </w:r>
      <w:r w:rsidR="00C718F2">
        <w:rPr>
          <w:rFonts w:cs="Arial"/>
          <w:bCs/>
          <w:color w:val="000000"/>
          <w:sz w:val="22"/>
          <w:szCs w:val="22"/>
          <w:lang w:eastAsia="en-GB"/>
        </w:rPr>
        <w:t>is</w:t>
      </w:r>
      <w:r w:rsidRPr="00D95EC3">
        <w:rPr>
          <w:rFonts w:cs="Arial"/>
          <w:bCs/>
          <w:color w:val="000000"/>
          <w:sz w:val="22"/>
          <w:szCs w:val="22"/>
          <w:lang w:eastAsia="en-GB"/>
        </w:rPr>
        <w:t xml:space="preserve"> more limited in scope than option 1. </w:t>
      </w:r>
      <w:r w:rsidR="00C718F2">
        <w:rPr>
          <w:rFonts w:cs="Arial"/>
          <w:bCs/>
          <w:color w:val="000000"/>
          <w:sz w:val="22"/>
          <w:szCs w:val="22"/>
          <w:lang w:eastAsia="en-GB"/>
        </w:rPr>
        <w:t xml:space="preserve"> As a result</w:t>
      </w:r>
      <w:r w:rsidR="00AC3D99">
        <w:rPr>
          <w:rFonts w:cs="Arial"/>
          <w:bCs/>
          <w:color w:val="000000"/>
          <w:sz w:val="22"/>
          <w:szCs w:val="22"/>
          <w:lang w:eastAsia="en-GB"/>
        </w:rPr>
        <w:t>,</w:t>
      </w:r>
      <w:r w:rsidR="00C718F2">
        <w:rPr>
          <w:rFonts w:cs="Arial"/>
          <w:bCs/>
          <w:color w:val="000000"/>
          <w:sz w:val="22"/>
          <w:szCs w:val="22"/>
          <w:lang w:eastAsia="en-GB"/>
        </w:rPr>
        <w:t xml:space="preserve"> there is less scope for</w:t>
      </w:r>
      <w:r w:rsidRPr="00D95EC3">
        <w:rPr>
          <w:rFonts w:cs="Arial"/>
          <w:bCs/>
          <w:color w:val="000000"/>
          <w:sz w:val="22"/>
          <w:szCs w:val="22"/>
          <w:lang w:eastAsia="en-GB"/>
        </w:rPr>
        <w:t xml:space="preserve"> substantial impact and we have adjusted the percent decreases to reflect this. However, option 2 </w:t>
      </w:r>
      <w:r w:rsidR="00C718F2">
        <w:rPr>
          <w:rFonts w:cs="Arial"/>
          <w:bCs/>
          <w:color w:val="000000"/>
          <w:sz w:val="22"/>
          <w:szCs w:val="22"/>
          <w:lang w:eastAsia="en-GB"/>
        </w:rPr>
        <w:t>is</w:t>
      </w:r>
      <w:r w:rsidRPr="00D95EC3">
        <w:rPr>
          <w:rFonts w:cs="Arial"/>
          <w:bCs/>
          <w:color w:val="000000"/>
          <w:sz w:val="22"/>
          <w:szCs w:val="22"/>
          <w:lang w:eastAsia="en-GB"/>
        </w:rPr>
        <w:t xml:space="preserve"> unlikely to be entirely negligible in its effect. Restructuring and renumbering the Rules, eliminating </w:t>
      </w:r>
      <w:r w:rsidR="00AC3D99">
        <w:rPr>
          <w:rFonts w:cs="Arial"/>
          <w:bCs/>
          <w:color w:val="000000"/>
          <w:sz w:val="22"/>
          <w:szCs w:val="22"/>
          <w:lang w:eastAsia="en-GB"/>
        </w:rPr>
        <w:t xml:space="preserve">unnecessary </w:t>
      </w:r>
      <w:r w:rsidRPr="00D95EC3">
        <w:rPr>
          <w:rFonts w:cs="Arial"/>
          <w:bCs/>
          <w:color w:val="000000"/>
          <w:sz w:val="22"/>
          <w:szCs w:val="22"/>
          <w:lang w:eastAsia="en-GB"/>
        </w:rPr>
        <w:t>repetitions and introducing overviews and contents pages could clarify aspects of the Rules and potentially lead to a reduction in judicial reviews.</w:t>
      </w:r>
    </w:p>
    <w:p w14:paraId="692C3AD1" w14:textId="77777777" w:rsidR="00D95EC3" w:rsidRPr="00D95EC3" w:rsidRDefault="00D95EC3" w:rsidP="00D95EC3">
      <w:pPr>
        <w:spacing w:after="120"/>
        <w:ind w:left="284" w:hanging="284"/>
        <w:rPr>
          <w:rFonts w:cs="Arial"/>
          <w:bCs/>
          <w:color w:val="000000"/>
          <w:sz w:val="22"/>
          <w:szCs w:val="22"/>
          <w:lang w:eastAsia="en-GB"/>
        </w:rPr>
      </w:pPr>
    </w:p>
    <w:p w14:paraId="60D94076" w14:textId="77777777" w:rsidR="00D95EC3" w:rsidRPr="00D95EC3" w:rsidRDefault="00D95EC3" w:rsidP="00D95EC3">
      <w:pPr>
        <w:ind w:left="284"/>
        <w:rPr>
          <w:rFonts w:cs="Arial"/>
          <w:bCs/>
          <w:color w:val="000000"/>
          <w:sz w:val="22"/>
          <w:szCs w:val="22"/>
          <w:u w:val="single"/>
          <w:lang w:eastAsia="en-GB"/>
        </w:rPr>
      </w:pPr>
      <w:r w:rsidRPr="00D95EC3">
        <w:rPr>
          <w:rFonts w:cs="Arial"/>
          <w:bCs/>
          <w:color w:val="000000"/>
          <w:sz w:val="22"/>
          <w:szCs w:val="22"/>
          <w:u w:val="single"/>
          <w:lang w:eastAsia="en-GB"/>
        </w:rPr>
        <w:t xml:space="preserve">Table 7: Savings from the reduction in Judicial Reviews in the Upper Tribunal of the </w:t>
      </w:r>
    </w:p>
    <w:p w14:paraId="098AD539" w14:textId="77777777" w:rsidR="00D95EC3" w:rsidRPr="00D95EC3" w:rsidRDefault="00D95EC3" w:rsidP="00D95EC3">
      <w:pPr>
        <w:ind w:left="284"/>
        <w:rPr>
          <w:rFonts w:cs="Arial"/>
          <w:bCs/>
          <w:color w:val="000000"/>
          <w:sz w:val="22"/>
          <w:szCs w:val="22"/>
          <w:u w:val="single"/>
          <w:lang w:eastAsia="en-GB"/>
        </w:rPr>
      </w:pPr>
      <w:r w:rsidRPr="00D95EC3">
        <w:rPr>
          <w:rFonts w:cs="Arial"/>
          <w:bCs/>
          <w:color w:val="000000"/>
          <w:sz w:val="22"/>
          <w:szCs w:val="22"/>
          <w:u w:val="single"/>
          <w:lang w:eastAsia="en-GB"/>
        </w:rPr>
        <w:t>Immigration and Asylum Chamber [IAC]</w:t>
      </w:r>
    </w:p>
    <w:p w14:paraId="2E22A3D4" w14:textId="207D9EBB" w:rsidR="00D95EC3" w:rsidRDefault="00D95EC3" w:rsidP="00D95EC3">
      <w:pPr>
        <w:spacing w:after="120"/>
        <w:ind w:left="568" w:hanging="284"/>
        <w:rPr>
          <w:rFonts w:cs="Arial"/>
          <w:bCs/>
          <w:color w:val="000000"/>
          <w:sz w:val="22"/>
          <w:szCs w:val="22"/>
          <w:lang w:eastAsia="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81"/>
        <w:gridCol w:w="1843"/>
        <w:gridCol w:w="1562"/>
      </w:tblGrid>
      <w:tr w:rsidR="00C718F2" w:rsidRPr="00D95EC3" w14:paraId="6AFB2A54" w14:textId="77777777" w:rsidTr="00641208">
        <w:tc>
          <w:tcPr>
            <w:tcW w:w="2830" w:type="dxa"/>
          </w:tcPr>
          <w:p w14:paraId="67EE2098" w14:textId="77777777" w:rsidR="00C718F2" w:rsidRPr="00D95EC3" w:rsidRDefault="00C718F2" w:rsidP="00641208">
            <w:pPr>
              <w:spacing w:after="120"/>
              <w:rPr>
                <w:rFonts w:cs="Arial"/>
                <w:bCs/>
                <w:color w:val="000000"/>
                <w:sz w:val="22"/>
                <w:szCs w:val="22"/>
                <w:lang w:eastAsia="en-GB"/>
              </w:rPr>
            </w:pPr>
          </w:p>
        </w:tc>
        <w:tc>
          <w:tcPr>
            <w:tcW w:w="2381" w:type="dxa"/>
          </w:tcPr>
          <w:p w14:paraId="35654781" w14:textId="77777777" w:rsidR="00C718F2" w:rsidRPr="00D95EC3" w:rsidRDefault="00C718F2" w:rsidP="00641208">
            <w:pPr>
              <w:spacing w:after="120"/>
              <w:rPr>
                <w:rFonts w:cs="Arial"/>
                <w:bCs/>
                <w:color w:val="000000"/>
                <w:sz w:val="22"/>
                <w:szCs w:val="22"/>
                <w:lang w:eastAsia="en-GB"/>
              </w:rPr>
            </w:pPr>
            <w:r w:rsidRPr="00D95EC3">
              <w:rPr>
                <w:rFonts w:cs="Arial"/>
                <w:bCs/>
                <w:color w:val="000000"/>
                <w:sz w:val="22"/>
                <w:szCs w:val="22"/>
                <w:lang w:eastAsia="en-GB"/>
              </w:rPr>
              <w:t>Low estimate</w:t>
            </w:r>
          </w:p>
        </w:tc>
        <w:tc>
          <w:tcPr>
            <w:tcW w:w="1843" w:type="dxa"/>
          </w:tcPr>
          <w:p w14:paraId="0974E301" w14:textId="77777777" w:rsidR="00C718F2" w:rsidRPr="00D95EC3" w:rsidRDefault="00C718F2" w:rsidP="00641208">
            <w:pPr>
              <w:spacing w:after="120"/>
              <w:rPr>
                <w:rFonts w:cs="Arial"/>
                <w:bCs/>
                <w:color w:val="000000"/>
                <w:sz w:val="22"/>
                <w:szCs w:val="22"/>
                <w:lang w:eastAsia="en-GB"/>
              </w:rPr>
            </w:pPr>
            <w:r w:rsidRPr="00D95EC3">
              <w:rPr>
                <w:rFonts w:cs="Arial"/>
                <w:bCs/>
                <w:color w:val="000000"/>
                <w:sz w:val="22"/>
                <w:szCs w:val="22"/>
                <w:lang w:eastAsia="en-GB"/>
              </w:rPr>
              <w:t>Best estimate</w:t>
            </w:r>
          </w:p>
        </w:tc>
        <w:tc>
          <w:tcPr>
            <w:tcW w:w="1562" w:type="dxa"/>
          </w:tcPr>
          <w:p w14:paraId="6435473F" w14:textId="77777777" w:rsidR="00C718F2" w:rsidRPr="00D95EC3" w:rsidRDefault="00C718F2" w:rsidP="00641208">
            <w:pPr>
              <w:spacing w:after="120"/>
              <w:rPr>
                <w:rFonts w:cs="Arial"/>
                <w:bCs/>
                <w:color w:val="000000"/>
                <w:sz w:val="22"/>
                <w:szCs w:val="22"/>
                <w:lang w:eastAsia="en-GB"/>
              </w:rPr>
            </w:pPr>
            <w:r w:rsidRPr="00D95EC3">
              <w:rPr>
                <w:rFonts w:cs="Arial"/>
                <w:bCs/>
                <w:color w:val="000000"/>
                <w:sz w:val="22"/>
                <w:szCs w:val="22"/>
                <w:lang w:eastAsia="en-GB"/>
              </w:rPr>
              <w:t>High estimate</w:t>
            </w:r>
          </w:p>
        </w:tc>
      </w:tr>
      <w:tr w:rsidR="00C718F2" w:rsidRPr="00D95EC3" w14:paraId="1355E524" w14:textId="77777777" w:rsidTr="00641208">
        <w:tc>
          <w:tcPr>
            <w:tcW w:w="2830" w:type="dxa"/>
          </w:tcPr>
          <w:p w14:paraId="4093CEAE" w14:textId="77777777" w:rsidR="00C718F2" w:rsidRPr="00D95EC3" w:rsidRDefault="00C718F2" w:rsidP="00641208">
            <w:pPr>
              <w:spacing w:after="120"/>
              <w:rPr>
                <w:rFonts w:cs="Arial"/>
                <w:bCs/>
                <w:color w:val="000000"/>
                <w:sz w:val="22"/>
                <w:szCs w:val="22"/>
                <w:lang w:eastAsia="en-GB"/>
              </w:rPr>
            </w:pPr>
            <w:r w:rsidRPr="00D95EC3">
              <w:rPr>
                <w:rFonts w:cs="Arial"/>
                <w:bCs/>
                <w:color w:val="000000"/>
                <w:sz w:val="22"/>
                <w:szCs w:val="22"/>
                <w:lang w:eastAsia="en-GB"/>
              </w:rPr>
              <w:t>Number of judicial reviews</w:t>
            </w:r>
          </w:p>
        </w:tc>
        <w:tc>
          <w:tcPr>
            <w:tcW w:w="2381" w:type="dxa"/>
          </w:tcPr>
          <w:p w14:paraId="016CADED" w14:textId="77777777" w:rsidR="00C718F2" w:rsidRPr="00D95EC3" w:rsidRDefault="00C718F2" w:rsidP="00641208">
            <w:pPr>
              <w:spacing w:after="120"/>
              <w:rPr>
                <w:rFonts w:cs="Arial"/>
                <w:bCs/>
                <w:color w:val="000000"/>
                <w:sz w:val="22"/>
                <w:szCs w:val="22"/>
                <w:lang w:eastAsia="en-GB"/>
              </w:rPr>
            </w:pPr>
            <w:r w:rsidRPr="00D95EC3">
              <w:rPr>
                <w:rFonts w:cs="Arial"/>
                <w:bCs/>
                <w:color w:val="000000"/>
                <w:sz w:val="22"/>
                <w:szCs w:val="22"/>
                <w:lang w:eastAsia="en-GB"/>
              </w:rPr>
              <w:t>9,475</w:t>
            </w:r>
          </w:p>
        </w:tc>
        <w:tc>
          <w:tcPr>
            <w:tcW w:w="1843" w:type="dxa"/>
          </w:tcPr>
          <w:p w14:paraId="4158FFDD" w14:textId="77777777" w:rsidR="00C718F2" w:rsidRPr="00D95EC3" w:rsidRDefault="00C718F2" w:rsidP="00641208">
            <w:pPr>
              <w:spacing w:after="120"/>
              <w:rPr>
                <w:rFonts w:cs="Arial"/>
                <w:bCs/>
                <w:color w:val="000000"/>
                <w:sz w:val="22"/>
                <w:szCs w:val="22"/>
                <w:lang w:eastAsia="en-GB"/>
              </w:rPr>
            </w:pPr>
            <w:r w:rsidRPr="00D95EC3">
              <w:rPr>
                <w:rFonts w:cs="Arial"/>
                <w:bCs/>
                <w:color w:val="000000"/>
                <w:sz w:val="22"/>
                <w:szCs w:val="22"/>
                <w:lang w:eastAsia="en-GB"/>
              </w:rPr>
              <w:t>9,974</w:t>
            </w:r>
          </w:p>
        </w:tc>
        <w:tc>
          <w:tcPr>
            <w:tcW w:w="1562" w:type="dxa"/>
          </w:tcPr>
          <w:p w14:paraId="0E5CA5EB" w14:textId="77777777" w:rsidR="00C718F2" w:rsidRPr="00D95EC3" w:rsidRDefault="00C718F2" w:rsidP="00641208">
            <w:pPr>
              <w:spacing w:after="120"/>
              <w:rPr>
                <w:rFonts w:cs="Arial"/>
                <w:bCs/>
                <w:color w:val="000000"/>
                <w:sz w:val="22"/>
                <w:szCs w:val="22"/>
                <w:lang w:eastAsia="en-GB"/>
              </w:rPr>
            </w:pPr>
            <w:r w:rsidRPr="00D95EC3">
              <w:rPr>
                <w:rFonts w:cs="Arial"/>
                <w:bCs/>
                <w:color w:val="000000"/>
                <w:sz w:val="22"/>
                <w:szCs w:val="22"/>
                <w:lang w:eastAsia="en-GB"/>
              </w:rPr>
              <w:t>10,473</w:t>
            </w:r>
          </w:p>
        </w:tc>
      </w:tr>
      <w:tr w:rsidR="00C718F2" w:rsidRPr="00D95EC3" w14:paraId="6952414C" w14:textId="77777777" w:rsidTr="00641208">
        <w:tc>
          <w:tcPr>
            <w:tcW w:w="2830" w:type="dxa"/>
          </w:tcPr>
          <w:p w14:paraId="61445577" w14:textId="77777777" w:rsidR="00C718F2" w:rsidRPr="00D95EC3" w:rsidRDefault="00C718F2" w:rsidP="00641208">
            <w:pPr>
              <w:spacing w:after="120"/>
              <w:rPr>
                <w:rFonts w:cs="Arial"/>
                <w:bCs/>
                <w:color w:val="000000"/>
                <w:sz w:val="22"/>
                <w:szCs w:val="22"/>
                <w:lang w:eastAsia="en-GB"/>
              </w:rPr>
            </w:pPr>
            <w:r w:rsidRPr="00D95EC3">
              <w:rPr>
                <w:rFonts w:cs="Arial"/>
                <w:bCs/>
                <w:color w:val="000000"/>
                <w:sz w:val="22"/>
                <w:szCs w:val="22"/>
                <w:lang w:eastAsia="en-GB"/>
              </w:rPr>
              <w:t xml:space="preserve">Percentage reduction in judicial reviews </w:t>
            </w:r>
          </w:p>
        </w:tc>
        <w:tc>
          <w:tcPr>
            <w:tcW w:w="2381" w:type="dxa"/>
          </w:tcPr>
          <w:p w14:paraId="158FA9B3" w14:textId="5C5359B2" w:rsidR="00C718F2" w:rsidRPr="00D95EC3" w:rsidRDefault="00C718F2" w:rsidP="00641208">
            <w:pPr>
              <w:spacing w:after="120"/>
              <w:rPr>
                <w:rFonts w:cs="Arial"/>
                <w:bCs/>
                <w:color w:val="000000"/>
                <w:sz w:val="22"/>
                <w:szCs w:val="22"/>
                <w:lang w:eastAsia="en-GB"/>
              </w:rPr>
            </w:pPr>
            <w:r>
              <w:rPr>
                <w:rFonts w:cs="Arial"/>
                <w:bCs/>
                <w:color w:val="000000"/>
                <w:sz w:val="22"/>
                <w:szCs w:val="22"/>
                <w:lang w:eastAsia="en-GB"/>
              </w:rPr>
              <w:t>0</w:t>
            </w:r>
            <w:r w:rsidRPr="00D95EC3">
              <w:rPr>
                <w:rFonts w:cs="Arial"/>
                <w:bCs/>
                <w:color w:val="000000"/>
                <w:sz w:val="22"/>
                <w:szCs w:val="22"/>
                <w:lang w:eastAsia="en-GB"/>
              </w:rPr>
              <w:t>%</w:t>
            </w:r>
          </w:p>
        </w:tc>
        <w:tc>
          <w:tcPr>
            <w:tcW w:w="1843" w:type="dxa"/>
          </w:tcPr>
          <w:p w14:paraId="436DE7FB" w14:textId="1CA04257" w:rsidR="00C718F2" w:rsidRPr="00D95EC3" w:rsidRDefault="00C718F2" w:rsidP="00641208">
            <w:pPr>
              <w:spacing w:after="120"/>
              <w:rPr>
                <w:rFonts w:cs="Arial"/>
                <w:bCs/>
                <w:color w:val="000000"/>
                <w:sz w:val="22"/>
                <w:szCs w:val="22"/>
                <w:lang w:eastAsia="en-GB"/>
              </w:rPr>
            </w:pPr>
            <w:r>
              <w:rPr>
                <w:rFonts w:cs="Arial"/>
                <w:bCs/>
                <w:color w:val="000000"/>
                <w:sz w:val="22"/>
                <w:szCs w:val="22"/>
                <w:lang w:eastAsia="en-GB"/>
              </w:rPr>
              <w:t>2</w:t>
            </w:r>
            <w:r w:rsidRPr="00D95EC3">
              <w:rPr>
                <w:rFonts w:cs="Arial"/>
                <w:bCs/>
                <w:color w:val="000000"/>
                <w:sz w:val="22"/>
                <w:szCs w:val="22"/>
                <w:lang w:eastAsia="en-GB"/>
              </w:rPr>
              <w:t>%</w:t>
            </w:r>
          </w:p>
        </w:tc>
        <w:tc>
          <w:tcPr>
            <w:tcW w:w="1562" w:type="dxa"/>
          </w:tcPr>
          <w:p w14:paraId="6A696B9C" w14:textId="33069426" w:rsidR="00C718F2" w:rsidRPr="00D95EC3" w:rsidRDefault="00C718F2" w:rsidP="00641208">
            <w:pPr>
              <w:spacing w:after="120"/>
              <w:rPr>
                <w:rFonts w:cs="Arial"/>
                <w:bCs/>
                <w:color w:val="000000"/>
                <w:sz w:val="22"/>
                <w:szCs w:val="22"/>
                <w:lang w:eastAsia="en-GB"/>
              </w:rPr>
            </w:pPr>
            <w:r>
              <w:rPr>
                <w:rFonts w:cs="Arial"/>
                <w:bCs/>
                <w:color w:val="000000"/>
                <w:sz w:val="22"/>
                <w:szCs w:val="22"/>
                <w:lang w:eastAsia="en-GB"/>
              </w:rPr>
              <w:t>3</w:t>
            </w:r>
            <w:r w:rsidRPr="00D95EC3">
              <w:rPr>
                <w:rFonts w:cs="Arial"/>
                <w:bCs/>
                <w:color w:val="000000"/>
                <w:sz w:val="22"/>
                <w:szCs w:val="22"/>
                <w:lang w:eastAsia="en-GB"/>
              </w:rPr>
              <w:t>%</w:t>
            </w:r>
          </w:p>
        </w:tc>
      </w:tr>
      <w:tr w:rsidR="00C718F2" w:rsidRPr="00D95EC3" w14:paraId="6F436E78" w14:textId="77777777" w:rsidTr="00641208">
        <w:tc>
          <w:tcPr>
            <w:tcW w:w="2830" w:type="dxa"/>
          </w:tcPr>
          <w:p w14:paraId="139FE398" w14:textId="77777777" w:rsidR="00C718F2" w:rsidRPr="00D95EC3" w:rsidRDefault="00C718F2" w:rsidP="00641208">
            <w:pPr>
              <w:spacing w:after="120"/>
              <w:rPr>
                <w:rFonts w:cs="Arial"/>
                <w:bCs/>
                <w:color w:val="000000"/>
                <w:sz w:val="22"/>
                <w:szCs w:val="22"/>
                <w:lang w:eastAsia="en-GB"/>
              </w:rPr>
            </w:pPr>
            <w:r w:rsidRPr="00D95EC3">
              <w:rPr>
                <w:rFonts w:cs="Arial"/>
                <w:bCs/>
                <w:color w:val="000000"/>
                <w:sz w:val="22"/>
                <w:szCs w:val="22"/>
                <w:lang w:eastAsia="en-GB"/>
              </w:rPr>
              <w:t xml:space="preserve">Savings from </w:t>
            </w:r>
            <w:r>
              <w:rPr>
                <w:rFonts w:cs="Arial"/>
                <w:bCs/>
                <w:color w:val="000000"/>
                <w:sz w:val="22"/>
                <w:szCs w:val="22"/>
                <w:lang w:eastAsia="en-GB"/>
              </w:rPr>
              <w:t>the Permission Stage</w:t>
            </w:r>
          </w:p>
        </w:tc>
        <w:tc>
          <w:tcPr>
            <w:tcW w:w="2381" w:type="dxa"/>
          </w:tcPr>
          <w:p w14:paraId="77EAEFAB" w14:textId="39262805" w:rsidR="00C718F2" w:rsidRPr="00D95EC3" w:rsidRDefault="00C718F2" w:rsidP="00641208">
            <w:pPr>
              <w:spacing w:after="120"/>
              <w:rPr>
                <w:rFonts w:cs="Arial"/>
                <w:bCs/>
                <w:color w:val="000000"/>
                <w:sz w:val="22"/>
                <w:szCs w:val="22"/>
                <w:lang w:eastAsia="en-GB"/>
              </w:rPr>
            </w:pPr>
            <w:r w:rsidRPr="00D95EC3">
              <w:rPr>
                <w:rFonts w:cs="Arial"/>
                <w:bCs/>
                <w:color w:val="000000"/>
                <w:sz w:val="22"/>
                <w:szCs w:val="22"/>
                <w:lang w:eastAsia="en-GB"/>
              </w:rPr>
              <w:t>£0.0</w:t>
            </w:r>
          </w:p>
        </w:tc>
        <w:tc>
          <w:tcPr>
            <w:tcW w:w="1843" w:type="dxa"/>
          </w:tcPr>
          <w:p w14:paraId="0AF96ED5" w14:textId="411453F6" w:rsidR="00C718F2" w:rsidRPr="00D95EC3" w:rsidRDefault="00123FE4" w:rsidP="00641208">
            <w:pPr>
              <w:spacing w:after="120"/>
              <w:rPr>
                <w:rFonts w:cs="Arial"/>
                <w:bCs/>
                <w:color w:val="000000"/>
                <w:sz w:val="22"/>
                <w:szCs w:val="22"/>
                <w:lang w:eastAsia="en-GB"/>
              </w:rPr>
            </w:pPr>
            <w:r>
              <w:rPr>
                <w:rFonts w:cs="Arial"/>
                <w:bCs/>
                <w:color w:val="000000"/>
                <w:sz w:val="22"/>
                <w:szCs w:val="22"/>
                <w:lang w:eastAsia="en-GB"/>
              </w:rPr>
              <w:t>£0.09</w:t>
            </w:r>
            <w:r w:rsidR="00C718F2" w:rsidRPr="00D95EC3">
              <w:rPr>
                <w:rFonts w:cs="Arial"/>
                <w:bCs/>
                <w:color w:val="000000"/>
                <w:sz w:val="22"/>
                <w:szCs w:val="22"/>
                <w:lang w:eastAsia="en-GB"/>
              </w:rPr>
              <w:t xml:space="preserve"> m</w:t>
            </w:r>
          </w:p>
        </w:tc>
        <w:tc>
          <w:tcPr>
            <w:tcW w:w="1562" w:type="dxa"/>
          </w:tcPr>
          <w:p w14:paraId="1E1D90A9" w14:textId="321BBE5B" w:rsidR="00C718F2" w:rsidRPr="00D95EC3" w:rsidRDefault="00123FE4" w:rsidP="00641208">
            <w:pPr>
              <w:spacing w:after="120"/>
              <w:rPr>
                <w:rFonts w:cs="Arial"/>
                <w:bCs/>
                <w:color w:val="000000"/>
                <w:sz w:val="22"/>
                <w:szCs w:val="22"/>
                <w:lang w:eastAsia="en-GB"/>
              </w:rPr>
            </w:pPr>
            <w:r>
              <w:rPr>
                <w:rFonts w:cs="Arial"/>
                <w:bCs/>
                <w:color w:val="000000"/>
                <w:sz w:val="22"/>
                <w:szCs w:val="22"/>
                <w:lang w:eastAsia="en-GB"/>
              </w:rPr>
              <w:t>£0.1</w:t>
            </w:r>
            <w:r w:rsidR="00C718F2" w:rsidRPr="00D95EC3">
              <w:rPr>
                <w:rFonts w:cs="Arial"/>
                <w:bCs/>
                <w:color w:val="000000"/>
                <w:sz w:val="22"/>
                <w:szCs w:val="22"/>
                <w:lang w:eastAsia="en-GB"/>
              </w:rPr>
              <w:t>5 m</w:t>
            </w:r>
          </w:p>
        </w:tc>
      </w:tr>
      <w:tr w:rsidR="00C718F2" w:rsidRPr="00D95EC3" w14:paraId="1631C930" w14:textId="77777777" w:rsidTr="00641208">
        <w:tc>
          <w:tcPr>
            <w:tcW w:w="2830" w:type="dxa"/>
          </w:tcPr>
          <w:p w14:paraId="08F1F1F3" w14:textId="77777777" w:rsidR="00C718F2" w:rsidRPr="00D95EC3" w:rsidRDefault="00C718F2" w:rsidP="00641208">
            <w:pPr>
              <w:spacing w:after="120"/>
              <w:rPr>
                <w:rFonts w:cs="Arial"/>
                <w:bCs/>
                <w:color w:val="000000"/>
                <w:sz w:val="22"/>
                <w:szCs w:val="22"/>
                <w:lang w:eastAsia="en-GB"/>
              </w:rPr>
            </w:pPr>
            <w:r w:rsidRPr="00D95EC3">
              <w:rPr>
                <w:rFonts w:cs="Arial"/>
                <w:bCs/>
                <w:color w:val="000000"/>
                <w:sz w:val="22"/>
                <w:szCs w:val="22"/>
                <w:lang w:eastAsia="en-GB"/>
              </w:rPr>
              <w:t xml:space="preserve">Savings from </w:t>
            </w:r>
            <w:r>
              <w:rPr>
                <w:rFonts w:cs="Arial"/>
                <w:bCs/>
                <w:color w:val="000000"/>
                <w:sz w:val="22"/>
                <w:szCs w:val="22"/>
                <w:lang w:eastAsia="en-GB"/>
              </w:rPr>
              <w:t>the Substantive Stage</w:t>
            </w:r>
          </w:p>
        </w:tc>
        <w:tc>
          <w:tcPr>
            <w:tcW w:w="2381" w:type="dxa"/>
          </w:tcPr>
          <w:p w14:paraId="44DBB099" w14:textId="734E7A00" w:rsidR="00C718F2" w:rsidRPr="00D95EC3" w:rsidRDefault="00C718F2" w:rsidP="00641208">
            <w:pPr>
              <w:spacing w:after="120"/>
              <w:rPr>
                <w:rFonts w:cs="Arial"/>
                <w:bCs/>
                <w:color w:val="000000"/>
                <w:sz w:val="22"/>
                <w:szCs w:val="22"/>
                <w:lang w:eastAsia="en-GB"/>
              </w:rPr>
            </w:pPr>
            <w:r w:rsidRPr="00D95EC3">
              <w:rPr>
                <w:rFonts w:cs="Arial"/>
                <w:bCs/>
                <w:color w:val="000000"/>
                <w:sz w:val="22"/>
                <w:szCs w:val="22"/>
                <w:lang w:eastAsia="en-GB"/>
              </w:rPr>
              <w:t>£0.0</w:t>
            </w:r>
          </w:p>
        </w:tc>
        <w:tc>
          <w:tcPr>
            <w:tcW w:w="1843" w:type="dxa"/>
          </w:tcPr>
          <w:p w14:paraId="3B12B5B3" w14:textId="43E394B5" w:rsidR="00C718F2" w:rsidRPr="00D95EC3" w:rsidRDefault="00C718F2" w:rsidP="00641208">
            <w:pPr>
              <w:spacing w:after="120"/>
              <w:rPr>
                <w:rFonts w:cs="Arial"/>
                <w:bCs/>
                <w:color w:val="000000"/>
                <w:sz w:val="22"/>
                <w:szCs w:val="22"/>
                <w:lang w:eastAsia="en-GB"/>
              </w:rPr>
            </w:pPr>
            <w:r w:rsidRPr="00D95EC3">
              <w:rPr>
                <w:rFonts w:cs="Arial"/>
                <w:bCs/>
                <w:color w:val="000000"/>
                <w:sz w:val="22"/>
                <w:szCs w:val="22"/>
                <w:lang w:eastAsia="en-GB"/>
              </w:rPr>
              <w:t>£0.0</w:t>
            </w:r>
            <w:r w:rsidR="00123FE4">
              <w:rPr>
                <w:rFonts w:cs="Arial"/>
                <w:bCs/>
                <w:color w:val="000000"/>
                <w:sz w:val="22"/>
                <w:szCs w:val="22"/>
                <w:lang w:eastAsia="en-GB"/>
              </w:rPr>
              <w:t>7</w:t>
            </w:r>
            <w:r w:rsidRPr="00D95EC3">
              <w:rPr>
                <w:rFonts w:cs="Arial"/>
                <w:bCs/>
                <w:color w:val="000000"/>
                <w:sz w:val="22"/>
                <w:szCs w:val="22"/>
                <w:lang w:eastAsia="en-GB"/>
              </w:rPr>
              <w:t xml:space="preserve"> m</w:t>
            </w:r>
          </w:p>
        </w:tc>
        <w:tc>
          <w:tcPr>
            <w:tcW w:w="1562" w:type="dxa"/>
          </w:tcPr>
          <w:p w14:paraId="57D15EE1" w14:textId="62A278D6" w:rsidR="00C718F2" w:rsidRPr="00D95EC3" w:rsidRDefault="00C718F2" w:rsidP="00641208">
            <w:pPr>
              <w:spacing w:after="120"/>
              <w:rPr>
                <w:rFonts w:cs="Arial"/>
                <w:bCs/>
                <w:color w:val="000000"/>
                <w:sz w:val="22"/>
                <w:szCs w:val="22"/>
                <w:lang w:eastAsia="en-GB"/>
              </w:rPr>
            </w:pPr>
            <w:r w:rsidRPr="00D95EC3">
              <w:rPr>
                <w:rFonts w:cs="Arial"/>
                <w:bCs/>
                <w:color w:val="000000"/>
                <w:sz w:val="22"/>
                <w:szCs w:val="22"/>
                <w:lang w:eastAsia="en-GB"/>
              </w:rPr>
              <w:t>£0.</w:t>
            </w:r>
            <w:r w:rsidR="00123FE4">
              <w:rPr>
                <w:rFonts w:cs="Arial"/>
                <w:bCs/>
                <w:color w:val="000000"/>
                <w:sz w:val="22"/>
                <w:szCs w:val="22"/>
                <w:lang w:eastAsia="en-GB"/>
              </w:rPr>
              <w:t>08</w:t>
            </w:r>
            <w:r w:rsidRPr="00D95EC3">
              <w:rPr>
                <w:rFonts w:cs="Arial"/>
                <w:bCs/>
                <w:color w:val="000000"/>
                <w:sz w:val="22"/>
                <w:szCs w:val="22"/>
                <w:lang w:eastAsia="en-GB"/>
              </w:rPr>
              <w:t xml:space="preserve"> m</w:t>
            </w:r>
          </w:p>
        </w:tc>
      </w:tr>
      <w:tr w:rsidR="00C718F2" w:rsidRPr="00D95EC3" w14:paraId="3CAB0409" w14:textId="77777777" w:rsidTr="00641208">
        <w:tc>
          <w:tcPr>
            <w:tcW w:w="2830" w:type="dxa"/>
          </w:tcPr>
          <w:p w14:paraId="0EFFFC0D" w14:textId="77777777" w:rsidR="00C718F2" w:rsidRPr="00D95EC3" w:rsidRDefault="00C718F2" w:rsidP="00641208">
            <w:pPr>
              <w:spacing w:after="120"/>
              <w:rPr>
                <w:rFonts w:cs="Arial"/>
                <w:bCs/>
                <w:color w:val="000000"/>
                <w:sz w:val="22"/>
                <w:szCs w:val="22"/>
                <w:lang w:eastAsia="en-GB"/>
              </w:rPr>
            </w:pPr>
            <w:r w:rsidRPr="00D95EC3">
              <w:rPr>
                <w:rFonts w:cs="Arial"/>
                <w:bCs/>
                <w:color w:val="000000"/>
                <w:sz w:val="22"/>
                <w:szCs w:val="22"/>
                <w:lang w:eastAsia="en-GB"/>
              </w:rPr>
              <w:t>Total Annual savings</w:t>
            </w:r>
            <w:r w:rsidRPr="00D95EC3">
              <w:rPr>
                <w:rFonts w:cs="Arial"/>
                <w:bCs/>
                <w:color w:val="000000"/>
                <w:sz w:val="22"/>
                <w:szCs w:val="22"/>
                <w:vertAlign w:val="superscript"/>
                <w:lang w:eastAsia="en-GB"/>
              </w:rPr>
              <w:footnoteReference w:id="33"/>
            </w:r>
          </w:p>
        </w:tc>
        <w:tc>
          <w:tcPr>
            <w:tcW w:w="2381" w:type="dxa"/>
          </w:tcPr>
          <w:p w14:paraId="0D752863" w14:textId="524762BD" w:rsidR="00C718F2" w:rsidRPr="00D95EC3" w:rsidRDefault="00C718F2" w:rsidP="00641208">
            <w:pPr>
              <w:spacing w:after="120"/>
              <w:rPr>
                <w:rFonts w:cs="Arial"/>
                <w:bCs/>
                <w:color w:val="000000"/>
                <w:sz w:val="22"/>
                <w:szCs w:val="22"/>
                <w:lang w:eastAsia="en-GB"/>
              </w:rPr>
            </w:pPr>
            <w:r w:rsidRPr="00D95EC3">
              <w:rPr>
                <w:rFonts w:cs="Arial"/>
                <w:bCs/>
                <w:color w:val="000000"/>
                <w:sz w:val="22"/>
                <w:szCs w:val="22"/>
                <w:lang w:eastAsia="en-GB"/>
              </w:rPr>
              <w:t>£0.0</w:t>
            </w:r>
          </w:p>
        </w:tc>
        <w:tc>
          <w:tcPr>
            <w:tcW w:w="1843" w:type="dxa"/>
          </w:tcPr>
          <w:p w14:paraId="629B1124" w14:textId="56004FC4" w:rsidR="00C718F2" w:rsidRPr="00D95EC3" w:rsidRDefault="00C718F2" w:rsidP="00641208">
            <w:pPr>
              <w:spacing w:after="120"/>
              <w:rPr>
                <w:rFonts w:cs="Arial"/>
                <w:bCs/>
                <w:color w:val="000000"/>
                <w:sz w:val="22"/>
                <w:szCs w:val="22"/>
                <w:lang w:eastAsia="en-GB"/>
              </w:rPr>
            </w:pPr>
            <w:r w:rsidRPr="00D95EC3">
              <w:rPr>
                <w:rFonts w:cs="Arial"/>
                <w:bCs/>
                <w:color w:val="000000"/>
                <w:sz w:val="22"/>
                <w:szCs w:val="22"/>
                <w:lang w:eastAsia="en-GB"/>
              </w:rPr>
              <w:t>£0.</w:t>
            </w:r>
            <w:r w:rsidR="00123FE4">
              <w:rPr>
                <w:rFonts w:cs="Arial"/>
                <w:bCs/>
                <w:color w:val="000000"/>
                <w:sz w:val="22"/>
                <w:szCs w:val="22"/>
                <w:lang w:eastAsia="en-GB"/>
              </w:rPr>
              <w:t>16</w:t>
            </w:r>
            <w:r w:rsidRPr="00D95EC3">
              <w:rPr>
                <w:rFonts w:cs="Arial"/>
                <w:bCs/>
                <w:color w:val="000000"/>
                <w:sz w:val="22"/>
                <w:szCs w:val="22"/>
                <w:lang w:eastAsia="en-GB"/>
              </w:rPr>
              <w:t xml:space="preserve"> m</w:t>
            </w:r>
          </w:p>
        </w:tc>
        <w:tc>
          <w:tcPr>
            <w:tcW w:w="1562" w:type="dxa"/>
          </w:tcPr>
          <w:p w14:paraId="71ED6E3D" w14:textId="7D1EBDF0" w:rsidR="00C718F2" w:rsidRPr="00D95EC3" w:rsidRDefault="00C718F2" w:rsidP="00641208">
            <w:pPr>
              <w:spacing w:after="120"/>
              <w:rPr>
                <w:rFonts w:cs="Arial"/>
                <w:bCs/>
                <w:color w:val="000000"/>
                <w:sz w:val="22"/>
                <w:szCs w:val="22"/>
                <w:lang w:eastAsia="en-GB"/>
              </w:rPr>
            </w:pPr>
            <w:r w:rsidRPr="00D95EC3">
              <w:rPr>
                <w:rFonts w:cs="Arial"/>
                <w:bCs/>
                <w:color w:val="000000"/>
                <w:sz w:val="22"/>
                <w:szCs w:val="22"/>
                <w:lang w:eastAsia="en-GB"/>
              </w:rPr>
              <w:t>£0.</w:t>
            </w:r>
            <w:r w:rsidR="00123FE4">
              <w:rPr>
                <w:rFonts w:cs="Arial"/>
                <w:bCs/>
                <w:color w:val="000000"/>
                <w:sz w:val="22"/>
                <w:szCs w:val="22"/>
                <w:lang w:eastAsia="en-GB"/>
              </w:rPr>
              <w:t>23</w:t>
            </w:r>
            <w:r w:rsidRPr="00D95EC3">
              <w:rPr>
                <w:rFonts w:cs="Arial"/>
                <w:bCs/>
                <w:color w:val="000000"/>
                <w:sz w:val="22"/>
                <w:szCs w:val="22"/>
                <w:lang w:eastAsia="en-GB"/>
              </w:rPr>
              <w:t xml:space="preserve"> m</w:t>
            </w:r>
          </w:p>
        </w:tc>
      </w:tr>
    </w:tbl>
    <w:p w14:paraId="0E3F3152" w14:textId="77777777" w:rsidR="00C718F2" w:rsidRPr="00D95EC3" w:rsidRDefault="00C718F2" w:rsidP="00D95EC3">
      <w:pPr>
        <w:spacing w:after="120"/>
        <w:ind w:left="568" w:hanging="284"/>
        <w:rPr>
          <w:rFonts w:cs="Arial"/>
          <w:bCs/>
          <w:color w:val="000000"/>
          <w:sz w:val="22"/>
          <w:szCs w:val="22"/>
          <w:lang w:eastAsia="en-GB"/>
        </w:rPr>
      </w:pPr>
    </w:p>
    <w:p w14:paraId="66077723" w14:textId="77777777" w:rsidR="00D95EC3" w:rsidRPr="00D95EC3" w:rsidRDefault="00D95EC3" w:rsidP="00D95EC3">
      <w:pPr>
        <w:spacing w:after="120"/>
        <w:ind w:left="284" w:hanging="284"/>
        <w:rPr>
          <w:rFonts w:cs="Arial"/>
          <w:bCs/>
          <w:color w:val="000000"/>
          <w:sz w:val="22"/>
          <w:szCs w:val="22"/>
          <w:lang w:eastAsia="en-GB"/>
        </w:rPr>
      </w:pPr>
    </w:p>
    <w:p w14:paraId="47726B62" w14:textId="6B346705" w:rsidR="00D95EC3" w:rsidRDefault="0028632E" w:rsidP="00D95EC3">
      <w:pPr>
        <w:spacing w:after="120"/>
        <w:ind w:left="284"/>
        <w:rPr>
          <w:rFonts w:cs="Arial"/>
          <w:bCs/>
          <w:color w:val="000000"/>
          <w:sz w:val="22"/>
          <w:szCs w:val="22"/>
          <w:lang w:eastAsia="en-GB"/>
        </w:rPr>
      </w:pPr>
      <w:r>
        <w:rPr>
          <w:rFonts w:cs="Arial"/>
          <w:bCs/>
          <w:color w:val="000000"/>
          <w:sz w:val="22"/>
          <w:szCs w:val="22"/>
          <w:lang w:eastAsia="en-GB"/>
        </w:rPr>
        <w:t xml:space="preserve">See Option 1 </w:t>
      </w:r>
      <w:r w:rsidR="00D95EC3" w:rsidRPr="00D95EC3">
        <w:rPr>
          <w:rFonts w:cs="Arial"/>
          <w:bCs/>
          <w:color w:val="000000"/>
          <w:sz w:val="22"/>
          <w:szCs w:val="22"/>
          <w:lang w:eastAsia="en-GB"/>
        </w:rPr>
        <w:t>Assumptions</w:t>
      </w:r>
      <w:r w:rsidR="009B2111">
        <w:rPr>
          <w:rFonts w:cs="Arial"/>
          <w:bCs/>
          <w:color w:val="000000"/>
          <w:sz w:val="22"/>
          <w:szCs w:val="22"/>
          <w:lang w:eastAsia="en-GB"/>
        </w:rPr>
        <w:t xml:space="preserve"> with the following exception</w:t>
      </w:r>
      <w:r w:rsidR="00D95EC3" w:rsidRPr="00D95EC3">
        <w:rPr>
          <w:rFonts w:cs="Arial"/>
          <w:bCs/>
          <w:color w:val="000000"/>
          <w:sz w:val="22"/>
          <w:szCs w:val="22"/>
          <w:lang w:eastAsia="en-GB"/>
        </w:rPr>
        <w:t>:</w:t>
      </w:r>
    </w:p>
    <w:p w14:paraId="35E5112F" w14:textId="1627067E" w:rsidR="009B2111" w:rsidRPr="00D95EC3" w:rsidRDefault="009B2111" w:rsidP="00D95EC3">
      <w:pPr>
        <w:spacing w:after="120"/>
        <w:ind w:left="284"/>
        <w:rPr>
          <w:rFonts w:cs="Arial"/>
          <w:bCs/>
          <w:color w:val="000000"/>
          <w:sz w:val="22"/>
          <w:szCs w:val="22"/>
          <w:lang w:eastAsia="en-GB"/>
        </w:rPr>
      </w:pPr>
      <w:r w:rsidRPr="00D95EC3">
        <w:rPr>
          <w:rFonts w:cs="Arial"/>
          <w:bCs/>
          <w:color w:val="000000"/>
          <w:sz w:val="22"/>
          <w:szCs w:val="22"/>
          <w:lang w:eastAsia="en-GB"/>
        </w:rPr>
        <w:t xml:space="preserve">Percentage reductions, </w:t>
      </w:r>
      <w:r>
        <w:rPr>
          <w:rFonts w:cs="Arial"/>
          <w:bCs/>
          <w:color w:val="000000"/>
          <w:sz w:val="22"/>
          <w:szCs w:val="22"/>
          <w:lang w:eastAsia="en-GB"/>
        </w:rPr>
        <w:t>0</w:t>
      </w:r>
      <w:r w:rsidRPr="00D95EC3">
        <w:rPr>
          <w:rFonts w:cs="Arial"/>
          <w:bCs/>
          <w:color w:val="000000"/>
          <w:sz w:val="22"/>
          <w:szCs w:val="22"/>
          <w:lang w:eastAsia="en-GB"/>
        </w:rPr>
        <w:t xml:space="preserve"> – </w:t>
      </w:r>
      <w:r>
        <w:rPr>
          <w:rFonts w:cs="Arial"/>
          <w:bCs/>
          <w:color w:val="000000"/>
          <w:sz w:val="22"/>
          <w:szCs w:val="22"/>
          <w:lang w:eastAsia="en-GB"/>
        </w:rPr>
        <w:t>3</w:t>
      </w:r>
      <w:r w:rsidRPr="00D95EC3">
        <w:rPr>
          <w:rFonts w:cs="Arial"/>
          <w:bCs/>
          <w:color w:val="000000"/>
          <w:sz w:val="22"/>
          <w:szCs w:val="22"/>
          <w:lang w:eastAsia="en-GB"/>
        </w:rPr>
        <w:t>%</w:t>
      </w:r>
      <w:r>
        <w:rPr>
          <w:rFonts w:cs="Arial"/>
          <w:bCs/>
          <w:color w:val="000000"/>
          <w:sz w:val="22"/>
          <w:szCs w:val="22"/>
          <w:lang w:eastAsia="en-GB"/>
        </w:rPr>
        <w:t xml:space="preserve"> where 2</w:t>
      </w:r>
      <w:r w:rsidRPr="00D95EC3">
        <w:rPr>
          <w:rFonts w:cs="Arial"/>
          <w:bCs/>
          <w:color w:val="000000"/>
          <w:sz w:val="22"/>
          <w:szCs w:val="22"/>
          <w:lang w:eastAsia="en-GB"/>
        </w:rPr>
        <w:t>% is the best estimate</w:t>
      </w:r>
    </w:p>
    <w:p w14:paraId="38D42F1E" w14:textId="77777777" w:rsidR="00D95EC3" w:rsidRPr="00D95EC3" w:rsidRDefault="00D95EC3" w:rsidP="00D95EC3">
      <w:pPr>
        <w:spacing w:after="120"/>
        <w:ind w:left="284"/>
        <w:rPr>
          <w:rFonts w:cs="Arial"/>
          <w:bCs/>
          <w:color w:val="000000"/>
          <w:sz w:val="22"/>
          <w:szCs w:val="22"/>
          <w:lang w:eastAsia="en-GB"/>
        </w:rPr>
      </w:pPr>
    </w:p>
    <w:p w14:paraId="3F207375" w14:textId="388F2211"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Estimated annual savings = £0.1</w:t>
      </w:r>
      <w:r w:rsidR="00123FE4">
        <w:rPr>
          <w:rFonts w:cs="Arial"/>
          <w:bCs/>
          <w:color w:val="000000"/>
          <w:sz w:val="22"/>
          <w:szCs w:val="22"/>
          <w:lang w:eastAsia="en-GB"/>
        </w:rPr>
        <w:t>6</w:t>
      </w:r>
      <w:r w:rsidRPr="00D95EC3">
        <w:rPr>
          <w:rFonts w:cs="Arial"/>
          <w:bCs/>
          <w:color w:val="000000"/>
          <w:sz w:val="22"/>
          <w:szCs w:val="22"/>
          <w:lang w:eastAsia="en-GB"/>
        </w:rPr>
        <w:t xml:space="preserve"> million [best estimate]</w:t>
      </w:r>
    </w:p>
    <w:p w14:paraId="5AFA1603" w14:textId="661AACAE"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Present value over 10 years = £</w:t>
      </w:r>
      <w:r w:rsidR="003063F6">
        <w:rPr>
          <w:rFonts w:cs="Arial"/>
          <w:bCs/>
          <w:color w:val="000000"/>
          <w:sz w:val="22"/>
          <w:szCs w:val="22"/>
          <w:lang w:eastAsia="en-GB"/>
        </w:rPr>
        <w:t>1.31</w:t>
      </w:r>
      <w:r w:rsidRPr="00D95EC3">
        <w:rPr>
          <w:rFonts w:cs="Arial"/>
          <w:bCs/>
          <w:color w:val="000000"/>
          <w:sz w:val="22"/>
          <w:szCs w:val="22"/>
          <w:lang w:eastAsia="en-GB"/>
        </w:rPr>
        <w:t xml:space="preserve"> million [best estimate]</w:t>
      </w:r>
    </w:p>
    <w:p w14:paraId="472B4802" w14:textId="77777777" w:rsidR="00D95EC3" w:rsidRPr="00D95EC3" w:rsidRDefault="00D95EC3" w:rsidP="00D95EC3">
      <w:pPr>
        <w:spacing w:after="120"/>
        <w:ind w:left="284"/>
        <w:rPr>
          <w:rFonts w:cs="Arial"/>
          <w:bCs/>
          <w:color w:val="000000"/>
          <w:sz w:val="22"/>
          <w:szCs w:val="22"/>
          <w:lang w:eastAsia="en-GB"/>
        </w:rPr>
      </w:pPr>
    </w:p>
    <w:p w14:paraId="6276432D" w14:textId="50DE56BA" w:rsidR="00D95EC3" w:rsidRPr="00D95EC3" w:rsidRDefault="00A5230D" w:rsidP="006E742D">
      <w:pPr>
        <w:spacing w:after="120"/>
        <w:rPr>
          <w:rFonts w:cs="Arial"/>
          <w:bCs/>
          <w:color w:val="000000"/>
          <w:sz w:val="22"/>
          <w:szCs w:val="22"/>
          <w:u w:val="single"/>
          <w:lang w:eastAsia="en-GB"/>
        </w:rPr>
      </w:pPr>
      <w:r w:rsidRPr="006E742D">
        <w:rPr>
          <w:rFonts w:cs="Arial"/>
          <w:bCs/>
          <w:color w:val="000000"/>
          <w:sz w:val="22"/>
          <w:szCs w:val="22"/>
          <w:lang w:eastAsia="en-GB"/>
        </w:rPr>
        <w:t xml:space="preserve">2.  </w:t>
      </w:r>
      <w:r w:rsidR="00D95EC3" w:rsidRPr="00D95EC3">
        <w:rPr>
          <w:rFonts w:cs="Arial"/>
          <w:bCs/>
          <w:color w:val="000000"/>
          <w:sz w:val="22"/>
          <w:szCs w:val="22"/>
          <w:u w:val="single"/>
          <w:lang w:eastAsia="en-GB"/>
        </w:rPr>
        <w:t>Reduction in number of appeals to First Tier and Upper Tribunals</w:t>
      </w:r>
    </w:p>
    <w:p w14:paraId="6DFBF601" w14:textId="749D8C38"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In line with our analysis in judicial review reductions, we expect option 2 to offer more limited savings than our comprehensive reforms.</w:t>
      </w:r>
    </w:p>
    <w:p w14:paraId="76196A56" w14:textId="77777777" w:rsidR="00D95EC3" w:rsidRPr="00D95EC3" w:rsidRDefault="00D95EC3" w:rsidP="00D95EC3">
      <w:pPr>
        <w:spacing w:after="120"/>
        <w:ind w:left="568" w:hanging="284"/>
        <w:rPr>
          <w:rFonts w:cs="Arial"/>
          <w:bCs/>
          <w:color w:val="000000"/>
          <w:sz w:val="22"/>
          <w:szCs w:val="22"/>
          <w:lang w:eastAsia="en-GB"/>
        </w:rPr>
      </w:pPr>
    </w:p>
    <w:p w14:paraId="48116DB0" w14:textId="77777777"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u w:val="single"/>
          <w:lang w:eastAsia="en-GB"/>
        </w:rPr>
        <w:t>Table 8: Savings from the reduction in Appeals in the IAC First Tier and Upper Tribunals</w:t>
      </w:r>
    </w:p>
    <w:p w14:paraId="5FA9C9EF" w14:textId="2D7589DB" w:rsidR="00D95EC3" w:rsidRDefault="00D95EC3" w:rsidP="00D95EC3">
      <w:pPr>
        <w:spacing w:after="120"/>
        <w:ind w:left="284"/>
        <w:rPr>
          <w:rFonts w:cs="Arial"/>
          <w:bCs/>
          <w:color w:val="000000"/>
          <w:sz w:val="22"/>
          <w:szCs w:val="22"/>
          <w:lang w:eastAsia="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62"/>
        <w:gridCol w:w="1701"/>
        <w:gridCol w:w="1843"/>
      </w:tblGrid>
      <w:tr w:rsidR="0028632E" w:rsidRPr="00D95EC3" w14:paraId="0D9721C6" w14:textId="77777777" w:rsidTr="0028632E">
        <w:tc>
          <w:tcPr>
            <w:tcW w:w="2830" w:type="dxa"/>
            <w:tcBorders>
              <w:top w:val="single" w:sz="4" w:space="0" w:color="auto"/>
              <w:left w:val="single" w:sz="4" w:space="0" w:color="auto"/>
              <w:bottom w:val="single" w:sz="4" w:space="0" w:color="auto"/>
              <w:right w:val="single" w:sz="4" w:space="0" w:color="auto"/>
            </w:tcBorders>
          </w:tcPr>
          <w:p w14:paraId="53AD02CE" w14:textId="77777777" w:rsidR="0028632E" w:rsidRPr="00D95EC3" w:rsidRDefault="0028632E" w:rsidP="0028632E">
            <w:pPr>
              <w:spacing w:after="120"/>
              <w:ind w:left="284" w:hanging="284"/>
              <w:rPr>
                <w:rFonts w:cs="Arial"/>
                <w:bCs/>
                <w:color w:val="000000"/>
                <w:sz w:val="22"/>
                <w:szCs w:val="22"/>
                <w:lang w:eastAsia="en-GB"/>
              </w:rPr>
            </w:pPr>
          </w:p>
        </w:tc>
        <w:tc>
          <w:tcPr>
            <w:tcW w:w="1562" w:type="dxa"/>
            <w:tcBorders>
              <w:top w:val="single" w:sz="4" w:space="0" w:color="auto"/>
              <w:left w:val="single" w:sz="4" w:space="0" w:color="auto"/>
              <w:bottom w:val="single" w:sz="4" w:space="0" w:color="auto"/>
              <w:right w:val="single" w:sz="4" w:space="0" w:color="auto"/>
            </w:tcBorders>
          </w:tcPr>
          <w:p w14:paraId="2F516D0F" w14:textId="77777777"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Low estimate</w:t>
            </w:r>
          </w:p>
        </w:tc>
        <w:tc>
          <w:tcPr>
            <w:tcW w:w="1701" w:type="dxa"/>
            <w:tcBorders>
              <w:top w:val="single" w:sz="4" w:space="0" w:color="auto"/>
              <w:left w:val="single" w:sz="4" w:space="0" w:color="auto"/>
              <w:bottom w:val="single" w:sz="4" w:space="0" w:color="auto"/>
              <w:right w:val="single" w:sz="4" w:space="0" w:color="auto"/>
            </w:tcBorders>
          </w:tcPr>
          <w:p w14:paraId="61D19238" w14:textId="77777777"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Best estimate</w:t>
            </w:r>
          </w:p>
        </w:tc>
        <w:tc>
          <w:tcPr>
            <w:tcW w:w="1843" w:type="dxa"/>
            <w:tcBorders>
              <w:top w:val="single" w:sz="4" w:space="0" w:color="auto"/>
              <w:left w:val="single" w:sz="4" w:space="0" w:color="auto"/>
              <w:bottom w:val="single" w:sz="4" w:space="0" w:color="auto"/>
              <w:right w:val="single" w:sz="4" w:space="0" w:color="auto"/>
            </w:tcBorders>
          </w:tcPr>
          <w:p w14:paraId="3FE349E8" w14:textId="77777777"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High estimate</w:t>
            </w:r>
          </w:p>
        </w:tc>
      </w:tr>
      <w:tr w:rsidR="0028632E" w:rsidRPr="00D95EC3" w14:paraId="0539F248" w14:textId="77777777" w:rsidTr="0028632E">
        <w:tc>
          <w:tcPr>
            <w:tcW w:w="2830" w:type="dxa"/>
            <w:tcBorders>
              <w:top w:val="single" w:sz="4" w:space="0" w:color="auto"/>
              <w:left w:val="single" w:sz="4" w:space="0" w:color="auto"/>
              <w:bottom w:val="single" w:sz="4" w:space="0" w:color="auto"/>
              <w:right w:val="single" w:sz="4" w:space="0" w:color="auto"/>
            </w:tcBorders>
          </w:tcPr>
          <w:p w14:paraId="79F77042" w14:textId="77777777"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Number of FT IAC appeals</w:t>
            </w:r>
          </w:p>
        </w:tc>
        <w:tc>
          <w:tcPr>
            <w:tcW w:w="1562" w:type="dxa"/>
            <w:tcBorders>
              <w:top w:val="single" w:sz="4" w:space="0" w:color="auto"/>
              <w:left w:val="single" w:sz="4" w:space="0" w:color="auto"/>
              <w:bottom w:val="single" w:sz="4" w:space="0" w:color="auto"/>
              <w:right w:val="single" w:sz="4" w:space="0" w:color="auto"/>
            </w:tcBorders>
          </w:tcPr>
          <w:p w14:paraId="249A912F" w14:textId="77777777"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21,648</w:t>
            </w:r>
          </w:p>
        </w:tc>
        <w:tc>
          <w:tcPr>
            <w:tcW w:w="1701" w:type="dxa"/>
            <w:tcBorders>
              <w:top w:val="single" w:sz="4" w:space="0" w:color="auto"/>
              <w:left w:val="single" w:sz="4" w:space="0" w:color="auto"/>
              <w:bottom w:val="single" w:sz="4" w:space="0" w:color="auto"/>
              <w:right w:val="single" w:sz="4" w:space="0" w:color="auto"/>
            </w:tcBorders>
          </w:tcPr>
          <w:p w14:paraId="58C07FA1" w14:textId="77777777"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22,787</w:t>
            </w:r>
          </w:p>
        </w:tc>
        <w:tc>
          <w:tcPr>
            <w:tcW w:w="1843" w:type="dxa"/>
            <w:tcBorders>
              <w:top w:val="single" w:sz="4" w:space="0" w:color="auto"/>
              <w:left w:val="single" w:sz="4" w:space="0" w:color="auto"/>
              <w:bottom w:val="single" w:sz="4" w:space="0" w:color="auto"/>
              <w:right w:val="single" w:sz="4" w:space="0" w:color="auto"/>
            </w:tcBorders>
          </w:tcPr>
          <w:p w14:paraId="6BED2F3C" w14:textId="77777777"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25,066</w:t>
            </w:r>
          </w:p>
        </w:tc>
      </w:tr>
      <w:tr w:rsidR="0028632E" w:rsidRPr="00D95EC3" w14:paraId="797361E1" w14:textId="77777777" w:rsidTr="0028632E">
        <w:tc>
          <w:tcPr>
            <w:tcW w:w="2830" w:type="dxa"/>
            <w:tcBorders>
              <w:top w:val="single" w:sz="4" w:space="0" w:color="auto"/>
              <w:left w:val="single" w:sz="4" w:space="0" w:color="auto"/>
              <w:bottom w:val="single" w:sz="4" w:space="0" w:color="auto"/>
              <w:right w:val="single" w:sz="4" w:space="0" w:color="auto"/>
            </w:tcBorders>
          </w:tcPr>
          <w:p w14:paraId="1B1073C6" w14:textId="77777777"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Average cost of FT IAC appeals</w:t>
            </w:r>
            <w:r w:rsidRPr="0028632E">
              <w:rPr>
                <w:rFonts w:cs="Arial"/>
                <w:bCs/>
                <w:color w:val="000000"/>
                <w:sz w:val="22"/>
                <w:szCs w:val="22"/>
                <w:lang w:eastAsia="en-GB"/>
              </w:rPr>
              <w:footnoteReference w:id="34"/>
            </w:r>
          </w:p>
        </w:tc>
        <w:tc>
          <w:tcPr>
            <w:tcW w:w="1562" w:type="dxa"/>
            <w:tcBorders>
              <w:top w:val="single" w:sz="4" w:space="0" w:color="auto"/>
              <w:left w:val="single" w:sz="4" w:space="0" w:color="auto"/>
              <w:bottom w:val="single" w:sz="4" w:space="0" w:color="auto"/>
              <w:right w:val="single" w:sz="4" w:space="0" w:color="auto"/>
            </w:tcBorders>
          </w:tcPr>
          <w:p w14:paraId="61362E92" w14:textId="77777777"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£1,000</w:t>
            </w:r>
          </w:p>
        </w:tc>
        <w:tc>
          <w:tcPr>
            <w:tcW w:w="1701" w:type="dxa"/>
            <w:tcBorders>
              <w:top w:val="single" w:sz="4" w:space="0" w:color="auto"/>
              <w:left w:val="single" w:sz="4" w:space="0" w:color="auto"/>
              <w:bottom w:val="single" w:sz="4" w:space="0" w:color="auto"/>
              <w:right w:val="single" w:sz="4" w:space="0" w:color="auto"/>
            </w:tcBorders>
          </w:tcPr>
          <w:p w14:paraId="76A5875B" w14:textId="77777777"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£1,000</w:t>
            </w:r>
          </w:p>
        </w:tc>
        <w:tc>
          <w:tcPr>
            <w:tcW w:w="1843" w:type="dxa"/>
            <w:tcBorders>
              <w:top w:val="single" w:sz="4" w:space="0" w:color="auto"/>
              <w:left w:val="single" w:sz="4" w:space="0" w:color="auto"/>
              <w:bottom w:val="single" w:sz="4" w:space="0" w:color="auto"/>
              <w:right w:val="single" w:sz="4" w:space="0" w:color="auto"/>
            </w:tcBorders>
          </w:tcPr>
          <w:p w14:paraId="4746929D" w14:textId="77777777"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£1,000</w:t>
            </w:r>
          </w:p>
        </w:tc>
      </w:tr>
      <w:tr w:rsidR="0028632E" w:rsidRPr="00D95EC3" w14:paraId="2A9BAA17" w14:textId="77777777" w:rsidTr="0028632E">
        <w:tc>
          <w:tcPr>
            <w:tcW w:w="2830" w:type="dxa"/>
            <w:tcBorders>
              <w:top w:val="single" w:sz="4" w:space="0" w:color="auto"/>
              <w:left w:val="single" w:sz="4" w:space="0" w:color="auto"/>
              <w:bottom w:val="single" w:sz="4" w:space="0" w:color="auto"/>
              <w:right w:val="single" w:sz="4" w:space="0" w:color="auto"/>
            </w:tcBorders>
          </w:tcPr>
          <w:p w14:paraId="5A7EF491" w14:textId="77777777"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Percentage reduction in FT IAC appeals</w:t>
            </w:r>
          </w:p>
        </w:tc>
        <w:tc>
          <w:tcPr>
            <w:tcW w:w="1562" w:type="dxa"/>
            <w:tcBorders>
              <w:top w:val="single" w:sz="4" w:space="0" w:color="auto"/>
              <w:left w:val="single" w:sz="4" w:space="0" w:color="auto"/>
              <w:bottom w:val="single" w:sz="4" w:space="0" w:color="auto"/>
              <w:right w:val="single" w:sz="4" w:space="0" w:color="auto"/>
            </w:tcBorders>
          </w:tcPr>
          <w:p w14:paraId="53793405" w14:textId="7222CEF2" w:rsidR="0028632E" w:rsidRPr="00D95EC3" w:rsidRDefault="00843205" w:rsidP="0028632E">
            <w:pPr>
              <w:spacing w:after="120"/>
              <w:ind w:left="284" w:hanging="284"/>
              <w:rPr>
                <w:rFonts w:cs="Arial"/>
                <w:bCs/>
                <w:color w:val="000000"/>
                <w:sz w:val="22"/>
                <w:szCs w:val="22"/>
                <w:lang w:eastAsia="en-GB"/>
              </w:rPr>
            </w:pPr>
            <w:r>
              <w:rPr>
                <w:rFonts w:cs="Arial"/>
                <w:bCs/>
                <w:color w:val="000000"/>
                <w:sz w:val="22"/>
                <w:szCs w:val="22"/>
                <w:lang w:eastAsia="en-GB"/>
              </w:rPr>
              <w:t>1</w:t>
            </w:r>
            <w:r w:rsidR="0028632E" w:rsidRPr="00D95EC3">
              <w:rPr>
                <w:rFonts w:cs="Arial"/>
                <w:bCs/>
                <w:color w:val="000000"/>
                <w:sz w:val="22"/>
                <w:szCs w:val="22"/>
                <w:lang w:eastAsia="en-GB"/>
              </w:rPr>
              <w:t>%</w:t>
            </w:r>
          </w:p>
        </w:tc>
        <w:tc>
          <w:tcPr>
            <w:tcW w:w="1701" w:type="dxa"/>
            <w:tcBorders>
              <w:top w:val="single" w:sz="4" w:space="0" w:color="auto"/>
              <w:left w:val="single" w:sz="4" w:space="0" w:color="auto"/>
              <w:bottom w:val="single" w:sz="4" w:space="0" w:color="auto"/>
              <w:right w:val="single" w:sz="4" w:space="0" w:color="auto"/>
            </w:tcBorders>
          </w:tcPr>
          <w:p w14:paraId="6BCD7962" w14:textId="28C91F64" w:rsidR="0028632E" w:rsidRPr="00D95EC3" w:rsidRDefault="0028632E" w:rsidP="0028632E">
            <w:pPr>
              <w:spacing w:after="120"/>
              <w:ind w:left="284" w:hanging="284"/>
              <w:rPr>
                <w:rFonts w:cs="Arial"/>
                <w:bCs/>
                <w:color w:val="000000"/>
                <w:sz w:val="22"/>
                <w:szCs w:val="22"/>
                <w:lang w:eastAsia="en-GB"/>
              </w:rPr>
            </w:pPr>
            <w:r>
              <w:rPr>
                <w:rFonts w:cs="Arial"/>
                <w:bCs/>
                <w:color w:val="000000"/>
                <w:sz w:val="22"/>
                <w:szCs w:val="22"/>
                <w:lang w:eastAsia="en-GB"/>
              </w:rPr>
              <w:t>2%</w:t>
            </w:r>
          </w:p>
        </w:tc>
        <w:tc>
          <w:tcPr>
            <w:tcW w:w="1843" w:type="dxa"/>
            <w:tcBorders>
              <w:top w:val="single" w:sz="4" w:space="0" w:color="auto"/>
              <w:left w:val="single" w:sz="4" w:space="0" w:color="auto"/>
              <w:bottom w:val="single" w:sz="4" w:space="0" w:color="auto"/>
              <w:right w:val="single" w:sz="4" w:space="0" w:color="auto"/>
            </w:tcBorders>
          </w:tcPr>
          <w:p w14:paraId="44B68F13" w14:textId="117C2372" w:rsidR="0028632E" w:rsidRPr="00D95EC3" w:rsidRDefault="0028632E" w:rsidP="0028632E">
            <w:pPr>
              <w:spacing w:after="120"/>
              <w:ind w:left="284" w:hanging="284"/>
              <w:rPr>
                <w:rFonts w:cs="Arial"/>
                <w:bCs/>
                <w:color w:val="000000"/>
                <w:sz w:val="22"/>
                <w:szCs w:val="22"/>
                <w:lang w:eastAsia="en-GB"/>
              </w:rPr>
            </w:pPr>
            <w:r>
              <w:rPr>
                <w:rFonts w:cs="Arial"/>
                <w:bCs/>
                <w:color w:val="000000"/>
                <w:sz w:val="22"/>
                <w:szCs w:val="22"/>
                <w:lang w:eastAsia="en-GB"/>
              </w:rPr>
              <w:t>4</w:t>
            </w:r>
            <w:r w:rsidRPr="00D95EC3">
              <w:rPr>
                <w:rFonts w:cs="Arial"/>
                <w:bCs/>
                <w:color w:val="000000"/>
                <w:sz w:val="22"/>
                <w:szCs w:val="22"/>
                <w:lang w:eastAsia="en-GB"/>
              </w:rPr>
              <w:t>%</w:t>
            </w:r>
          </w:p>
        </w:tc>
      </w:tr>
      <w:tr w:rsidR="0028632E" w:rsidRPr="00D95EC3" w14:paraId="697B1679" w14:textId="77777777" w:rsidTr="0028632E">
        <w:tc>
          <w:tcPr>
            <w:tcW w:w="2830" w:type="dxa"/>
            <w:tcBorders>
              <w:top w:val="single" w:sz="4" w:space="0" w:color="auto"/>
              <w:left w:val="single" w:sz="4" w:space="0" w:color="auto"/>
              <w:bottom w:val="single" w:sz="4" w:space="0" w:color="auto"/>
              <w:right w:val="single" w:sz="4" w:space="0" w:color="auto"/>
            </w:tcBorders>
          </w:tcPr>
          <w:p w14:paraId="30D8F432" w14:textId="77777777"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Annual savings in FT IAC</w:t>
            </w:r>
            <w:r w:rsidRPr="0028632E">
              <w:rPr>
                <w:rFonts w:cs="Arial"/>
                <w:bCs/>
                <w:color w:val="000000"/>
                <w:sz w:val="22"/>
                <w:szCs w:val="22"/>
                <w:lang w:eastAsia="en-GB"/>
              </w:rPr>
              <w:footnoteReference w:id="35"/>
            </w:r>
          </w:p>
        </w:tc>
        <w:tc>
          <w:tcPr>
            <w:tcW w:w="1562" w:type="dxa"/>
            <w:tcBorders>
              <w:top w:val="single" w:sz="4" w:space="0" w:color="auto"/>
              <w:left w:val="single" w:sz="4" w:space="0" w:color="auto"/>
              <w:bottom w:val="single" w:sz="4" w:space="0" w:color="auto"/>
              <w:right w:val="single" w:sz="4" w:space="0" w:color="auto"/>
            </w:tcBorders>
          </w:tcPr>
          <w:p w14:paraId="0E1CF2B7" w14:textId="308F2EBA" w:rsidR="0028632E" w:rsidRPr="0028632E"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£0.</w:t>
            </w:r>
            <w:r w:rsidR="00843205">
              <w:rPr>
                <w:rFonts w:cs="Arial"/>
                <w:bCs/>
                <w:color w:val="000000"/>
                <w:sz w:val="22"/>
                <w:szCs w:val="22"/>
                <w:lang w:eastAsia="en-GB"/>
              </w:rPr>
              <w:t>21</w:t>
            </w:r>
            <w:r w:rsidRPr="00D95EC3">
              <w:rPr>
                <w:rFonts w:cs="Arial"/>
                <w:bCs/>
                <w:color w:val="000000"/>
                <w:sz w:val="22"/>
                <w:szCs w:val="22"/>
                <w:lang w:eastAsia="en-GB"/>
              </w:rPr>
              <w:t xml:space="preserve"> m</w:t>
            </w:r>
          </w:p>
        </w:tc>
        <w:tc>
          <w:tcPr>
            <w:tcW w:w="1701" w:type="dxa"/>
            <w:tcBorders>
              <w:top w:val="single" w:sz="4" w:space="0" w:color="auto"/>
              <w:left w:val="single" w:sz="4" w:space="0" w:color="auto"/>
              <w:bottom w:val="single" w:sz="4" w:space="0" w:color="auto"/>
              <w:right w:val="single" w:sz="4" w:space="0" w:color="auto"/>
            </w:tcBorders>
          </w:tcPr>
          <w:p w14:paraId="07981413" w14:textId="6049359E" w:rsidR="0028632E" w:rsidRPr="00D95EC3" w:rsidRDefault="00843205" w:rsidP="0028632E">
            <w:pPr>
              <w:spacing w:after="120"/>
              <w:ind w:left="284" w:hanging="284"/>
              <w:rPr>
                <w:rFonts w:cs="Arial"/>
                <w:bCs/>
                <w:color w:val="000000"/>
                <w:sz w:val="22"/>
                <w:szCs w:val="22"/>
                <w:lang w:eastAsia="en-GB"/>
              </w:rPr>
            </w:pPr>
            <w:r>
              <w:rPr>
                <w:rFonts w:cs="Arial"/>
                <w:bCs/>
                <w:color w:val="000000"/>
                <w:sz w:val="22"/>
                <w:szCs w:val="22"/>
                <w:lang w:eastAsia="en-GB"/>
              </w:rPr>
              <w:t>£0.45</w:t>
            </w:r>
            <w:r w:rsidR="0028632E" w:rsidRPr="00D95EC3">
              <w:rPr>
                <w:rFonts w:cs="Arial"/>
                <w:bCs/>
                <w:color w:val="000000"/>
                <w:sz w:val="22"/>
                <w:szCs w:val="22"/>
                <w:lang w:eastAsia="en-GB"/>
              </w:rPr>
              <w:t xml:space="preserve"> m</w:t>
            </w:r>
          </w:p>
        </w:tc>
        <w:tc>
          <w:tcPr>
            <w:tcW w:w="1843" w:type="dxa"/>
            <w:tcBorders>
              <w:top w:val="single" w:sz="4" w:space="0" w:color="auto"/>
              <w:left w:val="single" w:sz="4" w:space="0" w:color="auto"/>
              <w:bottom w:val="single" w:sz="4" w:space="0" w:color="auto"/>
              <w:right w:val="single" w:sz="4" w:space="0" w:color="auto"/>
            </w:tcBorders>
          </w:tcPr>
          <w:p w14:paraId="7046DC37" w14:textId="01333CB7" w:rsidR="0028632E" w:rsidRPr="00D95EC3" w:rsidRDefault="00CA0A02" w:rsidP="0028632E">
            <w:pPr>
              <w:spacing w:after="120"/>
              <w:ind w:left="284" w:hanging="284"/>
              <w:rPr>
                <w:rFonts w:cs="Arial"/>
                <w:bCs/>
                <w:color w:val="000000"/>
                <w:sz w:val="22"/>
                <w:szCs w:val="22"/>
                <w:lang w:eastAsia="en-GB"/>
              </w:rPr>
            </w:pPr>
            <w:r>
              <w:rPr>
                <w:rFonts w:cs="Arial"/>
                <w:bCs/>
                <w:color w:val="000000"/>
                <w:sz w:val="22"/>
                <w:szCs w:val="22"/>
                <w:lang w:eastAsia="en-GB"/>
              </w:rPr>
              <w:t>£0.9</w:t>
            </w:r>
            <w:r w:rsidR="0028632E" w:rsidRPr="00D95EC3">
              <w:rPr>
                <w:rFonts w:cs="Arial"/>
                <w:bCs/>
                <w:color w:val="000000"/>
                <w:sz w:val="22"/>
                <w:szCs w:val="22"/>
                <w:lang w:eastAsia="en-GB"/>
              </w:rPr>
              <w:t>9 m</w:t>
            </w:r>
          </w:p>
        </w:tc>
      </w:tr>
      <w:tr w:rsidR="0028632E" w:rsidRPr="00D95EC3" w14:paraId="313FCA20" w14:textId="77777777" w:rsidTr="0028632E">
        <w:tc>
          <w:tcPr>
            <w:tcW w:w="2830" w:type="dxa"/>
            <w:tcBorders>
              <w:top w:val="single" w:sz="4" w:space="0" w:color="auto"/>
              <w:left w:val="single" w:sz="4" w:space="0" w:color="auto"/>
              <w:bottom w:val="single" w:sz="4" w:space="0" w:color="auto"/>
              <w:right w:val="single" w:sz="4" w:space="0" w:color="auto"/>
            </w:tcBorders>
          </w:tcPr>
          <w:p w14:paraId="321A20C3" w14:textId="77777777"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Number of UT IAC appeals</w:t>
            </w:r>
          </w:p>
        </w:tc>
        <w:tc>
          <w:tcPr>
            <w:tcW w:w="1562" w:type="dxa"/>
            <w:tcBorders>
              <w:top w:val="single" w:sz="4" w:space="0" w:color="auto"/>
              <w:left w:val="single" w:sz="4" w:space="0" w:color="auto"/>
              <w:bottom w:val="single" w:sz="4" w:space="0" w:color="auto"/>
              <w:right w:val="single" w:sz="4" w:space="0" w:color="auto"/>
            </w:tcBorders>
          </w:tcPr>
          <w:p w14:paraId="2F679588" w14:textId="77777777" w:rsidR="0028632E" w:rsidRPr="0028632E"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1,082</w:t>
            </w:r>
          </w:p>
        </w:tc>
        <w:tc>
          <w:tcPr>
            <w:tcW w:w="1701" w:type="dxa"/>
            <w:tcBorders>
              <w:top w:val="single" w:sz="4" w:space="0" w:color="auto"/>
              <w:left w:val="single" w:sz="4" w:space="0" w:color="auto"/>
              <w:bottom w:val="single" w:sz="4" w:space="0" w:color="auto"/>
              <w:right w:val="single" w:sz="4" w:space="0" w:color="auto"/>
            </w:tcBorders>
          </w:tcPr>
          <w:p w14:paraId="33E06131" w14:textId="77777777"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1,139</w:t>
            </w:r>
          </w:p>
        </w:tc>
        <w:tc>
          <w:tcPr>
            <w:tcW w:w="1843" w:type="dxa"/>
            <w:tcBorders>
              <w:top w:val="single" w:sz="4" w:space="0" w:color="auto"/>
              <w:left w:val="single" w:sz="4" w:space="0" w:color="auto"/>
              <w:bottom w:val="single" w:sz="4" w:space="0" w:color="auto"/>
              <w:right w:val="single" w:sz="4" w:space="0" w:color="auto"/>
            </w:tcBorders>
          </w:tcPr>
          <w:p w14:paraId="41FD6606" w14:textId="77777777"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1,253</w:t>
            </w:r>
          </w:p>
        </w:tc>
      </w:tr>
      <w:tr w:rsidR="0028632E" w:rsidRPr="00D95EC3" w14:paraId="56A02E63" w14:textId="77777777" w:rsidTr="0028632E">
        <w:tc>
          <w:tcPr>
            <w:tcW w:w="2830" w:type="dxa"/>
            <w:tcBorders>
              <w:top w:val="single" w:sz="4" w:space="0" w:color="auto"/>
              <w:left w:val="single" w:sz="4" w:space="0" w:color="auto"/>
              <w:bottom w:val="single" w:sz="4" w:space="0" w:color="auto"/>
              <w:right w:val="single" w:sz="4" w:space="0" w:color="auto"/>
            </w:tcBorders>
          </w:tcPr>
          <w:p w14:paraId="7739EE36" w14:textId="77777777"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Average cost of UT IAC appeals</w:t>
            </w:r>
          </w:p>
        </w:tc>
        <w:tc>
          <w:tcPr>
            <w:tcW w:w="1562" w:type="dxa"/>
            <w:tcBorders>
              <w:top w:val="single" w:sz="4" w:space="0" w:color="auto"/>
              <w:left w:val="single" w:sz="4" w:space="0" w:color="auto"/>
              <w:bottom w:val="single" w:sz="4" w:space="0" w:color="auto"/>
              <w:right w:val="single" w:sz="4" w:space="0" w:color="auto"/>
            </w:tcBorders>
          </w:tcPr>
          <w:p w14:paraId="04747D7D" w14:textId="77777777" w:rsidR="0028632E" w:rsidRPr="0028632E"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£1,350</w:t>
            </w:r>
          </w:p>
        </w:tc>
        <w:tc>
          <w:tcPr>
            <w:tcW w:w="1701" w:type="dxa"/>
            <w:tcBorders>
              <w:top w:val="single" w:sz="4" w:space="0" w:color="auto"/>
              <w:left w:val="single" w:sz="4" w:space="0" w:color="auto"/>
              <w:bottom w:val="single" w:sz="4" w:space="0" w:color="auto"/>
              <w:right w:val="single" w:sz="4" w:space="0" w:color="auto"/>
            </w:tcBorders>
          </w:tcPr>
          <w:p w14:paraId="03FEDF3C" w14:textId="77777777"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£1,350</w:t>
            </w:r>
          </w:p>
        </w:tc>
        <w:tc>
          <w:tcPr>
            <w:tcW w:w="1843" w:type="dxa"/>
            <w:tcBorders>
              <w:top w:val="single" w:sz="4" w:space="0" w:color="auto"/>
              <w:left w:val="single" w:sz="4" w:space="0" w:color="auto"/>
              <w:bottom w:val="single" w:sz="4" w:space="0" w:color="auto"/>
              <w:right w:val="single" w:sz="4" w:space="0" w:color="auto"/>
            </w:tcBorders>
          </w:tcPr>
          <w:p w14:paraId="63C6A476" w14:textId="77777777"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£1,350</w:t>
            </w:r>
          </w:p>
        </w:tc>
      </w:tr>
      <w:tr w:rsidR="0028632E" w:rsidRPr="00D95EC3" w14:paraId="5AF7227D" w14:textId="77777777" w:rsidTr="0028632E">
        <w:tc>
          <w:tcPr>
            <w:tcW w:w="2830" w:type="dxa"/>
            <w:tcBorders>
              <w:top w:val="single" w:sz="4" w:space="0" w:color="auto"/>
              <w:left w:val="single" w:sz="4" w:space="0" w:color="auto"/>
              <w:bottom w:val="single" w:sz="4" w:space="0" w:color="auto"/>
              <w:right w:val="single" w:sz="4" w:space="0" w:color="auto"/>
            </w:tcBorders>
          </w:tcPr>
          <w:p w14:paraId="5A207EE7" w14:textId="14AFFEFA"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Percentage reduction in appeals</w:t>
            </w:r>
          </w:p>
        </w:tc>
        <w:tc>
          <w:tcPr>
            <w:tcW w:w="1562" w:type="dxa"/>
            <w:tcBorders>
              <w:top w:val="single" w:sz="4" w:space="0" w:color="auto"/>
              <w:left w:val="single" w:sz="4" w:space="0" w:color="auto"/>
              <w:bottom w:val="single" w:sz="4" w:space="0" w:color="auto"/>
              <w:right w:val="single" w:sz="4" w:space="0" w:color="auto"/>
            </w:tcBorders>
          </w:tcPr>
          <w:p w14:paraId="2BB1562F" w14:textId="5200EB30" w:rsidR="0028632E" w:rsidRPr="0028632E" w:rsidRDefault="00843205" w:rsidP="0028632E">
            <w:pPr>
              <w:spacing w:after="120"/>
              <w:ind w:left="284" w:hanging="284"/>
              <w:rPr>
                <w:rFonts w:cs="Arial"/>
                <w:bCs/>
                <w:color w:val="000000"/>
                <w:sz w:val="22"/>
                <w:szCs w:val="22"/>
                <w:lang w:eastAsia="en-GB"/>
              </w:rPr>
            </w:pPr>
            <w:r>
              <w:rPr>
                <w:rFonts w:cs="Arial"/>
                <w:bCs/>
                <w:color w:val="000000"/>
                <w:sz w:val="22"/>
                <w:szCs w:val="22"/>
                <w:lang w:eastAsia="en-GB"/>
              </w:rPr>
              <w:t>1</w:t>
            </w:r>
            <w:r w:rsidR="0028632E" w:rsidRPr="00D95EC3">
              <w:rPr>
                <w:rFonts w:cs="Arial"/>
                <w:bCs/>
                <w:color w:val="000000"/>
                <w:sz w:val="22"/>
                <w:szCs w:val="22"/>
                <w:lang w:eastAsia="en-GB"/>
              </w:rPr>
              <w:t>%</w:t>
            </w:r>
          </w:p>
        </w:tc>
        <w:tc>
          <w:tcPr>
            <w:tcW w:w="1701" w:type="dxa"/>
            <w:tcBorders>
              <w:top w:val="single" w:sz="4" w:space="0" w:color="auto"/>
              <w:left w:val="single" w:sz="4" w:space="0" w:color="auto"/>
              <w:bottom w:val="single" w:sz="4" w:space="0" w:color="auto"/>
              <w:right w:val="single" w:sz="4" w:space="0" w:color="auto"/>
            </w:tcBorders>
          </w:tcPr>
          <w:p w14:paraId="4D4422FD" w14:textId="290D1D89" w:rsidR="0028632E" w:rsidRPr="00D95EC3" w:rsidRDefault="0028632E" w:rsidP="0028632E">
            <w:pPr>
              <w:spacing w:after="120"/>
              <w:ind w:left="284" w:hanging="284"/>
              <w:rPr>
                <w:rFonts w:cs="Arial"/>
                <w:bCs/>
                <w:color w:val="000000"/>
                <w:sz w:val="22"/>
                <w:szCs w:val="22"/>
                <w:lang w:eastAsia="en-GB"/>
              </w:rPr>
            </w:pPr>
            <w:r>
              <w:rPr>
                <w:rFonts w:cs="Arial"/>
                <w:bCs/>
                <w:color w:val="000000"/>
                <w:sz w:val="22"/>
                <w:szCs w:val="22"/>
                <w:lang w:eastAsia="en-GB"/>
              </w:rPr>
              <w:t>2</w:t>
            </w:r>
            <w:r w:rsidRPr="00D95EC3">
              <w:rPr>
                <w:rFonts w:cs="Arial"/>
                <w:bCs/>
                <w:color w:val="000000"/>
                <w:sz w:val="22"/>
                <w:szCs w:val="22"/>
                <w:lang w:eastAsia="en-GB"/>
              </w:rPr>
              <w:t>%</w:t>
            </w:r>
          </w:p>
        </w:tc>
        <w:tc>
          <w:tcPr>
            <w:tcW w:w="1843" w:type="dxa"/>
            <w:tcBorders>
              <w:top w:val="single" w:sz="4" w:space="0" w:color="auto"/>
              <w:left w:val="single" w:sz="4" w:space="0" w:color="auto"/>
              <w:bottom w:val="single" w:sz="4" w:space="0" w:color="auto"/>
              <w:right w:val="single" w:sz="4" w:space="0" w:color="auto"/>
            </w:tcBorders>
          </w:tcPr>
          <w:p w14:paraId="49FF1C8D" w14:textId="6A426B03" w:rsidR="0028632E" w:rsidRPr="00D95EC3" w:rsidRDefault="0028632E" w:rsidP="0028632E">
            <w:pPr>
              <w:spacing w:after="120"/>
              <w:ind w:left="284" w:hanging="284"/>
              <w:rPr>
                <w:rFonts w:cs="Arial"/>
                <w:bCs/>
                <w:color w:val="000000"/>
                <w:sz w:val="22"/>
                <w:szCs w:val="22"/>
                <w:lang w:eastAsia="en-GB"/>
              </w:rPr>
            </w:pPr>
            <w:r>
              <w:rPr>
                <w:rFonts w:cs="Arial"/>
                <w:bCs/>
                <w:color w:val="000000"/>
                <w:sz w:val="22"/>
                <w:szCs w:val="22"/>
                <w:lang w:eastAsia="en-GB"/>
              </w:rPr>
              <w:t>4%</w:t>
            </w:r>
          </w:p>
        </w:tc>
      </w:tr>
      <w:tr w:rsidR="0028632E" w:rsidRPr="00D95EC3" w14:paraId="715CED86" w14:textId="77777777" w:rsidTr="0028632E">
        <w:tc>
          <w:tcPr>
            <w:tcW w:w="2830" w:type="dxa"/>
            <w:tcBorders>
              <w:top w:val="single" w:sz="4" w:space="0" w:color="auto"/>
              <w:left w:val="single" w:sz="4" w:space="0" w:color="auto"/>
              <w:bottom w:val="single" w:sz="4" w:space="0" w:color="auto"/>
              <w:right w:val="single" w:sz="4" w:space="0" w:color="auto"/>
            </w:tcBorders>
          </w:tcPr>
          <w:p w14:paraId="55F30A5F" w14:textId="77777777"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Annual savings UT IAC</w:t>
            </w:r>
          </w:p>
        </w:tc>
        <w:tc>
          <w:tcPr>
            <w:tcW w:w="1562" w:type="dxa"/>
            <w:tcBorders>
              <w:top w:val="single" w:sz="4" w:space="0" w:color="auto"/>
              <w:left w:val="single" w:sz="4" w:space="0" w:color="auto"/>
              <w:bottom w:val="single" w:sz="4" w:space="0" w:color="auto"/>
              <w:right w:val="single" w:sz="4" w:space="0" w:color="auto"/>
            </w:tcBorders>
          </w:tcPr>
          <w:p w14:paraId="67E1CD1B" w14:textId="38996AE7"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£0.0</w:t>
            </w:r>
            <w:r w:rsidR="00843205">
              <w:rPr>
                <w:rFonts w:cs="Arial"/>
                <w:bCs/>
                <w:color w:val="000000"/>
                <w:sz w:val="22"/>
                <w:szCs w:val="22"/>
                <w:lang w:eastAsia="en-GB"/>
              </w:rPr>
              <w:t>1</w:t>
            </w:r>
            <w:r w:rsidRPr="00D95EC3">
              <w:rPr>
                <w:rFonts w:cs="Arial"/>
                <w:bCs/>
                <w:color w:val="000000"/>
                <w:sz w:val="22"/>
                <w:szCs w:val="22"/>
                <w:lang w:eastAsia="en-GB"/>
              </w:rPr>
              <w:t xml:space="preserve"> m</w:t>
            </w:r>
          </w:p>
        </w:tc>
        <w:tc>
          <w:tcPr>
            <w:tcW w:w="1701" w:type="dxa"/>
            <w:tcBorders>
              <w:top w:val="single" w:sz="4" w:space="0" w:color="auto"/>
              <w:left w:val="single" w:sz="4" w:space="0" w:color="auto"/>
              <w:bottom w:val="single" w:sz="4" w:space="0" w:color="auto"/>
              <w:right w:val="single" w:sz="4" w:space="0" w:color="auto"/>
            </w:tcBorders>
          </w:tcPr>
          <w:p w14:paraId="5C86628B" w14:textId="52A2A563" w:rsidR="0028632E" w:rsidRPr="00D95EC3" w:rsidRDefault="00CA0A02" w:rsidP="0028632E">
            <w:pPr>
              <w:spacing w:after="120"/>
              <w:ind w:left="284" w:hanging="284"/>
              <w:rPr>
                <w:rFonts w:cs="Arial"/>
                <w:bCs/>
                <w:color w:val="000000"/>
                <w:sz w:val="22"/>
                <w:szCs w:val="22"/>
                <w:lang w:eastAsia="en-GB"/>
              </w:rPr>
            </w:pPr>
            <w:r>
              <w:rPr>
                <w:rFonts w:cs="Arial"/>
                <w:bCs/>
                <w:color w:val="000000"/>
                <w:sz w:val="22"/>
                <w:szCs w:val="22"/>
                <w:lang w:eastAsia="en-GB"/>
              </w:rPr>
              <w:t>£0.03</w:t>
            </w:r>
            <w:r w:rsidR="0028632E" w:rsidRPr="00D95EC3">
              <w:rPr>
                <w:rFonts w:cs="Arial"/>
                <w:bCs/>
                <w:color w:val="000000"/>
                <w:sz w:val="22"/>
                <w:szCs w:val="22"/>
                <w:lang w:eastAsia="en-GB"/>
              </w:rPr>
              <w:t xml:space="preserve"> m</w:t>
            </w:r>
          </w:p>
        </w:tc>
        <w:tc>
          <w:tcPr>
            <w:tcW w:w="1843" w:type="dxa"/>
            <w:tcBorders>
              <w:top w:val="single" w:sz="4" w:space="0" w:color="auto"/>
              <w:left w:val="single" w:sz="4" w:space="0" w:color="auto"/>
              <w:bottom w:val="single" w:sz="4" w:space="0" w:color="auto"/>
              <w:right w:val="single" w:sz="4" w:space="0" w:color="auto"/>
            </w:tcBorders>
          </w:tcPr>
          <w:p w14:paraId="2A7F5141" w14:textId="652C462D" w:rsidR="0028632E" w:rsidRPr="00D95EC3" w:rsidRDefault="00CA0A02" w:rsidP="0028632E">
            <w:pPr>
              <w:spacing w:after="120"/>
              <w:ind w:left="284" w:hanging="284"/>
              <w:rPr>
                <w:rFonts w:cs="Arial"/>
                <w:bCs/>
                <w:color w:val="000000"/>
                <w:sz w:val="22"/>
                <w:szCs w:val="22"/>
                <w:lang w:eastAsia="en-GB"/>
              </w:rPr>
            </w:pPr>
            <w:r>
              <w:rPr>
                <w:rFonts w:cs="Arial"/>
                <w:bCs/>
                <w:color w:val="000000"/>
                <w:sz w:val="22"/>
                <w:szCs w:val="22"/>
                <w:lang w:eastAsia="en-GB"/>
              </w:rPr>
              <w:t>£0.0</w:t>
            </w:r>
            <w:r w:rsidR="0028632E" w:rsidRPr="00D95EC3">
              <w:rPr>
                <w:rFonts w:cs="Arial"/>
                <w:bCs/>
                <w:color w:val="000000"/>
                <w:sz w:val="22"/>
                <w:szCs w:val="22"/>
                <w:lang w:eastAsia="en-GB"/>
              </w:rPr>
              <w:t>7 m</w:t>
            </w:r>
          </w:p>
        </w:tc>
      </w:tr>
      <w:tr w:rsidR="0028632E" w:rsidRPr="00D95EC3" w14:paraId="105A4B07" w14:textId="77777777" w:rsidTr="0028632E">
        <w:tc>
          <w:tcPr>
            <w:tcW w:w="2830" w:type="dxa"/>
            <w:tcBorders>
              <w:top w:val="single" w:sz="4" w:space="0" w:color="auto"/>
              <w:left w:val="single" w:sz="4" w:space="0" w:color="auto"/>
              <w:bottom w:val="single" w:sz="4" w:space="0" w:color="auto"/>
              <w:right w:val="single" w:sz="4" w:space="0" w:color="auto"/>
            </w:tcBorders>
          </w:tcPr>
          <w:p w14:paraId="15110F64" w14:textId="77777777"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Total savings in appeals</w:t>
            </w:r>
          </w:p>
        </w:tc>
        <w:tc>
          <w:tcPr>
            <w:tcW w:w="1562" w:type="dxa"/>
            <w:tcBorders>
              <w:top w:val="single" w:sz="4" w:space="0" w:color="auto"/>
              <w:left w:val="single" w:sz="4" w:space="0" w:color="auto"/>
              <w:bottom w:val="single" w:sz="4" w:space="0" w:color="auto"/>
              <w:right w:val="single" w:sz="4" w:space="0" w:color="auto"/>
            </w:tcBorders>
          </w:tcPr>
          <w:p w14:paraId="4A881D69" w14:textId="440F6FFF" w:rsidR="0028632E" w:rsidRPr="00D95EC3" w:rsidRDefault="0028632E" w:rsidP="0028632E">
            <w:pPr>
              <w:spacing w:after="120"/>
              <w:ind w:left="284" w:hanging="284"/>
              <w:rPr>
                <w:rFonts w:cs="Arial"/>
                <w:bCs/>
                <w:color w:val="000000"/>
                <w:sz w:val="22"/>
                <w:szCs w:val="22"/>
                <w:lang w:eastAsia="en-GB"/>
              </w:rPr>
            </w:pPr>
            <w:r w:rsidRPr="00D95EC3">
              <w:rPr>
                <w:rFonts w:cs="Arial"/>
                <w:bCs/>
                <w:color w:val="000000"/>
                <w:sz w:val="22"/>
                <w:szCs w:val="22"/>
                <w:lang w:eastAsia="en-GB"/>
              </w:rPr>
              <w:t>£0.</w:t>
            </w:r>
            <w:r w:rsidR="00CA0A02">
              <w:rPr>
                <w:rFonts w:cs="Arial"/>
                <w:bCs/>
                <w:color w:val="000000"/>
                <w:sz w:val="22"/>
                <w:szCs w:val="22"/>
                <w:lang w:eastAsia="en-GB"/>
              </w:rPr>
              <w:t>23</w:t>
            </w:r>
            <w:r w:rsidRPr="00D95EC3">
              <w:rPr>
                <w:rFonts w:cs="Arial"/>
                <w:bCs/>
                <w:color w:val="000000"/>
                <w:sz w:val="22"/>
                <w:szCs w:val="22"/>
                <w:lang w:eastAsia="en-GB"/>
              </w:rPr>
              <w:t xml:space="preserve"> m</w:t>
            </w:r>
          </w:p>
        </w:tc>
        <w:tc>
          <w:tcPr>
            <w:tcW w:w="1701" w:type="dxa"/>
            <w:tcBorders>
              <w:top w:val="single" w:sz="4" w:space="0" w:color="auto"/>
              <w:left w:val="single" w:sz="4" w:space="0" w:color="auto"/>
              <w:bottom w:val="single" w:sz="4" w:space="0" w:color="auto"/>
              <w:right w:val="single" w:sz="4" w:space="0" w:color="auto"/>
            </w:tcBorders>
          </w:tcPr>
          <w:p w14:paraId="62DD13D1" w14:textId="7D0A9D0B" w:rsidR="0028632E" w:rsidRPr="00D95EC3" w:rsidRDefault="00CA0A02" w:rsidP="0028632E">
            <w:pPr>
              <w:spacing w:after="120"/>
              <w:ind w:left="284" w:hanging="284"/>
              <w:rPr>
                <w:rFonts w:cs="Arial"/>
                <w:bCs/>
                <w:color w:val="000000"/>
                <w:sz w:val="22"/>
                <w:szCs w:val="22"/>
                <w:lang w:eastAsia="en-GB"/>
              </w:rPr>
            </w:pPr>
            <w:r>
              <w:rPr>
                <w:rFonts w:cs="Arial"/>
                <w:bCs/>
                <w:color w:val="000000"/>
                <w:sz w:val="22"/>
                <w:szCs w:val="22"/>
                <w:lang w:eastAsia="en-GB"/>
              </w:rPr>
              <w:t>£0.48</w:t>
            </w:r>
            <w:r w:rsidR="0028632E" w:rsidRPr="00D95EC3">
              <w:rPr>
                <w:rFonts w:cs="Arial"/>
                <w:bCs/>
                <w:color w:val="000000"/>
                <w:sz w:val="22"/>
                <w:szCs w:val="22"/>
                <w:lang w:eastAsia="en-GB"/>
              </w:rPr>
              <w:t xml:space="preserve"> m</w:t>
            </w:r>
          </w:p>
        </w:tc>
        <w:tc>
          <w:tcPr>
            <w:tcW w:w="1843" w:type="dxa"/>
            <w:tcBorders>
              <w:top w:val="single" w:sz="4" w:space="0" w:color="auto"/>
              <w:left w:val="single" w:sz="4" w:space="0" w:color="auto"/>
              <w:bottom w:val="single" w:sz="4" w:space="0" w:color="auto"/>
              <w:right w:val="single" w:sz="4" w:space="0" w:color="auto"/>
            </w:tcBorders>
          </w:tcPr>
          <w:p w14:paraId="564E2E7D" w14:textId="3304A87F" w:rsidR="0028632E" w:rsidRPr="00D95EC3" w:rsidRDefault="00CA0A02" w:rsidP="0028632E">
            <w:pPr>
              <w:spacing w:after="120"/>
              <w:ind w:left="284" w:hanging="284"/>
              <w:rPr>
                <w:rFonts w:cs="Arial"/>
                <w:bCs/>
                <w:color w:val="000000"/>
                <w:sz w:val="22"/>
                <w:szCs w:val="22"/>
                <w:lang w:eastAsia="en-GB"/>
              </w:rPr>
            </w:pPr>
            <w:r>
              <w:rPr>
                <w:rFonts w:cs="Arial"/>
                <w:bCs/>
                <w:color w:val="000000"/>
                <w:sz w:val="22"/>
                <w:szCs w:val="22"/>
                <w:lang w:eastAsia="en-GB"/>
              </w:rPr>
              <w:t>£1.0</w:t>
            </w:r>
            <w:r w:rsidR="0028632E" w:rsidRPr="00D95EC3">
              <w:rPr>
                <w:rFonts w:cs="Arial"/>
                <w:bCs/>
                <w:color w:val="000000"/>
                <w:sz w:val="22"/>
                <w:szCs w:val="22"/>
                <w:lang w:eastAsia="en-GB"/>
              </w:rPr>
              <w:t>6 m</w:t>
            </w:r>
          </w:p>
        </w:tc>
      </w:tr>
    </w:tbl>
    <w:p w14:paraId="6C2EA4E4" w14:textId="77777777" w:rsidR="00D95EC3" w:rsidRPr="00D95EC3" w:rsidRDefault="00D95EC3" w:rsidP="00D95EC3">
      <w:pPr>
        <w:spacing w:after="120"/>
        <w:ind w:left="284" w:hanging="284"/>
        <w:rPr>
          <w:rFonts w:cs="Arial"/>
          <w:bCs/>
          <w:color w:val="000000"/>
          <w:sz w:val="22"/>
          <w:szCs w:val="22"/>
          <w:lang w:eastAsia="en-GB"/>
        </w:rPr>
      </w:pPr>
    </w:p>
    <w:p w14:paraId="5478A5B4" w14:textId="3B812829" w:rsidR="00D95EC3" w:rsidRDefault="00CA0A02" w:rsidP="00D95EC3">
      <w:pPr>
        <w:spacing w:after="120"/>
        <w:ind w:left="284"/>
        <w:rPr>
          <w:rFonts w:cs="Arial"/>
          <w:bCs/>
          <w:color w:val="000000"/>
          <w:sz w:val="22"/>
          <w:szCs w:val="22"/>
          <w:lang w:eastAsia="en-GB"/>
        </w:rPr>
      </w:pPr>
      <w:r>
        <w:rPr>
          <w:rFonts w:cs="Arial"/>
          <w:bCs/>
          <w:color w:val="000000"/>
          <w:sz w:val="22"/>
          <w:szCs w:val="22"/>
          <w:lang w:eastAsia="en-GB"/>
        </w:rPr>
        <w:t xml:space="preserve">See Option 1 </w:t>
      </w:r>
      <w:r w:rsidR="00D95EC3" w:rsidRPr="00D95EC3">
        <w:rPr>
          <w:rFonts w:cs="Arial"/>
          <w:bCs/>
          <w:color w:val="000000"/>
          <w:sz w:val="22"/>
          <w:szCs w:val="22"/>
          <w:lang w:eastAsia="en-GB"/>
        </w:rPr>
        <w:t>Assumptions</w:t>
      </w:r>
      <w:r w:rsidR="009B2111">
        <w:rPr>
          <w:rFonts w:cs="Arial"/>
          <w:bCs/>
          <w:color w:val="000000"/>
          <w:sz w:val="22"/>
          <w:szCs w:val="22"/>
          <w:lang w:eastAsia="en-GB"/>
        </w:rPr>
        <w:t xml:space="preserve"> with the following exception</w:t>
      </w:r>
      <w:r w:rsidR="00D95EC3" w:rsidRPr="00D95EC3">
        <w:rPr>
          <w:rFonts w:cs="Arial"/>
          <w:bCs/>
          <w:color w:val="000000"/>
          <w:sz w:val="22"/>
          <w:szCs w:val="22"/>
          <w:lang w:eastAsia="en-GB"/>
        </w:rPr>
        <w:t>:</w:t>
      </w:r>
    </w:p>
    <w:p w14:paraId="317AEEE9" w14:textId="24A3ABE0" w:rsidR="009B2111" w:rsidRPr="00D95EC3" w:rsidRDefault="009B2111" w:rsidP="009B2111">
      <w:pPr>
        <w:numPr>
          <w:ilvl w:val="0"/>
          <w:numId w:val="13"/>
        </w:numPr>
        <w:spacing w:after="120"/>
        <w:rPr>
          <w:rFonts w:cs="Arial"/>
          <w:bCs/>
          <w:color w:val="000000"/>
          <w:sz w:val="22"/>
          <w:szCs w:val="22"/>
          <w:lang w:eastAsia="en-GB"/>
        </w:rPr>
      </w:pPr>
      <w:r w:rsidRPr="00D95EC3">
        <w:rPr>
          <w:rFonts w:cs="Arial"/>
          <w:bCs/>
          <w:color w:val="000000"/>
          <w:sz w:val="22"/>
          <w:szCs w:val="22"/>
          <w:lang w:eastAsia="en-GB"/>
        </w:rPr>
        <w:t xml:space="preserve">Percentage reductions, </w:t>
      </w:r>
      <w:r>
        <w:rPr>
          <w:rFonts w:cs="Arial"/>
          <w:bCs/>
          <w:color w:val="000000"/>
          <w:sz w:val="22"/>
          <w:szCs w:val="22"/>
          <w:lang w:eastAsia="en-GB"/>
        </w:rPr>
        <w:t>1</w:t>
      </w:r>
      <w:r w:rsidRPr="00D95EC3">
        <w:rPr>
          <w:rFonts w:cs="Arial"/>
          <w:bCs/>
          <w:color w:val="000000"/>
          <w:sz w:val="22"/>
          <w:szCs w:val="22"/>
          <w:lang w:eastAsia="en-GB"/>
        </w:rPr>
        <w:t xml:space="preserve"> – </w:t>
      </w:r>
      <w:r>
        <w:rPr>
          <w:rFonts w:cs="Arial"/>
          <w:bCs/>
          <w:color w:val="000000"/>
          <w:sz w:val="22"/>
          <w:szCs w:val="22"/>
          <w:lang w:eastAsia="en-GB"/>
        </w:rPr>
        <w:t>4</w:t>
      </w:r>
      <w:r w:rsidRPr="00D95EC3">
        <w:rPr>
          <w:rFonts w:cs="Arial"/>
          <w:bCs/>
          <w:color w:val="000000"/>
          <w:sz w:val="22"/>
          <w:szCs w:val="22"/>
          <w:lang w:eastAsia="en-GB"/>
        </w:rPr>
        <w:t>%</w:t>
      </w:r>
      <w:r>
        <w:rPr>
          <w:rFonts w:cs="Arial"/>
          <w:bCs/>
          <w:color w:val="000000"/>
          <w:sz w:val="22"/>
          <w:szCs w:val="22"/>
          <w:lang w:eastAsia="en-GB"/>
        </w:rPr>
        <w:t xml:space="preserve"> where 2</w:t>
      </w:r>
      <w:r w:rsidRPr="00D95EC3">
        <w:rPr>
          <w:rFonts w:cs="Arial"/>
          <w:bCs/>
          <w:color w:val="000000"/>
          <w:sz w:val="22"/>
          <w:szCs w:val="22"/>
          <w:lang w:eastAsia="en-GB"/>
        </w:rPr>
        <w:t>% is the best estimate</w:t>
      </w:r>
    </w:p>
    <w:p w14:paraId="64EE84DC" w14:textId="77777777" w:rsidR="009B2111" w:rsidRPr="00D95EC3" w:rsidRDefault="009B2111" w:rsidP="00D95EC3">
      <w:pPr>
        <w:spacing w:after="120"/>
        <w:ind w:left="284"/>
        <w:rPr>
          <w:rFonts w:cs="Arial"/>
          <w:bCs/>
          <w:color w:val="000000"/>
          <w:sz w:val="22"/>
          <w:szCs w:val="22"/>
          <w:lang w:eastAsia="en-GB"/>
        </w:rPr>
      </w:pPr>
    </w:p>
    <w:p w14:paraId="38E3BC1D" w14:textId="77777777" w:rsidR="00D95EC3" w:rsidRPr="00D95EC3" w:rsidRDefault="00D95EC3" w:rsidP="00D95EC3">
      <w:pPr>
        <w:spacing w:after="120"/>
        <w:ind w:left="284"/>
        <w:rPr>
          <w:rFonts w:cs="Arial"/>
          <w:bCs/>
          <w:color w:val="000000"/>
          <w:sz w:val="22"/>
          <w:szCs w:val="22"/>
          <w:lang w:eastAsia="en-GB"/>
        </w:rPr>
      </w:pPr>
    </w:p>
    <w:p w14:paraId="13B471B7" w14:textId="242A34B8"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Estimated annual savings = £0.</w:t>
      </w:r>
      <w:r w:rsidR="00CA0A02">
        <w:rPr>
          <w:rFonts w:cs="Arial"/>
          <w:bCs/>
          <w:color w:val="000000"/>
          <w:sz w:val="22"/>
          <w:szCs w:val="22"/>
          <w:lang w:eastAsia="en-GB"/>
        </w:rPr>
        <w:t>4</w:t>
      </w:r>
      <w:r w:rsidRPr="00D95EC3">
        <w:rPr>
          <w:rFonts w:cs="Arial"/>
          <w:bCs/>
          <w:color w:val="000000"/>
          <w:sz w:val="22"/>
          <w:szCs w:val="22"/>
          <w:lang w:eastAsia="en-GB"/>
        </w:rPr>
        <w:t>8 million [best estimate]</w:t>
      </w:r>
    </w:p>
    <w:p w14:paraId="0C7B3068" w14:textId="023543B9"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Present value over 10 years = £</w:t>
      </w:r>
      <w:r w:rsidR="003063F6">
        <w:rPr>
          <w:rFonts w:cs="Arial"/>
          <w:bCs/>
          <w:color w:val="000000"/>
          <w:sz w:val="22"/>
          <w:szCs w:val="22"/>
          <w:lang w:eastAsia="en-GB"/>
        </w:rPr>
        <w:t>4.02</w:t>
      </w:r>
      <w:r w:rsidRPr="00D95EC3">
        <w:rPr>
          <w:rFonts w:cs="Arial"/>
          <w:bCs/>
          <w:color w:val="000000"/>
          <w:sz w:val="22"/>
          <w:szCs w:val="22"/>
          <w:lang w:eastAsia="en-GB"/>
        </w:rPr>
        <w:t xml:space="preserve"> million [best estimate]</w:t>
      </w:r>
    </w:p>
    <w:p w14:paraId="6CFCBEB9" w14:textId="77777777" w:rsidR="00D95EC3" w:rsidRPr="00D95EC3" w:rsidRDefault="00D95EC3" w:rsidP="00D95EC3">
      <w:pPr>
        <w:spacing w:after="120"/>
        <w:ind w:left="284"/>
        <w:rPr>
          <w:rFonts w:cs="Arial"/>
          <w:bCs/>
          <w:color w:val="000000"/>
          <w:sz w:val="22"/>
          <w:szCs w:val="22"/>
          <w:lang w:eastAsia="en-GB"/>
        </w:rPr>
      </w:pPr>
    </w:p>
    <w:p w14:paraId="372DC135" w14:textId="1E80BAE2" w:rsidR="00D95EC3" w:rsidRPr="00D95EC3" w:rsidRDefault="00A5230D" w:rsidP="00A5230D">
      <w:pPr>
        <w:spacing w:after="120"/>
        <w:rPr>
          <w:rFonts w:cs="Arial"/>
          <w:bCs/>
          <w:color w:val="000000"/>
          <w:sz w:val="22"/>
          <w:szCs w:val="22"/>
          <w:u w:val="single"/>
          <w:lang w:eastAsia="en-GB"/>
        </w:rPr>
      </w:pPr>
      <w:r w:rsidRPr="006E742D">
        <w:rPr>
          <w:rFonts w:cs="Arial"/>
          <w:bCs/>
          <w:color w:val="000000"/>
          <w:sz w:val="22"/>
          <w:szCs w:val="22"/>
          <w:lang w:eastAsia="en-GB"/>
        </w:rPr>
        <w:t xml:space="preserve">3.  </w:t>
      </w:r>
      <w:r w:rsidR="00D95EC3" w:rsidRPr="00D95EC3">
        <w:rPr>
          <w:rFonts w:cs="Arial"/>
          <w:bCs/>
          <w:color w:val="000000"/>
          <w:sz w:val="22"/>
          <w:szCs w:val="22"/>
          <w:u w:val="single"/>
          <w:lang w:eastAsia="en-GB"/>
        </w:rPr>
        <w:t>Reduction in number of administrative reviews</w:t>
      </w:r>
    </w:p>
    <w:p w14:paraId="7159EDC9" w14:textId="2AE928DE"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 xml:space="preserve">We expect reductions in administrative reviews to come from restructuring and redrafting </w:t>
      </w:r>
      <w:r w:rsidR="00956F6A">
        <w:rPr>
          <w:rFonts w:cs="Arial"/>
          <w:bCs/>
          <w:color w:val="000000"/>
          <w:sz w:val="22"/>
          <w:szCs w:val="22"/>
          <w:lang w:eastAsia="en-GB"/>
        </w:rPr>
        <w:t>the Rules, which would include re-drafting Part 6A</w:t>
      </w:r>
      <w:r w:rsidR="006300EE">
        <w:rPr>
          <w:rFonts w:cs="Arial"/>
          <w:bCs/>
          <w:color w:val="000000"/>
          <w:sz w:val="22"/>
          <w:szCs w:val="22"/>
          <w:lang w:eastAsia="en-GB"/>
        </w:rPr>
        <w:t xml:space="preserve"> (</w:t>
      </w:r>
      <w:r w:rsidRPr="00D95EC3">
        <w:rPr>
          <w:rFonts w:cs="Arial"/>
          <w:bCs/>
          <w:color w:val="000000"/>
          <w:sz w:val="22"/>
          <w:szCs w:val="22"/>
          <w:lang w:eastAsia="en-GB"/>
        </w:rPr>
        <w:t>Points-based system)</w:t>
      </w:r>
      <w:r w:rsidR="00956F6A">
        <w:rPr>
          <w:rFonts w:cs="Arial"/>
          <w:bCs/>
          <w:color w:val="000000"/>
          <w:sz w:val="22"/>
          <w:szCs w:val="22"/>
          <w:lang w:eastAsia="en-GB"/>
        </w:rPr>
        <w:t xml:space="preserve"> which attracts a right to administrative review</w:t>
      </w:r>
      <w:r w:rsidRPr="00D95EC3">
        <w:rPr>
          <w:rFonts w:cs="Arial"/>
          <w:bCs/>
          <w:color w:val="000000"/>
          <w:sz w:val="22"/>
          <w:szCs w:val="22"/>
          <w:lang w:eastAsia="en-GB"/>
        </w:rPr>
        <w:t>; option 2 offer</w:t>
      </w:r>
      <w:r w:rsidR="00CA0A02">
        <w:rPr>
          <w:rFonts w:cs="Arial"/>
          <w:bCs/>
          <w:color w:val="000000"/>
          <w:sz w:val="22"/>
          <w:szCs w:val="22"/>
          <w:lang w:eastAsia="en-GB"/>
        </w:rPr>
        <w:t>s</w:t>
      </w:r>
      <w:r w:rsidRPr="00D95EC3">
        <w:rPr>
          <w:rFonts w:cs="Arial"/>
          <w:bCs/>
          <w:color w:val="000000"/>
          <w:sz w:val="22"/>
          <w:szCs w:val="22"/>
          <w:lang w:eastAsia="en-GB"/>
        </w:rPr>
        <w:t xml:space="preserve"> a partial restructuring of the Rules and no substantial redrafting, is therefore unlikely to offer the same level of savings as option 1.</w:t>
      </w:r>
    </w:p>
    <w:p w14:paraId="22042890" w14:textId="77777777" w:rsidR="00D95EC3" w:rsidRPr="00D95EC3" w:rsidRDefault="00D95EC3" w:rsidP="00D95EC3">
      <w:pPr>
        <w:spacing w:after="120"/>
        <w:ind w:left="284" w:hanging="284"/>
        <w:rPr>
          <w:rFonts w:cs="Arial"/>
          <w:bCs/>
          <w:color w:val="000000"/>
          <w:sz w:val="22"/>
          <w:szCs w:val="22"/>
          <w:lang w:eastAsia="en-GB"/>
        </w:rPr>
      </w:pPr>
    </w:p>
    <w:p w14:paraId="1494EF90" w14:textId="6344177D" w:rsidR="00D95EC3" w:rsidRPr="00D95EC3" w:rsidRDefault="006E742D" w:rsidP="006E742D">
      <w:pPr>
        <w:spacing w:after="120"/>
        <w:rPr>
          <w:rFonts w:cs="Arial"/>
          <w:bCs/>
          <w:color w:val="000000"/>
          <w:sz w:val="22"/>
          <w:szCs w:val="22"/>
          <w:u w:val="single"/>
          <w:lang w:eastAsia="en-GB"/>
        </w:rPr>
      </w:pPr>
      <w:r w:rsidRPr="006E742D">
        <w:rPr>
          <w:rFonts w:cs="Arial"/>
          <w:bCs/>
          <w:color w:val="000000"/>
          <w:sz w:val="22"/>
          <w:szCs w:val="22"/>
          <w:lang w:eastAsia="en-GB"/>
        </w:rPr>
        <w:t xml:space="preserve">4.   </w:t>
      </w:r>
      <w:r w:rsidR="00D95EC3" w:rsidRPr="00D95EC3">
        <w:rPr>
          <w:rFonts w:cs="Arial"/>
          <w:bCs/>
          <w:color w:val="000000"/>
          <w:sz w:val="22"/>
          <w:szCs w:val="22"/>
          <w:u w:val="single"/>
          <w:lang w:eastAsia="en-GB"/>
        </w:rPr>
        <w:t>Efficiency [time] savings from shorter judicial reviews and appeal hearings</w:t>
      </w:r>
    </w:p>
    <w:p w14:paraId="30B71339" w14:textId="01EB6AF2"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Option 2 and could make the Rules easier to navigate and therefore offer some savings for reading and writing time.</w:t>
      </w:r>
    </w:p>
    <w:p w14:paraId="7A69361D" w14:textId="77777777" w:rsidR="00D95EC3" w:rsidRPr="00D95EC3" w:rsidRDefault="00D95EC3" w:rsidP="00D95EC3">
      <w:pPr>
        <w:spacing w:after="120"/>
        <w:ind w:left="284" w:hanging="284"/>
        <w:rPr>
          <w:rFonts w:cs="Arial"/>
          <w:bCs/>
          <w:color w:val="000000"/>
          <w:sz w:val="22"/>
          <w:szCs w:val="22"/>
          <w:lang w:eastAsia="en-GB"/>
        </w:rPr>
      </w:pPr>
    </w:p>
    <w:p w14:paraId="314DF085" w14:textId="77777777" w:rsidR="00D95EC3" w:rsidRPr="00D95EC3" w:rsidRDefault="00D95EC3" w:rsidP="00D95EC3">
      <w:pPr>
        <w:spacing w:after="120"/>
        <w:ind w:left="284"/>
        <w:rPr>
          <w:rFonts w:cs="Arial"/>
          <w:bCs/>
          <w:color w:val="000000"/>
          <w:sz w:val="22"/>
          <w:szCs w:val="22"/>
          <w:u w:val="single"/>
          <w:lang w:eastAsia="en-GB"/>
        </w:rPr>
      </w:pPr>
      <w:r w:rsidRPr="00D95EC3">
        <w:rPr>
          <w:rFonts w:cs="Arial"/>
          <w:bCs/>
          <w:color w:val="000000"/>
          <w:sz w:val="22"/>
          <w:szCs w:val="22"/>
          <w:u w:val="single"/>
          <w:lang w:eastAsia="en-GB"/>
        </w:rPr>
        <w:t xml:space="preserve">Table 9: Judiciary Time savings in reading/writing judgment time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62"/>
        <w:gridCol w:w="1701"/>
        <w:gridCol w:w="1843"/>
      </w:tblGrid>
      <w:tr w:rsidR="00D95EC3" w:rsidRPr="00D95EC3" w14:paraId="7C0A7CBD" w14:textId="77777777" w:rsidTr="00CA0A02">
        <w:tc>
          <w:tcPr>
            <w:tcW w:w="2830" w:type="dxa"/>
          </w:tcPr>
          <w:p w14:paraId="1610ED12" w14:textId="77777777" w:rsidR="00D95EC3" w:rsidRPr="00D95EC3" w:rsidRDefault="00D95EC3" w:rsidP="00D95EC3">
            <w:pPr>
              <w:spacing w:after="120"/>
              <w:rPr>
                <w:rFonts w:cs="Arial"/>
                <w:bCs/>
                <w:color w:val="000000"/>
                <w:sz w:val="22"/>
                <w:szCs w:val="22"/>
                <w:lang w:eastAsia="en-GB"/>
              </w:rPr>
            </w:pPr>
          </w:p>
        </w:tc>
        <w:tc>
          <w:tcPr>
            <w:tcW w:w="1562" w:type="dxa"/>
          </w:tcPr>
          <w:p w14:paraId="22637B58"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Low estimate</w:t>
            </w:r>
          </w:p>
        </w:tc>
        <w:tc>
          <w:tcPr>
            <w:tcW w:w="1701" w:type="dxa"/>
          </w:tcPr>
          <w:p w14:paraId="5D7FB476"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Best estimate</w:t>
            </w:r>
          </w:p>
        </w:tc>
        <w:tc>
          <w:tcPr>
            <w:tcW w:w="1843" w:type="dxa"/>
          </w:tcPr>
          <w:p w14:paraId="073AF660"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High estimate</w:t>
            </w:r>
          </w:p>
        </w:tc>
      </w:tr>
      <w:tr w:rsidR="00CA0A02" w:rsidRPr="00D95EC3" w14:paraId="02FDAA55" w14:textId="77777777" w:rsidTr="00CA0A02">
        <w:tc>
          <w:tcPr>
            <w:tcW w:w="2830" w:type="dxa"/>
          </w:tcPr>
          <w:p w14:paraId="396063E2" w14:textId="77777777" w:rsidR="00CA0A02" w:rsidRPr="00D95EC3" w:rsidRDefault="00CA0A02" w:rsidP="00CA0A02">
            <w:pPr>
              <w:spacing w:after="120"/>
              <w:rPr>
                <w:rFonts w:cs="Arial"/>
                <w:bCs/>
                <w:color w:val="000000"/>
                <w:sz w:val="22"/>
                <w:szCs w:val="22"/>
                <w:lang w:eastAsia="en-GB"/>
              </w:rPr>
            </w:pPr>
            <w:r w:rsidRPr="00D95EC3">
              <w:rPr>
                <w:rFonts w:cs="Arial"/>
                <w:bCs/>
                <w:color w:val="000000"/>
                <w:sz w:val="22"/>
                <w:szCs w:val="22"/>
                <w:lang w:eastAsia="en-GB"/>
              </w:rPr>
              <w:t>Number of FT IAC appeals</w:t>
            </w:r>
          </w:p>
        </w:tc>
        <w:tc>
          <w:tcPr>
            <w:tcW w:w="1562" w:type="dxa"/>
          </w:tcPr>
          <w:p w14:paraId="41E4AD71" w14:textId="3F728408" w:rsidR="00CA0A02" w:rsidRPr="00D95EC3" w:rsidRDefault="00CA0A02" w:rsidP="00CA0A02">
            <w:pPr>
              <w:spacing w:after="120"/>
              <w:rPr>
                <w:rFonts w:cs="Arial"/>
                <w:bCs/>
                <w:color w:val="000000"/>
                <w:sz w:val="22"/>
                <w:szCs w:val="22"/>
                <w:lang w:eastAsia="en-GB"/>
              </w:rPr>
            </w:pPr>
            <w:r w:rsidRPr="00D95EC3">
              <w:rPr>
                <w:rFonts w:cs="Arial"/>
                <w:bCs/>
                <w:color w:val="000000"/>
                <w:sz w:val="22"/>
                <w:szCs w:val="22"/>
                <w:lang w:eastAsia="en-GB"/>
              </w:rPr>
              <w:t>10,824</w:t>
            </w:r>
          </w:p>
        </w:tc>
        <w:tc>
          <w:tcPr>
            <w:tcW w:w="1701" w:type="dxa"/>
          </w:tcPr>
          <w:p w14:paraId="7CDEA7CE" w14:textId="273FF0A4" w:rsidR="00CA0A02" w:rsidRPr="00D95EC3" w:rsidRDefault="00CA0A02" w:rsidP="00CA0A02">
            <w:pPr>
              <w:spacing w:after="120"/>
              <w:rPr>
                <w:rFonts w:cs="Arial"/>
                <w:bCs/>
                <w:color w:val="000000"/>
                <w:sz w:val="22"/>
                <w:szCs w:val="22"/>
                <w:lang w:eastAsia="en-GB"/>
              </w:rPr>
            </w:pPr>
            <w:r w:rsidRPr="00D95EC3">
              <w:rPr>
                <w:rFonts w:cs="Arial"/>
                <w:bCs/>
                <w:color w:val="000000"/>
                <w:sz w:val="22"/>
                <w:szCs w:val="22"/>
                <w:lang w:eastAsia="en-GB"/>
              </w:rPr>
              <w:t>11,394</w:t>
            </w:r>
          </w:p>
        </w:tc>
        <w:tc>
          <w:tcPr>
            <w:tcW w:w="1843" w:type="dxa"/>
          </w:tcPr>
          <w:p w14:paraId="04D88F4A" w14:textId="5AFF83DE" w:rsidR="00CA0A02" w:rsidRPr="00D95EC3" w:rsidRDefault="00CA0A02" w:rsidP="00CA0A02">
            <w:pPr>
              <w:spacing w:after="120"/>
              <w:rPr>
                <w:rFonts w:cs="Arial"/>
                <w:bCs/>
                <w:color w:val="000000"/>
                <w:sz w:val="22"/>
                <w:szCs w:val="22"/>
                <w:lang w:eastAsia="en-GB"/>
              </w:rPr>
            </w:pPr>
            <w:r w:rsidRPr="00D95EC3">
              <w:rPr>
                <w:rFonts w:cs="Arial"/>
                <w:bCs/>
                <w:color w:val="000000"/>
                <w:sz w:val="22"/>
                <w:szCs w:val="22"/>
                <w:lang w:eastAsia="en-GB"/>
              </w:rPr>
              <w:t>12,533</w:t>
            </w:r>
          </w:p>
        </w:tc>
      </w:tr>
      <w:tr w:rsidR="00CA0A02" w:rsidRPr="00D95EC3" w14:paraId="72D66D5F" w14:textId="77777777" w:rsidTr="00CA0A02">
        <w:tc>
          <w:tcPr>
            <w:tcW w:w="2830" w:type="dxa"/>
          </w:tcPr>
          <w:p w14:paraId="587C24F1" w14:textId="77777777" w:rsidR="00CA0A02" w:rsidRPr="00D95EC3" w:rsidRDefault="00CA0A02" w:rsidP="00CA0A02">
            <w:pPr>
              <w:spacing w:after="120"/>
              <w:rPr>
                <w:rFonts w:cs="Arial"/>
                <w:bCs/>
                <w:color w:val="000000"/>
                <w:sz w:val="22"/>
                <w:szCs w:val="22"/>
                <w:lang w:eastAsia="en-GB"/>
              </w:rPr>
            </w:pPr>
            <w:r w:rsidRPr="00D95EC3">
              <w:rPr>
                <w:rFonts w:cs="Arial"/>
                <w:bCs/>
                <w:color w:val="000000"/>
                <w:sz w:val="22"/>
                <w:szCs w:val="22"/>
                <w:lang w:eastAsia="en-GB"/>
              </w:rPr>
              <w:t>Time reduction [mins]</w:t>
            </w:r>
          </w:p>
        </w:tc>
        <w:tc>
          <w:tcPr>
            <w:tcW w:w="1562" w:type="dxa"/>
          </w:tcPr>
          <w:p w14:paraId="2DA215E2" w14:textId="1772AFA5" w:rsidR="00CA0A02" w:rsidRPr="00D95EC3" w:rsidRDefault="00CA0A02" w:rsidP="00CA0A02">
            <w:pPr>
              <w:spacing w:after="120"/>
              <w:rPr>
                <w:rFonts w:cs="Arial"/>
                <w:bCs/>
                <w:color w:val="000000"/>
                <w:sz w:val="22"/>
                <w:szCs w:val="22"/>
                <w:lang w:eastAsia="en-GB"/>
              </w:rPr>
            </w:pPr>
            <w:r>
              <w:rPr>
                <w:rFonts w:cs="Arial"/>
                <w:bCs/>
                <w:color w:val="000000"/>
                <w:sz w:val="22"/>
                <w:szCs w:val="22"/>
                <w:lang w:eastAsia="en-GB"/>
              </w:rPr>
              <w:t>7</w:t>
            </w:r>
          </w:p>
        </w:tc>
        <w:tc>
          <w:tcPr>
            <w:tcW w:w="1701" w:type="dxa"/>
          </w:tcPr>
          <w:p w14:paraId="3E2E51E6" w14:textId="25C9182C" w:rsidR="00CA0A02" w:rsidRPr="00D95EC3" w:rsidRDefault="00CA0A02" w:rsidP="00CA0A02">
            <w:pPr>
              <w:spacing w:after="120"/>
              <w:rPr>
                <w:rFonts w:cs="Arial"/>
                <w:bCs/>
                <w:color w:val="000000"/>
                <w:sz w:val="22"/>
                <w:szCs w:val="22"/>
                <w:lang w:eastAsia="en-GB"/>
              </w:rPr>
            </w:pPr>
            <w:r>
              <w:rPr>
                <w:rFonts w:cs="Arial"/>
                <w:bCs/>
                <w:color w:val="000000"/>
                <w:sz w:val="22"/>
                <w:szCs w:val="22"/>
                <w:lang w:eastAsia="en-GB"/>
              </w:rPr>
              <w:t>7</w:t>
            </w:r>
          </w:p>
        </w:tc>
        <w:tc>
          <w:tcPr>
            <w:tcW w:w="1843" w:type="dxa"/>
          </w:tcPr>
          <w:p w14:paraId="1208B362" w14:textId="2EB1118C" w:rsidR="00CA0A02" w:rsidRPr="00D95EC3" w:rsidRDefault="00CA0A02" w:rsidP="00CA0A02">
            <w:pPr>
              <w:spacing w:after="120"/>
              <w:rPr>
                <w:rFonts w:cs="Arial"/>
                <w:bCs/>
                <w:color w:val="000000"/>
                <w:sz w:val="22"/>
                <w:szCs w:val="22"/>
                <w:lang w:eastAsia="en-GB"/>
              </w:rPr>
            </w:pPr>
            <w:r>
              <w:rPr>
                <w:rFonts w:cs="Arial"/>
                <w:bCs/>
                <w:color w:val="000000"/>
                <w:sz w:val="22"/>
                <w:szCs w:val="22"/>
                <w:lang w:eastAsia="en-GB"/>
              </w:rPr>
              <w:t>15</w:t>
            </w:r>
          </w:p>
        </w:tc>
      </w:tr>
      <w:tr w:rsidR="00CA0A02" w:rsidRPr="00D95EC3" w14:paraId="4986F9CF" w14:textId="77777777" w:rsidTr="00CA0A02">
        <w:tc>
          <w:tcPr>
            <w:tcW w:w="2830" w:type="dxa"/>
          </w:tcPr>
          <w:p w14:paraId="272ECD40" w14:textId="77777777" w:rsidR="00CA0A02" w:rsidRPr="00D95EC3" w:rsidRDefault="00CA0A02" w:rsidP="00CA0A02">
            <w:pPr>
              <w:spacing w:after="120"/>
              <w:rPr>
                <w:rFonts w:cs="Arial"/>
                <w:b/>
                <w:bCs/>
                <w:color w:val="000000"/>
                <w:sz w:val="22"/>
                <w:szCs w:val="22"/>
                <w:lang w:eastAsia="en-GB"/>
              </w:rPr>
            </w:pPr>
            <w:r w:rsidRPr="00D95EC3">
              <w:rPr>
                <w:rFonts w:cs="Arial"/>
                <w:b/>
                <w:bCs/>
                <w:color w:val="000000"/>
                <w:sz w:val="22"/>
                <w:szCs w:val="22"/>
                <w:lang w:eastAsia="en-GB"/>
              </w:rPr>
              <w:lastRenderedPageBreak/>
              <w:t xml:space="preserve">Annual time savings in FT IAC </w:t>
            </w:r>
          </w:p>
        </w:tc>
        <w:tc>
          <w:tcPr>
            <w:tcW w:w="1562" w:type="dxa"/>
          </w:tcPr>
          <w:p w14:paraId="4984CDEA" w14:textId="59FAFF39" w:rsidR="00CA0A02" w:rsidRPr="00D95EC3" w:rsidRDefault="00CA0A02" w:rsidP="00CA0A02">
            <w:pPr>
              <w:spacing w:after="120"/>
              <w:rPr>
                <w:rFonts w:cs="Arial"/>
                <w:b/>
                <w:bCs/>
                <w:color w:val="000000"/>
                <w:sz w:val="22"/>
                <w:szCs w:val="22"/>
                <w:lang w:eastAsia="en-GB"/>
              </w:rPr>
            </w:pPr>
            <w:r>
              <w:rPr>
                <w:rFonts w:cs="Arial"/>
                <w:b/>
                <w:bCs/>
                <w:color w:val="000000"/>
                <w:sz w:val="22"/>
                <w:szCs w:val="22"/>
                <w:lang w:eastAsia="en-GB"/>
              </w:rPr>
              <w:t>£0.86 m</w:t>
            </w:r>
          </w:p>
        </w:tc>
        <w:tc>
          <w:tcPr>
            <w:tcW w:w="1701" w:type="dxa"/>
          </w:tcPr>
          <w:p w14:paraId="06DC76A8" w14:textId="0D1E25F8" w:rsidR="00CA0A02" w:rsidRPr="00D95EC3" w:rsidRDefault="00CA0A02" w:rsidP="00CA0A02">
            <w:pPr>
              <w:spacing w:after="120"/>
              <w:rPr>
                <w:rFonts w:cs="Arial"/>
                <w:b/>
                <w:bCs/>
                <w:color w:val="000000"/>
                <w:sz w:val="22"/>
                <w:szCs w:val="22"/>
                <w:lang w:eastAsia="en-GB"/>
              </w:rPr>
            </w:pPr>
            <w:r>
              <w:rPr>
                <w:rFonts w:cs="Arial"/>
                <w:b/>
                <w:bCs/>
                <w:color w:val="000000"/>
                <w:sz w:val="22"/>
                <w:szCs w:val="22"/>
                <w:lang w:eastAsia="en-GB"/>
              </w:rPr>
              <w:t>£0.90 m</w:t>
            </w:r>
          </w:p>
        </w:tc>
        <w:tc>
          <w:tcPr>
            <w:tcW w:w="1843" w:type="dxa"/>
          </w:tcPr>
          <w:p w14:paraId="52C0CD0B" w14:textId="58A36306" w:rsidR="00CA0A02" w:rsidRPr="00D95EC3" w:rsidRDefault="00CA0A02" w:rsidP="00CA0A02">
            <w:pPr>
              <w:spacing w:after="120"/>
              <w:rPr>
                <w:rFonts w:cs="Arial"/>
                <w:b/>
                <w:bCs/>
                <w:color w:val="000000"/>
                <w:sz w:val="22"/>
                <w:szCs w:val="22"/>
                <w:lang w:eastAsia="en-GB"/>
              </w:rPr>
            </w:pPr>
            <w:r>
              <w:rPr>
                <w:rFonts w:cs="Arial"/>
                <w:b/>
                <w:bCs/>
                <w:color w:val="000000"/>
                <w:sz w:val="22"/>
                <w:szCs w:val="22"/>
                <w:lang w:eastAsia="en-GB"/>
              </w:rPr>
              <w:t>£2.14 m</w:t>
            </w:r>
          </w:p>
        </w:tc>
      </w:tr>
      <w:tr w:rsidR="00CA0A02" w:rsidRPr="00D95EC3" w14:paraId="32B2E0E8" w14:textId="77777777" w:rsidTr="00CA0A02">
        <w:tc>
          <w:tcPr>
            <w:tcW w:w="2830" w:type="dxa"/>
          </w:tcPr>
          <w:p w14:paraId="5A2A59BB" w14:textId="77777777" w:rsidR="00CA0A02" w:rsidRPr="00D95EC3" w:rsidRDefault="00CA0A02" w:rsidP="00CA0A02">
            <w:pPr>
              <w:spacing w:after="120"/>
              <w:rPr>
                <w:rFonts w:cs="Arial"/>
                <w:bCs/>
                <w:color w:val="000000"/>
                <w:sz w:val="22"/>
                <w:szCs w:val="22"/>
                <w:lang w:eastAsia="en-GB"/>
              </w:rPr>
            </w:pPr>
            <w:r w:rsidRPr="00D95EC3">
              <w:rPr>
                <w:rFonts w:cs="Arial"/>
                <w:bCs/>
                <w:color w:val="000000"/>
                <w:sz w:val="22"/>
                <w:szCs w:val="22"/>
                <w:lang w:eastAsia="en-GB"/>
              </w:rPr>
              <w:t>Number of UT IAC appeals</w:t>
            </w:r>
          </w:p>
        </w:tc>
        <w:tc>
          <w:tcPr>
            <w:tcW w:w="1562" w:type="dxa"/>
          </w:tcPr>
          <w:p w14:paraId="25C14B7A" w14:textId="0F1AC569" w:rsidR="00CA0A02" w:rsidRPr="00D95EC3" w:rsidRDefault="00CA0A02" w:rsidP="00CA0A02">
            <w:pPr>
              <w:spacing w:after="120"/>
              <w:rPr>
                <w:rFonts w:cs="Arial"/>
                <w:bCs/>
                <w:color w:val="000000"/>
                <w:sz w:val="22"/>
                <w:szCs w:val="22"/>
                <w:lang w:eastAsia="en-GB"/>
              </w:rPr>
            </w:pPr>
            <w:r w:rsidRPr="00D95EC3">
              <w:rPr>
                <w:rFonts w:cs="Arial"/>
                <w:bCs/>
                <w:color w:val="000000"/>
                <w:sz w:val="22"/>
                <w:szCs w:val="22"/>
                <w:lang w:eastAsia="en-GB"/>
              </w:rPr>
              <w:t>541</w:t>
            </w:r>
          </w:p>
        </w:tc>
        <w:tc>
          <w:tcPr>
            <w:tcW w:w="1701" w:type="dxa"/>
          </w:tcPr>
          <w:p w14:paraId="03795A6B" w14:textId="1113F3A9" w:rsidR="00CA0A02" w:rsidRPr="00D95EC3" w:rsidRDefault="00CA0A02" w:rsidP="00CA0A02">
            <w:pPr>
              <w:spacing w:after="120"/>
              <w:rPr>
                <w:rFonts w:cs="Arial"/>
                <w:bCs/>
                <w:color w:val="000000"/>
                <w:sz w:val="22"/>
                <w:szCs w:val="22"/>
                <w:lang w:eastAsia="en-GB"/>
              </w:rPr>
            </w:pPr>
            <w:r w:rsidRPr="00D95EC3">
              <w:rPr>
                <w:rFonts w:cs="Arial"/>
                <w:bCs/>
                <w:color w:val="000000"/>
                <w:sz w:val="22"/>
                <w:szCs w:val="22"/>
                <w:lang w:eastAsia="en-GB"/>
              </w:rPr>
              <w:t>570</w:t>
            </w:r>
          </w:p>
        </w:tc>
        <w:tc>
          <w:tcPr>
            <w:tcW w:w="1843" w:type="dxa"/>
          </w:tcPr>
          <w:p w14:paraId="618E7F34" w14:textId="45775BCF" w:rsidR="00CA0A02" w:rsidRPr="00D95EC3" w:rsidRDefault="00CA0A02" w:rsidP="00CA0A02">
            <w:pPr>
              <w:spacing w:after="120"/>
              <w:rPr>
                <w:rFonts w:cs="Arial"/>
                <w:bCs/>
                <w:color w:val="000000"/>
                <w:sz w:val="22"/>
                <w:szCs w:val="22"/>
                <w:lang w:eastAsia="en-GB"/>
              </w:rPr>
            </w:pPr>
            <w:r w:rsidRPr="00D95EC3">
              <w:rPr>
                <w:rFonts w:cs="Arial"/>
                <w:bCs/>
                <w:color w:val="000000"/>
                <w:sz w:val="22"/>
                <w:szCs w:val="22"/>
                <w:lang w:eastAsia="en-GB"/>
              </w:rPr>
              <w:t>626</w:t>
            </w:r>
          </w:p>
        </w:tc>
      </w:tr>
      <w:tr w:rsidR="00CA0A02" w:rsidRPr="00D95EC3" w14:paraId="59DE01B0" w14:textId="77777777" w:rsidTr="00CA0A02">
        <w:tc>
          <w:tcPr>
            <w:tcW w:w="2830" w:type="dxa"/>
          </w:tcPr>
          <w:p w14:paraId="136AF728" w14:textId="77777777" w:rsidR="00CA0A02" w:rsidRPr="00D95EC3" w:rsidRDefault="00CA0A02" w:rsidP="00CA0A02">
            <w:pPr>
              <w:spacing w:after="120"/>
              <w:rPr>
                <w:rFonts w:cs="Arial"/>
                <w:bCs/>
                <w:color w:val="000000"/>
                <w:sz w:val="22"/>
                <w:szCs w:val="22"/>
                <w:lang w:eastAsia="en-GB"/>
              </w:rPr>
            </w:pPr>
            <w:r w:rsidRPr="00D95EC3">
              <w:rPr>
                <w:rFonts w:cs="Arial"/>
                <w:bCs/>
                <w:color w:val="000000"/>
                <w:sz w:val="22"/>
                <w:szCs w:val="22"/>
                <w:lang w:eastAsia="en-GB"/>
              </w:rPr>
              <w:t>Time reduction [mins]</w:t>
            </w:r>
          </w:p>
        </w:tc>
        <w:tc>
          <w:tcPr>
            <w:tcW w:w="1562" w:type="dxa"/>
          </w:tcPr>
          <w:p w14:paraId="099868F7" w14:textId="0F09DDA2" w:rsidR="00CA0A02" w:rsidRPr="00D95EC3" w:rsidRDefault="00CA0A02" w:rsidP="00CA0A02">
            <w:pPr>
              <w:spacing w:after="120"/>
              <w:rPr>
                <w:rFonts w:cs="Arial"/>
                <w:bCs/>
                <w:color w:val="000000"/>
                <w:sz w:val="22"/>
                <w:szCs w:val="22"/>
                <w:lang w:eastAsia="en-GB"/>
              </w:rPr>
            </w:pPr>
            <w:r>
              <w:rPr>
                <w:rFonts w:cs="Arial"/>
                <w:bCs/>
                <w:color w:val="000000"/>
                <w:sz w:val="22"/>
                <w:szCs w:val="22"/>
                <w:lang w:eastAsia="en-GB"/>
              </w:rPr>
              <w:t>7</w:t>
            </w:r>
          </w:p>
        </w:tc>
        <w:tc>
          <w:tcPr>
            <w:tcW w:w="1701" w:type="dxa"/>
          </w:tcPr>
          <w:p w14:paraId="36FF7E62" w14:textId="088843A1" w:rsidR="00CA0A02" w:rsidRPr="00D95EC3" w:rsidRDefault="00CA0A02" w:rsidP="00CA0A02">
            <w:pPr>
              <w:spacing w:after="120"/>
              <w:rPr>
                <w:rFonts w:cs="Arial"/>
                <w:bCs/>
                <w:color w:val="000000"/>
                <w:sz w:val="22"/>
                <w:szCs w:val="22"/>
                <w:lang w:eastAsia="en-GB"/>
              </w:rPr>
            </w:pPr>
            <w:r>
              <w:rPr>
                <w:rFonts w:cs="Arial"/>
                <w:bCs/>
                <w:color w:val="000000"/>
                <w:sz w:val="22"/>
                <w:szCs w:val="22"/>
                <w:lang w:eastAsia="en-GB"/>
              </w:rPr>
              <w:t>7</w:t>
            </w:r>
          </w:p>
        </w:tc>
        <w:tc>
          <w:tcPr>
            <w:tcW w:w="1843" w:type="dxa"/>
          </w:tcPr>
          <w:p w14:paraId="02A0475A" w14:textId="6E973EAB" w:rsidR="00CA0A02" w:rsidRPr="00D95EC3" w:rsidRDefault="00CA0A02" w:rsidP="00CA0A02">
            <w:pPr>
              <w:spacing w:after="120"/>
              <w:rPr>
                <w:rFonts w:cs="Arial"/>
                <w:bCs/>
                <w:color w:val="000000"/>
                <w:sz w:val="22"/>
                <w:szCs w:val="22"/>
                <w:lang w:eastAsia="en-GB"/>
              </w:rPr>
            </w:pPr>
            <w:r>
              <w:rPr>
                <w:rFonts w:cs="Arial"/>
                <w:bCs/>
                <w:color w:val="000000"/>
                <w:sz w:val="22"/>
                <w:szCs w:val="22"/>
                <w:lang w:eastAsia="en-GB"/>
              </w:rPr>
              <w:t>15</w:t>
            </w:r>
          </w:p>
        </w:tc>
      </w:tr>
      <w:tr w:rsidR="00CA0A02" w:rsidRPr="00D95EC3" w14:paraId="077ECEDB" w14:textId="77777777" w:rsidTr="00CA0A02">
        <w:tc>
          <w:tcPr>
            <w:tcW w:w="2830" w:type="dxa"/>
          </w:tcPr>
          <w:p w14:paraId="34F3AD69" w14:textId="77777777" w:rsidR="00CA0A02" w:rsidRPr="00D95EC3" w:rsidRDefault="00CA0A02" w:rsidP="00CA0A02">
            <w:pPr>
              <w:spacing w:after="120"/>
              <w:rPr>
                <w:rFonts w:cs="Arial"/>
                <w:b/>
                <w:bCs/>
                <w:color w:val="000000"/>
                <w:sz w:val="22"/>
                <w:szCs w:val="22"/>
                <w:lang w:eastAsia="en-GB"/>
              </w:rPr>
            </w:pPr>
            <w:r w:rsidRPr="00D95EC3">
              <w:rPr>
                <w:rFonts w:cs="Arial"/>
                <w:b/>
                <w:bCs/>
                <w:color w:val="000000"/>
                <w:sz w:val="22"/>
                <w:szCs w:val="22"/>
                <w:lang w:eastAsia="en-GB"/>
              </w:rPr>
              <w:t>Annual time savings in UT IAC</w:t>
            </w:r>
          </w:p>
        </w:tc>
        <w:tc>
          <w:tcPr>
            <w:tcW w:w="1562" w:type="dxa"/>
          </w:tcPr>
          <w:p w14:paraId="035051EA" w14:textId="3B4C1564" w:rsidR="00CA0A02" w:rsidRPr="00D95EC3" w:rsidRDefault="00CA0A02" w:rsidP="00CA0A02">
            <w:pPr>
              <w:spacing w:after="120"/>
              <w:rPr>
                <w:rFonts w:cs="Arial"/>
                <w:b/>
                <w:bCs/>
                <w:color w:val="000000"/>
                <w:sz w:val="22"/>
                <w:szCs w:val="22"/>
                <w:lang w:eastAsia="en-GB"/>
              </w:rPr>
            </w:pPr>
            <w:r>
              <w:rPr>
                <w:rFonts w:cs="Arial"/>
                <w:b/>
                <w:bCs/>
                <w:color w:val="000000"/>
                <w:sz w:val="22"/>
                <w:szCs w:val="22"/>
                <w:lang w:eastAsia="en-GB"/>
              </w:rPr>
              <w:t>£0.06</w:t>
            </w:r>
            <w:r w:rsidR="0029144D">
              <w:rPr>
                <w:rFonts w:cs="Arial"/>
                <w:b/>
                <w:bCs/>
                <w:color w:val="000000"/>
                <w:sz w:val="22"/>
                <w:szCs w:val="22"/>
                <w:lang w:eastAsia="en-GB"/>
              </w:rPr>
              <w:t xml:space="preserve"> m</w:t>
            </w:r>
          </w:p>
        </w:tc>
        <w:tc>
          <w:tcPr>
            <w:tcW w:w="1701" w:type="dxa"/>
          </w:tcPr>
          <w:p w14:paraId="3B633D66" w14:textId="70DD6D20" w:rsidR="00CA0A02" w:rsidRPr="00D95EC3" w:rsidRDefault="00CA0A02" w:rsidP="00CA0A02">
            <w:pPr>
              <w:spacing w:after="120"/>
              <w:rPr>
                <w:rFonts w:cs="Arial"/>
                <w:b/>
                <w:bCs/>
                <w:color w:val="000000"/>
                <w:sz w:val="22"/>
                <w:szCs w:val="22"/>
                <w:lang w:eastAsia="en-GB"/>
              </w:rPr>
            </w:pPr>
            <w:r>
              <w:rPr>
                <w:rFonts w:cs="Arial"/>
                <w:b/>
                <w:bCs/>
                <w:color w:val="000000"/>
                <w:sz w:val="22"/>
                <w:szCs w:val="22"/>
                <w:lang w:eastAsia="en-GB"/>
              </w:rPr>
              <w:t>£0.06</w:t>
            </w:r>
            <w:r w:rsidR="0029144D">
              <w:rPr>
                <w:rFonts w:cs="Arial"/>
                <w:b/>
                <w:bCs/>
                <w:color w:val="000000"/>
                <w:sz w:val="22"/>
                <w:szCs w:val="22"/>
                <w:lang w:eastAsia="en-GB"/>
              </w:rPr>
              <w:t xml:space="preserve"> m</w:t>
            </w:r>
          </w:p>
        </w:tc>
        <w:tc>
          <w:tcPr>
            <w:tcW w:w="1843" w:type="dxa"/>
          </w:tcPr>
          <w:p w14:paraId="69373F28" w14:textId="79B04F9F" w:rsidR="00CA0A02" w:rsidRPr="00D95EC3" w:rsidRDefault="0029144D" w:rsidP="00CA0A02">
            <w:pPr>
              <w:spacing w:after="120"/>
              <w:rPr>
                <w:rFonts w:cs="Arial"/>
                <w:b/>
                <w:bCs/>
                <w:color w:val="000000"/>
                <w:sz w:val="22"/>
                <w:szCs w:val="22"/>
                <w:lang w:eastAsia="en-GB"/>
              </w:rPr>
            </w:pPr>
            <w:r>
              <w:rPr>
                <w:rFonts w:cs="Arial"/>
                <w:b/>
                <w:bCs/>
                <w:color w:val="000000"/>
                <w:sz w:val="22"/>
                <w:szCs w:val="22"/>
                <w:lang w:eastAsia="en-GB"/>
              </w:rPr>
              <w:t>£0.14 m</w:t>
            </w:r>
          </w:p>
        </w:tc>
      </w:tr>
      <w:tr w:rsidR="0029144D" w:rsidRPr="00D95EC3" w14:paraId="60B723A0" w14:textId="77777777" w:rsidTr="00CA0A02">
        <w:tc>
          <w:tcPr>
            <w:tcW w:w="2830" w:type="dxa"/>
          </w:tcPr>
          <w:p w14:paraId="26D25B90" w14:textId="77777777" w:rsidR="0029144D" w:rsidRPr="00D95EC3" w:rsidRDefault="0029144D" w:rsidP="0029144D">
            <w:pPr>
              <w:spacing w:after="120"/>
              <w:rPr>
                <w:rFonts w:cs="Arial"/>
                <w:bCs/>
                <w:color w:val="000000"/>
                <w:sz w:val="22"/>
                <w:szCs w:val="22"/>
                <w:lang w:eastAsia="en-GB"/>
              </w:rPr>
            </w:pPr>
            <w:r w:rsidRPr="00D95EC3">
              <w:rPr>
                <w:rFonts w:cs="Arial"/>
                <w:bCs/>
                <w:color w:val="000000"/>
                <w:sz w:val="22"/>
                <w:szCs w:val="22"/>
                <w:lang w:eastAsia="en-GB"/>
              </w:rPr>
              <w:t>Number of UT IAC [JRs]</w:t>
            </w:r>
          </w:p>
        </w:tc>
        <w:tc>
          <w:tcPr>
            <w:tcW w:w="1562" w:type="dxa"/>
          </w:tcPr>
          <w:p w14:paraId="6F0F5909" w14:textId="7BEB6F49" w:rsidR="0029144D" w:rsidRPr="00D95EC3" w:rsidRDefault="0029144D" w:rsidP="0029144D">
            <w:pPr>
              <w:spacing w:after="120"/>
              <w:rPr>
                <w:rFonts w:cs="Arial"/>
                <w:bCs/>
                <w:color w:val="000000"/>
                <w:sz w:val="22"/>
                <w:szCs w:val="22"/>
                <w:lang w:eastAsia="en-GB"/>
              </w:rPr>
            </w:pPr>
            <w:r w:rsidRPr="00D95EC3">
              <w:rPr>
                <w:rFonts w:cs="Arial"/>
                <w:bCs/>
                <w:color w:val="000000"/>
                <w:sz w:val="22"/>
                <w:szCs w:val="22"/>
                <w:lang w:eastAsia="en-GB"/>
              </w:rPr>
              <w:t>4,738</w:t>
            </w:r>
          </w:p>
        </w:tc>
        <w:tc>
          <w:tcPr>
            <w:tcW w:w="1701" w:type="dxa"/>
          </w:tcPr>
          <w:p w14:paraId="3AD7912D" w14:textId="12192C59" w:rsidR="0029144D" w:rsidRPr="00D95EC3" w:rsidRDefault="0029144D" w:rsidP="0029144D">
            <w:pPr>
              <w:spacing w:after="120"/>
              <w:rPr>
                <w:rFonts w:cs="Arial"/>
                <w:bCs/>
                <w:color w:val="000000"/>
                <w:sz w:val="22"/>
                <w:szCs w:val="22"/>
                <w:lang w:eastAsia="en-GB"/>
              </w:rPr>
            </w:pPr>
            <w:r w:rsidRPr="00D95EC3">
              <w:rPr>
                <w:rFonts w:cs="Arial"/>
                <w:bCs/>
                <w:color w:val="000000"/>
                <w:sz w:val="22"/>
                <w:szCs w:val="22"/>
                <w:lang w:eastAsia="en-GB"/>
              </w:rPr>
              <w:t>4,987</w:t>
            </w:r>
          </w:p>
        </w:tc>
        <w:tc>
          <w:tcPr>
            <w:tcW w:w="1843" w:type="dxa"/>
          </w:tcPr>
          <w:p w14:paraId="7AE93C31" w14:textId="6AC70A4D" w:rsidR="0029144D" w:rsidRPr="00D95EC3" w:rsidRDefault="0029144D" w:rsidP="0029144D">
            <w:pPr>
              <w:spacing w:after="120"/>
              <w:rPr>
                <w:rFonts w:cs="Arial"/>
                <w:bCs/>
                <w:color w:val="000000"/>
                <w:sz w:val="22"/>
                <w:szCs w:val="22"/>
                <w:lang w:eastAsia="en-GB"/>
              </w:rPr>
            </w:pPr>
            <w:r w:rsidRPr="00D95EC3">
              <w:rPr>
                <w:rFonts w:cs="Arial"/>
                <w:bCs/>
                <w:color w:val="000000"/>
                <w:sz w:val="22"/>
                <w:szCs w:val="22"/>
                <w:lang w:eastAsia="en-GB"/>
              </w:rPr>
              <w:t>5,236</w:t>
            </w:r>
          </w:p>
        </w:tc>
      </w:tr>
      <w:tr w:rsidR="0029144D" w:rsidRPr="00D95EC3" w14:paraId="1ED639EB" w14:textId="77777777" w:rsidTr="00CA0A02">
        <w:tc>
          <w:tcPr>
            <w:tcW w:w="2830" w:type="dxa"/>
          </w:tcPr>
          <w:p w14:paraId="6CDEACD4" w14:textId="77777777" w:rsidR="0029144D" w:rsidRPr="00D95EC3" w:rsidRDefault="0029144D" w:rsidP="0029144D">
            <w:pPr>
              <w:spacing w:after="120"/>
              <w:rPr>
                <w:rFonts w:cs="Arial"/>
                <w:bCs/>
                <w:color w:val="000000"/>
                <w:sz w:val="22"/>
                <w:szCs w:val="22"/>
                <w:lang w:eastAsia="en-GB"/>
              </w:rPr>
            </w:pPr>
            <w:r w:rsidRPr="00D95EC3">
              <w:rPr>
                <w:rFonts w:cs="Arial"/>
                <w:bCs/>
                <w:color w:val="000000"/>
                <w:sz w:val="22"/>
                <w:szCs w:val="22"/>
                <w:lang w:eastAsia="en-GB"/>
              </w:rPr>
              <w:t>Time reduction [mins]</w:t>
            </w:r>
          </w:p>
        </w:tc>
        <w:tc>
          <w:tcPr>
            <w:tcW w:w="1562" w:type="dxa"/>
          </w:tcPr>
          <w:p w14:paraId="35993CF3" w14:textId="148DCB01" w:rsidR="0029144D" w:rsidRPr="00D95EC3" w:rsidRDefault="00821041" w:rsidP="0029144D">
            <w:pPr>
              <w:spacing w:after="120"/>
              <w:rPr>
                <w:rFonts w:cs="Arial"/>
                <w:bCs/>
                <w:color w:val="000000"/>
                <w:sz w:val="22"/>
                <w:szCs w:val="22"/>
                <w:lang w:eastAsia="en-GB"/>
              </w:rPr>
            </w:pPr>
            <w:r>
              <w:rPr>
                <w:rFonts w:cs="Arial"/>
                <w:bCs/>
                <w:color w:val="000000"/>
                <w:sz w:val="22"/>
                <w:szCs w:val="22"/>
                <w:lang w:eastAsia="en-GB"/>
              </w:rPr>
              <w:t>n/a</w:t>
            </w:r>
          </w:p>
        </w:tc>
        <w:tc>
          <w:tcPr>
            <w:tcW w:w="1701" w:type="dxa"/>
          </w:tcPr>
          <w:p w14:paraId="52C3FA89" w14:textId="1EB1935F" w:rsidR="0029144D" w:rsidRPr="00D95EC3" w:rsidRDefault="00821041" w:rsidP="0029144D">
            <w:pPr>
              <w:spacing w:after="120"/>
              <w:rPr>
                <w:rFonts w:cs="Arial"/>
                <w:bCs/>
                <w:color w:val="000000"/>
                <w:sz w:val="22"/>
                <w:szCs w:val="22"/>
                <w:lang w:eastAsia="en-GB"/>
              </w:rPr>
            </w:pPr>
            <w:r>
              <w:rPr>
                <w:rFonts w:cs="Arial"/>
                <w:bCs/>
                <w:color w:val="000000"/>
                <w:sz w:val="22"/>
                <w:szCs w:val="22"/>
                <w:lang w:eastAsia="en-GB"/>
              </w:rPr>
              <w:t>n/a</w:t>
            </w:r>
          </w:p>
        </w:tc>
        <w:tc>
          <w:tcPr>
            <w:tcW w:w="1843" w:type="dxa"/>
          </w:tcPr>
          <w:p w14:paraId="436F45D1" w14:textId="1D6F6B38" w:rsidR="0029144D" w:rsidRPr="00D95EC3" w:rsidRDefault="00821041" w:rsidP="0029144D">
            <w:pPr>
              <w:spacing w:after="120"/>
              <w:rPr>
                <w:rFonts w:cs="Arial"/>
                <w:bCs/>
                <w:color w:val="000000"/>
                <w:sz w:val="22"/>
                <w:szCs w:val="22"/>
                <w:lang w:eastAsia="en-GB"/>
              </w:rPr>
            </w:pPr>
            <w:r>
              <w:rPr>
                <w:rFonts w:cs="Arial"/>
                <w:bCs/>
                <w:color w:val="000000"/>
                <w:sz w:val="22"/>
                <w:szCs w:val="22"/>
                <w:lang w:eastAsia="en-GB"/>
              </w:rPr>
              <w:t>n/a</w:t>
            </w:r>
          </w:p>
        </w:tc>
      </w:tr>
      <w:tr w:rsidR="0029144D" w:rsidRPr="00D95EC3" w14:paraId="105C4F05" w14:textId="77777777" w:rsidTr="00CA0A02">
        <w:tc>
          <w:tcPr>
            <w:tcW w:w="2830" w:type="dxa"/>
          </w:tcPr>
          <w:p w14:paraId="1B78C1CB" w14:textId="77777777" w:rsidR="0029144D" w:rsidRPr="00D95EC3" w:rsidRDefault="0029144D" w:rsidP="0029144D">
            <w:pPr>
              <w:spacing w:after="120"/>
              <w:rPr>
                <w:rFonts w:cs="Arial"/>
                <w:b/>
                <w:bCs/>
                <w:color w:val="000000"/>
                <w:sz w:val="22"/>
                <w:szCs w:val="22"/>
                <w:lang w:eastAsia="en-GB"/>
              </w:rPr>
            </w:pPr>
            <w:r w:rsidRPr="00D95EC3">
              <w:rPr>
                <w:rFonts w:cs="Arial"/>
                <w:b/>
                <w:bCs/>
                <w:color w:val="000000"/>
                <w:sz w:val="22"/>
                <w:szCs w:val="22"/>
                <w:lang w:eastAsia="en-GB"/>
              </w:rPr>
              <w:t>Annual time savings in UT IAC [JRs]</w:t>
            </w:r>
          </w:p>
        </w:tc>
        <w:tc>
          <w:tcPr>
            <w:tcW w:w="1562" w:type="dxa"/>
          </w:tcPr>
          <w:p w14:paraId="02AF3EEC" w14:textId="567116AA" w:rsidR="0029144D" w:rsidRPr="00D95EC3" w:rsidRDefault="0029144D" w:rsidP="0029144D">
            <w:pPr>
              <w:spacing w:after="120"/>
              <w:rPr>
                <w:rFonts w:cs="Arial"/>
                <w:b/>
                <w:bCs/>
                <w:color w:val="000000"/>
                <w:sz w:val="22"/>
                <w:szCs w:val="22"/>
                <w:lang w:eastAsia="en-GB"/>
              </w:rPr>
            </w:pPr>
            <w:r w:rsidRPr="00D95EC3">
              <w:rPr>
                <w:rFonts w:cs="Arial"/>
                <w:b/>
                <w:bCs/>
                <w:color w:val="000000"/>
                <w:sz w:val="22"/>
                <w:szCs w:val="22"/>
                <w:lang w:eastAsia="en-GB"/>
              </w:rPr>
              <w:t>£0.</w:t>
            </w:r>
            <w:r>
              <w:rPr>
                <w:rFonts w:cs="Arial"/>
                <w:b/>
                <w:bCs/>
                <w:color w:val="000000"/>
                <w:sz w:val="22"/>
                <w:szCs w:val="22"/>
                <w:lang w:eastAsia="en-GB"/>
              </w:rPr>
              <w:t>0</w:t>
            </w:r>
            <w:r w:rsidR="00821041">
              <w:rPr>
                <w:rFonts w:cs="Arial"/>
                <w:b/>
                <w:bCs/>
                <w:color w:val="000000"/>
                <w:sz w:val="22"/>
                <w:szCs w:val="22"/>
                <w:lang w:eastAsia="en-GB"/>
              </w:rPr>
              <w:t>3</w:t>
            </w:r>
            <w:r>
              <w:rPr>
                <w:rFonts w:cs="Arial"/>
                <w:b/>
                <w:bCs/>
                <w:color w:val="000000"/>
                <w:sz w:val="22"/>
                <w:szCs w:val="22"/>
                <w:lang w:eastAsia="en-GB"/>
              </w:rPr>
              <w:t xml:space="preserve"> m</w:t>
            </w:r>
          </w:p>
        </w:tc>
        <w:tc>
          <w:tcPr>
            <w:tcW w:w="1701" w:type="dxa"/>
          </w:tcPr>
          <w:p w14:paraId="180DA3BA" w14:textId="4B7F50FF" w:rsidR="0029144D" w:rsidRPr="00D95EC3" w:rsidRDefault="0029144D" w:rsidP="0029144D">
            <w:pPr>
              <w:spacing w:after="120"/>
              <w:rPr>
                <w:rFonts w:cs="Arial"/>
                <w:b/>
                <w:bCs/>
                <w:color w:val="000000"/>
                <w:sz w:val="22"/>
                <w:szCs w:val="22"/>
                <w:lang w:eastAsia="en-GB"/>
              </w:rPr>
            </w:pPr>
            <w:r w:rsidRPr="00D95EC3">
              <w:rPr>
                <w:rFonts w:cs="Arial"/>
                <w:b/>
                <w:bCs/>
                <w:color w:val="000000"/>
                <w:sz w:val="22"/>
                <w:szCs w:val="22"/>
                <w:lang w:eastAsia="en-GB"/>
              </w:rPr>
              <w:t>£0.</w:t>
            </w:r>
            <w:r>
              <w:rPr>
                <w:rFonts w:cs="Arial"/>
                <w:b/>
                <w:bCs/>
                <w:color w:val="000000"/>
                <w:sz w:val="22"/>
                <w:szCs w:val="22"/>
                <w:lang w:eastAsia="en-GB"/>
              </w:rPr>
              <w:t>0</w:t>
            </w:r>
            <w:r w:rsidR="00821041">
              <w:rPr>
                <w:rFonts w:cs="Arial"/>
                <w:b/>
                <w:bCs/>
                <w:color w:val="000000"/>
                <w:sz w:val="22"/>
                <w:szCs w:val="22"/>
                <w:lang w:eastAsia="en-GB"/>
              </w:rPr>
              <w:t>4</w:t>
            </w:r>
            <w:r w:rsidRPr="00D95EC3">
              <w:rPr>
                <w:rFonts w:cs="Arial"/>
                <w:b/>
                <w:bCs/>
                <w:color w:val="000000"/>
                <w:sz w:val="22"/>
                <w:szCs w:val="22"/>
                <w:lang w:eastAsia="en-GB"/>
              </w:rPr>
              <w:t xml:space="preserve"> m</w:t>
            </w:r>
          </w:p>
        </w:tc>
        <w:tc>
          <w:tcPr>
            <w:tcW w:w="1843" w:type="dxa"/>
          </w:tcPr>
          <w:p w14:paraId="5E4ECEB1" w14:textId="44A86CF4" w:rsidR="0029144D" w:rsidRPr="00D95EC3" w:rsidRDefault="0029144D" w:rsidP="0029144D">
            <w:pPr>
              <w:spacing w:after="120"/>
              <w:rPr>
                <w:rFonts w:cs="Arial"/>
                <w:b/>
                <w:bCs/>
                <w:color w:val="000000"/>
                <w:sz w:val="22"/>
                <w:szCs w:val="22"/>
                <w:lang w:eastAsia="en-GB"/>
              </w:rPr>
            </w:pPr>
            <w:r w:rsidRPr="00D95EC3">
              <w:rPr>
                <w:rFonts w:cs="Arial"/>
                <w:b/>
                <w:bCs/>
                <w:color w:val="000000"/>
                <w:sz w:val="22"/>
                <w:szCs w:val="22"/>
                <w:lang w:eastAsia="en-GB"/>
              </w:rPr>
              <w:t>£0.</w:t>
            </w:r>
            <w:r>
              <w:rPr>
                <w:rFonts w:cs="Arial"/>
                <w:b/>
                <w:bCs/>
                <w:color w:val="000000"/>
                <w:sz w:val="22"/>
                <w:szCs w:val="22"/>
                <w:lang w:eastAsia="en-GB"/>
              </w:rPr>
              <w:t>06 m</w:t>
            </w:r>
          </w:p>
        </w:tc>
      </w:tr>
      <w:tr w:rsidR="0029144D" w:rsidRPr="00D95EC3" w14:paraId="0F934946" w14:textId="77777777" w:rsidTr="00CA0A02">
        <w:tc>
          <w:tcPr>
            <w:tcW w:w="2830" w:type="dxa"/>
          </w:tcPr>
          <w:p w14:paraId="405029D0" w14:textId="77777777" w:rsidR="0029144D" w:rsidRPr="00D95EC3" w:rsidRDefault="0029144D" w:rsidP="0029144D">
            <w:pPr>
              <w:spacing w:after="120"/>
              <w:rPr>
                <w:rFonts w:cs="Arial"/>
                <w:b/>
                <w:bCs/>
                <w:color w:val="000000"/>
                <w:sz w:val="22"/>
                <w:szCs w:val="22"/>
                <w:lang w:eastAsia="en-GB"/>
              </w:rPr>
            </w:pPr>
            <w:r w:rsidRPr="00D95EC3">
              <w:rPr>
                <w:rFonts w:cs="Arial"/>
                <w:b/>
                <w:bCs/>
                <w:color w:val="000000"/>
                <w:sz w:val="22"/>
                <w:szCs w:val="22"/>
                <w:lang w:eastAsia="en-GB"/>
              </w:rPr>
              <w:t>TOTAL SAVINGS</w:t>
            </w:r>
          </w:p>
        </w:tc>
        <w:tc>
          <w:tcPr>
            <w:tcW w:w="1562" w:type="dxa"/>
          </w:tcPr>
          <w:p w14:paraId="5E60F6D7" w14:textId="6E532D49" w:rsidR="0029144D" w:rsidRPr="00D95EC3" w:rsidRDefault="0029144D" w:rsidP="0029144D">
            <w:pPr>
              <w:spacing w:after="120"/>
              <w:rPr>
                <w:rFonts w:cs="Arial"/>
                <w:b/>
                <w:bCs/>
                <w:color w:val="000000"/>
                <w:sz w:val="22"/>
                <w:szCs w:val="22"/>
                <w:lang w:eastAsia="en-GB"/>
              </w:rPr>
            </w:pPr>
            <w:r w:rsidRPr="00D95EC3">
              <w:rPr>
                <w:rFonts w:cs="Arial"/>
                <w:b/>
                <w:bCs/>
                <w:color w:val="000000"/>
                <w:sz w:val="22"/>
                <w:szCs w:val="22"/>
                <w:lang w:eastAsia="en-GB"/>
              </w:rPr>
              <w:t>£</w:t>
            </w:r>
            <w:r w:rsidR="00821041">
              <w:rPr>
                <w:rFonts w:cs="Arial"/>
                <w:b/>
                <w:bCs/>
                <w:color w:val="000000"/>
                <w:sz w:val="22"/>
                <w:szCs w:val="22"/>
                <w:lang w:eastAsia="en-GB"/>
              </w:rPr>
              <w:t>0.95</w:t>
            </w:r>
            <w:r>
              <w:rPr>
                <w:rFonts w:cs="Arial"/>
                <w:b/>
                <w:bCs/>
                <w:color w:val="000000"/>
                <w:sz w:val="22"/>
                <w:szCs w:val="22"/>
                <w:lang w:eastAsia="en-GB"/>
              </w:rPr>
              <w:t xml:space="preserve"> m</w:t>
            </w:r>
          </w:p>
        </w:tc>
        <w:tc>
          <w:tcPr>
            <w:tcW w:w="1701" w:type="dxa"/>
          </w:tcPr>
          <w:p w14:paraId="48EA6D9F" w14:textId="07FD43E2" w:rsidR="0029144D" w:rsidRPr="00D95EC3" w:rsidRDefault="0029144D" w:rsidP="0029144D">
            <w:pPr>
              <w:spacing w:after="120"/>
              <w:rPr>
                <w:rFonts w:cs="Arial"/>
                <w:b/>
                <w:bCs/>
                <w:color w:val="000000"/>
                <w:sz w:val="22"/>
                <w:szCs w:val="22"/>
                <w:lang w:eastAsia="en-GB"/>
              </w:rPr>
            </w:pPr>
            <w:r w:rsidRPr="00D95EC3">
              <w:rPr>
                <w:rFonts w:cs="Arial"/>
                <w:b/>
                <w:bCs/>
                <w:color w:val="000000"/>
                <w:sz w:val="22"/>
                <w:szCs w:val="22"/>
                <w:lang w:eastAsia="en-GB"/>
              </w:rPr>
              <w:t>£</w:t>
            </w:r>
            <w:r w:rsidR="003063F6">
              <w:rPr>
                <w:rFonts w:cs="Arial"/>
                <w:b/>
                <w:bCs/>
                <w:color w:val="000000"/>
                <w:sz w:val="22"/>
                <w:szCs w:val="22"/>
                <w:lang w:eastAsia="en-GB"/>
              </w:rPr>
              <w:t>1.0</w:t>
            </w:r>
            <w:r w:rsidR="00821041">
              <w:rPr>
                <w:rFonts w:cs="Arial"/>
                <w:b/>
                <w:bCs/>
                <w:color w:val="000000"/>
                <w:sz w:val="22"/>
                <w:szCs w:val="22"/>
                <w:lang w:eastAsia="en-GB"/>
              </w:rPr>
              <w:t>0</w:t>
            </w:r>
            <w:r>
              <w:rPr>
                <w:rFonts w:cs="Arial"/>
                <w:b/>
                <w:bCs/>
                <w:color w:val="000000"/>
                <w:sz w:val="22"/>
                <w:szCs w:val="22"/>
                <w:lang w:eastAsia="en-GB"/>
              </w:rPr>
              <w:t xml:space="preserve"> m</w:t>
            </w:r>
          </w:p>
        </w:tc>
        <w:tc>
          <w:tcPr>
            <w:tcW w:w="1843" w:type="dxa"/>
          </w:tcPr>
          <w:p w14:paraId="647C4C98" w14:textId="1A21DA0B" w:rsidR="0029144D" w:rsidRPr="00D95EC3" w:rsidRDefault="0029144D" w:rsidP="0029144D">
            <w:pPr>
              <w:spacing w:after="120"/>
              <w:rPr>
                <w:rFonts w:cs="Arial"/>
                <w:b/>
                <w:bCs/>
                <w:color w:val="000000"/>
                <w:sz w:val="22"/>
                <w:szCs w:val="22"/>
                <w:lang w:eastAsia="en-GB"/>
              </w:rPr>
            </w:pPr>
            <w:r w:rsidRPr="00D95EC3">
              <w:rPr>
                <w:rFonts w:cs="Arial"/>
                <w:b/>
                <w:bCs/>
                <w:color w:val="000000"/>
                <w:sz w:val="22"/>
                <w:szCs w:val="22"/>
                <w:lang w:eastAsia="en-GB"/>
              </w:rPr>
              <w:t>£</w:t>
            </w:r>
            <w:r>
              <w:rPr>
                <w:rFonts w:cs="Arial"/>
                <w:b/>
                <w:bCs/>
                <w:color w:val="000000"/>
                <w:sz w:val="22"/>
                <w:szCs w:val="22"/>
                <w:lang w:eastAsia="en-GB"/>
              </w:rPr>
              <w:t>2.</w:t>
            </w:r>
            <w:r w:rsidR="00821041">
              <w:rPr>
                <w:rFonts w:cs="Arial"/>
                <w:b/>
                <w:bCs/>
                <w:color w:val="000000"/>
                <w:sz w:val="22"/>
                <w:szCs w:val="22"/>
                <w:lang w:eastAsia="en-GB"/>
              </w:rPr>
              <w:t>33</w:t>
            </w:r>
            <w:r>
              <w:rPr>
                <w:rFonts w:cs="Arial"/>
                <w:b/>
                <w:bCs/>
                <w:color w:val="000000"/>
                <w:sz w:val="22"/>
                <w:szCs w:val="22"/>
                <w:lang w:eastAsia="en-GB"/>
              </w:rPr>
              <w:t xml:space="preserve"> m</w:t>
            </w:r>
          </w:p>
        </w:tc>
      </w:tr>
    </w:tbl>
    <w:p w14:paraId="206EC50B" w14:textId="77777777" w:rsidR="00D95EC3" w:rsidRPr="00D95EC3" w:rsidRDefault="00D95EC3" w:rsidP="00D95EC3">
      <w:pPr>
        <w:spacing w:after="120"/>
        <w:ind w:left="284" w:hanging="284"/>
        <w:rPr>
          <w:rFonts w:cs="Arial"/>
          <w:bCs/>
          <w:color w:val="000000"/>
          <w:sz w:val="22"/>
          <w:szCs w:val="22"/>
          <w:lang w:eastAsia="en-GB"/>
        </w:rPr>
      </w:pPr>
    </w:p>
    <w:p w14:paraId="5489FCD4" w14:textId="0A7A8DBF" w:rsidR="00D95EC3" w:rsidRDefault="00D95EC3" w:rsidP="00D95EC3">
      <w:pPr>
        <w:spacing w:after="120"/>
        <w:ind w:left="284" w:hanging="284"/>
        <w:rPr>
          <w:rFonts w:cs="Arial"/>
          <w:bCs/>
          <w:color w:val="000000"/>
          <w:sz w:val="22"/>
          <w:szCs w:val="22"/>
          <w:lang w:eastAsia="en-GB"/>
        </w:rPr>
      </w:pPr>
      <w:r w:rsidRPr="00D95EC3">
        <w:rPr>
          <w:rFonts w:cs="Arial"/>
          <w:bCs/>
          <w:color w:val="000000"/>
          <w:sz w:val="22"/>
          <w:szCs w:val="22"/>
          <w:lang w:eastAsia="en-GB"/>
        </w:rPr>
        <w:tab/>
      </w:r>
      <w:r w:rsidR="00CA0A02">
        <w:rPr>
          <w:rFonts w:cs="Arial"/>
          <w:bCs/>
          <w:color w:val="000000"/>
          <w:sz w:val="22"/>
          <w:szCs w:val="22"/>
          <w:lang w:eastAsia="en-GB"/>
        </w:rPr>
        <w:t xml:space="preserve">See Option 1 </w:t>
      </w:r>
      <w:r w:rsidRPr="00D95EC3">
        <w:rPr>
          <w:rFonts w:cs="Arial"/>
          <w:bCs/>
          <w:color w:val="000000"/>
          <w:sz w:val="22"/>
          <w:szCs w:val="22"/>
          <w:lang w:eastAsia="en-GB"/>
        </w:rPr>
        <w:t>Assumptions</w:t>
      </w:r>
      <w:r w:rsidR="009B2111">
        <w:rPr>
          <w:rFonts w:cs="Arial"/>
          <w:bCs/>
          <w:color w:val="000000"/>
          <w:sz w:val="22"/>
          <w:szCs w:val="22"/>
          <w:lang w:eastAsia="en-GB"/>
        </w:rPr>
        <w:t xml:space="preserve"> with the following exception</w:t>
      </w:r>
      <w:r w:rsidRPr="00D95EC3">
        <w:rPr>
          <w:rFonts w:cs="Arial"/>
          <w:bCs/>
          <w:color w:val="000000"/>
          <w:sz w:val="22"/>
          <w:szCs w:val="22"/>
          <w:lang w:eastAsia="en-GB"/>
        </w:rPr>
        <w:t>:</w:t>
      </w:r>
    </w:p>
    <w:p w14:paraId="37437F9B" w14:textId="73E59DD3" w:rsidR="009B2111" w:rsidRPr="00D95EC3" w:rsidRDefault="009B2111" w:rsidP="009B2111">
      <w:pPr>
        <w:numPr>
          <w:ilvl w:val="0"/>
          <w:numId w:val="14"/>
        </w:numPr>
        <w:spacing w:after="120"/>
        <w:rPr>
          <w:rFonts w:cs="Arial"/>
          <w:bCs/>
          <w:color w:val="000000"/>
          <w:sz w:val="22"/>
          <w:szCs w:val="22"/>
          <w:lang w:eastAsia="en-GB"/>
        </w:rPr>
      </w:pPr>
      <w:r>
        <w:rPr>
          <w:rFonts w:cs="Arial"/>
          <w:bCs/>
          <w:color w:val="000000"/>
          <w:sz w:val="22"/>
          <w:szCs w:val="22"/>
          <w:lang w:eastAsia="en-GB"/>
        </w:rPr>
        <w:t>80% of all judicial reviews are determined at the permission stage and these generate time savings between 5 mins [low/best estimate] and 10 mins [high estimate]; 20% of judicial reviews proceed to substantive hearings and generate savings between 10 mins [low/best estimate] and 15 mins [high estimate]</w:t>
      </w:r>
    </w:p>
    <w:p w14:paraId="5EE35217" w14:textId="77777777" w:rsidR="00D95EC3" w:rsidRPr="00D95EC3" w:rsidRDefault="00D95EC3" w:rsidP="00D95EC3">
      <w:pPr>
        <w:spacing w:after="120"/>
        <w:ind w:left="284" w:hanging="284"/>
        <w:rPr>
          <w:rFonts w:cs="Arial"/>
          <w:bCs/>
          <w:color w:val="000000"/>
          <w:sz w:val="22"/>
          <w:szCs w:val="22"/>
          <w:lang w:eastAsia="en-GB"/>
        </w:rPr>
      </w:pPr>
    </w:p>
    <w:p w14:paraId="51D119A4" w14:textId="1FB6A087"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Estimated annual savings = £</w:t>
      </w:r>
      <w:r w:rsidR="003063F6">
        <w:rPr>
          <w:rFonts w:cs="Arial"/>
          <w:bCs/>
          <w:color w:val="000000"/>
          <w:sz w:val="22"/>
          <w:szCs w:val="22"/>
          <w:lang w:eastAsia="en-GB"/>
        </w:rPr>
        <w:t>1.0</w:t>
      </w:r>
      <w:r w:rsidR="00821041">
        <w:rPr>
          <w:rFonts w:cs="Arial"/>
          <w:bCs/>
          <w:color w:val="000000"/>
          <w:sz w:val="22"/>
          <w:szCs w:val="22"/>
          <w:lang w:eastAsia="en-GB"/>
        </w:rPr>
        <w:t>0</w:t>
      </w:r>
      <w:r w:rsidRPr="00D95EC3">
        <w:rPr>
          <w:rFonts w:cs="Arial"/>
          <w:bCs/>
          <w:color w:val="000000"/>
          <w:sz w:val="22"/>
          <w:szCs w:val="22"/>
          <w:lang w:eastAsia="en-GB"/>
        </w:rPr>
        <w:t xml:space="preserve"> million [best estimate]</w:t>
      </w:r>
    </w:p>
    <w:p w14:paraId="5DD187E3" w14:textId="1DADF641"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Present value over 10 years = £</w:t>
      </w:r>
      <w:r w:rsidR="003063F6">
        <w:rPr>
          <w:rFonts w:cs="Arial"/>
          <w:bCs/>
          <w:color w:val="000000"/>
          <w:sz w:val="22"/>
          <w:szCs w:val="22"/>
          <w:lang w:eastAsia="en-GB"/>
        </w:rPr>
        <w:t>8.</w:t>
      </w:r>
      <w:r w:rsidR="00821041">
        <w:rPr>
          <w:rFonts w:cs="Arial"/>
          <w:bCs/>
          <w:color w:val="000000"/>
          <w:sz w:val="22"/>
          <w:szCs w:val="22"/>
          <w:lang w:eastAsia="en-GB"/>
        </w:rPr>
        <w:t>3</w:t>
      </w:r>
      <w:r w:rsidR="00B14E9C">
        <w:rPr>
          <w:rFonts w:cs="Arial"/>
          <w:bCs/>
          <w:color w:val="000000"/>
          <w:sz w:val="22"/>
          <w:szCs w:val="22"/>
          <w:lang w:eastAsia="en-GB"/>
        </w:rPr>
        <w:t>3</w:t>
      </w:r>
      <w:r w:rsidRPr="00D95EC3">
        <w:rPr>
          <w:rFonts w:cs="Arial"/>
          <w:bCs/>
          <w:color w:val="000000"/>
          <w:sz w:val="22"/>
          <w:szCs w:val="22"/>
          <w:lang w:eastAsia="en-GB"/>
        </w:rPr>
        <w:t xml:space="preserve"> million [best estimate]</w:t>
      </w:r>
    </w:p>
    <w:p w14:paraId="63519849" w14:textId="77777777" w:rsidR="006E742D" w:rsidRDefault="006E742D" w:rsidP="006E742D">
      <w:pPr>
        <w:spacing w:after="120"/>
        <w:rPr>
          <w:rFonts w:cs="Arial"/>
          <w:bCs/>
          <w:color w:val="000000"/>
          <w:sz w:val="22"/>
          <w:szCs w:val="22"/>
          <w:lang w:eastAsia="en-GB"/>
        </w:rPr>
      </w:pPr>
      <w:bookmarkStart w:id="53" w:name="_Hlk534892719"/>
    </w:p>
    <w:p w14:paraId="1894659D" w14:textId="1C13CD89" w:rsidR="003202C7" w:rsidRPr="006E742D" w:rsidRDefault="006E742D" w:rsidP="006E742D">
      <w:pPr>
        <w:spacing w:after="120"/>
        <w:rPr>
          <w:rFonts w:cs="Arial"/>
          <w:bCs/>
          <w:color w:val="000000"/>
          <w:sz w:val="22"/>
          <w:szCs w:val="22"/>
          <w:u w:val="single"/>
          <w:lang w:eastAsia="en-GB"/>
        </w:rPr>
      </w:pPr>
      <w:r>
        <w:rPr>
          <w:rFonts w:cs="Arial"/>
          <w:bCs/>
          <w:color w:val="000000"/>
          <w:sz w:val="22"/>
          <w:szCs w:val="22"/>
          <w:lang w:eastAsia="en-GB"/>
        </w:rPr>
        <w:t xml:space="preserve">5. </w:t>
      </w:r>
      <w:r w:rsidRPr="006E742D">
        <w:rPr>
          <w:rFonts w:cs="Arial"/>
          <w:bCs/>
          <w:color w:val="000000"/>
          <w:sz w:val="22"/>
          <w:szCs w:val="22"/>
          <w:u w:val="single"/>
          <w:lang w:eastAsia="en-GB"/>
        </w:rPr>
        <w:t xml:space="preserve"> </w:t>
      </w:r>
      <w:r w:rsidR="003202C7" w:rsidRPr="006E742D">
        <w:rPr>
          <w:rFonts w:cs="Arial"/>
          <w:bCs/>
          <w:color w:val="000000"/>
          <w:sz w:val="22"/>
          <w:szCs w:val="22"/>
          <w:u w:val="single"/>
          <w:lang w:eastAsia="en-GB"/>
        </w:rPr>
        <w:t xml:space="preserve">Reduced </w:t>
      </w:r>
      <w:r w:rsidR="00B21C9D" w:rsidRPr="006E742D">
        <w:rPr>
          <w:rFonts w:cs="Arial"/>
          <w:bCs/>
          <w:color w:val="000000"/>
          <w:sz w:val="22"/>
          <w:szCs w:val="22"/>
          <w:u w:val="single"/>
          <w:lang w:eastAsia="en-GB"/>
        </w:rPr>
        <w:t xml:space="preserve">departmental </w:t>
      </w:r>
      <w:r w:rsidR="003202C7" w:rsidRPr="006E742D">
        <w:rPr>
          <w:rFonts w:cs="Arial"/>
          <w:bCs/>
          <w:color w:val="000000"/>
          <w:sz w:val="22"/>
          <w:szCs w:val="22"/>
          <w:u w:val="single"/>
          <w:lang w:eastAsia="en-GB"/>
        </w:rPr>
        <w:t>cost</w:t>
      </w:r>
      <w:r w:rsidR="00B21C9D" w:rsidRPr="006E742D">
        <w:rPr>
          <w:rFonts w:cs="Arial"/>
          <w:bCs/>
          <w:color w:val="000000"/>
          <w:sz w:val="22"/>
          <w:szCs w:val="22"/>
          <w:u w:val="single"/>
          <w:lang w:eastAsia="en-GB"/>
        </w:rPr>
        <w:t>s</w:t>
      </w:r>
    </w:p>
    <w:p w14:paraId="52E16B6B" w14:textId="6E3336A2" w:rsidR="00EA3AEA" w:rsidRPr="00D95EC3" w:rsidRDefault="003202C7" w:rsidP="006E742D">
      <w:pPr>
        <w:spacing w:after="120"/>
        <w:rPr>
          <w:rFonts w:cs="Arial"/>
          <w:bCs/>
          <w:color w:val="000000"/>
          <w:sz w:val="22"/>
          <w:szCs w:val="22"/>
          <w:lang w:eastAsia="en-GB"/>
        </w:rPr>
      </w:pPr>
      <w:r w:rsidRPr="00A5230D">
        <w:rPr>
          <w:rFonts w:cs="Arial"/>
          <w:bCs/>
          <w:color w:val="000000"/>
          <w:sz w:val="22"/>
          <w:szCs w:val="22"/>
          <w:lang w:eastAsia="en-GB"/>
        </w:rPr>
        <w:t>There are costs to the Home Office from preparing</w:t>
      </w:r>
      <w:r w:rsidR="009A12D9" w:rsidRPr="00A5230D">
        <w:rPr>
          <w:rFonts w:cs="Arial"/>
          <w:bCs/>
          <w:color w:val="000000"/>
          <w:sz w:val="22"/>
          <w:szCs w:val="22"/>
          <w:lang w:eastAsia="en-GB"/>
        </w:rPr>
        <w:t xml:space="preserve"> for appeals</w:t>
      </w:r>
      <w:r w:rsidR="00D51C35">
        <w:rPr>
          <w:rFonts w:cs="Arial"/>
          <w:bCs/>
          <w:color w:val="000000"/>
          <w:sz w:val="22"/>
          <w:szCs w:val="22"/>
          <w:lang w:eastAsia="en-GB"/>
        </w:rPr>
        <w:t>/judicial reviews</w:t>
      </w:r>
      <w:r w:rsidR="009A12D9" w:rsidRPr="00A5230D">
        <w:rPr>
          <w:rFonts w:cs="Arial"/>
          <w:bCs/>
          <w:color w:val="000000"/>
          <w:sz w:val="22"/>
          <w:szCs w:val="22"/>
          <w:lang w:eastAsia="en-GB"/>
        </w:rPr>
        <w:t xml:space="preserve"> and also from attendance at </w:t>
      </w:r>
      <w:r w:rsidR="00D51C35">
        <w:rPr>
          <w:rFonts w:cs="Arial"/>
          <w:bCs/>
          <w:color w:val="000000"/>
          <w:sz w:val="22"/>
          <w:szCs w:val="22"/>
          <w:lang w:eastAsia="en-GB"/>
        </w:rPr>
        <w:t>hearings</w:t>
      </w:r>
      <w:r w:rsidR="009A12D9" w:rsidRPr="00A5230D">
        <w:rPr>
          <w:rFonts w:cs="Arial"/>
          <w:bCs/>
          <w:color w:val="000000"/>
          <w:sz w:val="22"/>
          <w:szCs w:val="22"/>
          <w:lang w:eastAsia="en-GB"/>
        </w:rPr>
        <w:t>. With the reduction in the number of appeals/judicial reviews</w:t>
      </w:r>
      <w:r w:rsidR="00D51C35">
        <w:rPr>
          <w:rFonts w:cs="Arial"/>
          <w:bCs/>
          <w:color w:val="000000"/>
          <w:sz w:val="22"/>
          <w:szCs w:val="22"/>
          <w:lang w:eastAsia="en-GB"/>
        </w:rPr>
        <w:t>,</w:t>
      </w:r>
      <w:r w:rsidR="009A12D9" w:rsidRPr="00A5230D">
        <w:rPr>
          <w:rFonts w:cs="Arial"/>
          <w:bCs/>
          <w:color w:val="000000"/>
          <w:sz w:val="22"/>
          <w:szCs w:val="22"/>
          <w:lang w:eastAsia="en-GB"/>
        </w:rPr>
        <w:t xml:space="preserve"> this represents a</w:t>
      </w:r>
      <w:r w:rsidR="00B55123">
        <w:rPr>
          <w:rFonts w:cs="Arial"/>
          <w:bCs/>
          <w:color w:val="000000"/>
          <w:sz w:val="22"/>
          <w:szCs w:val="22"/>
          <w:lang w:eastAsia="en-GB"/>
        </w:rPr>
        <w:t xml:space="preserve"> </w:t>
      </w:r>
      <w:r w:rsidR="009A12D9" w:rsidRPr="00A5230D">
        <w:rPr>
          <w:rFonts w:cs="Arial"/>
          <w:bCs/>
          <w:color w:val="000000"/>
          <w:sz w:val="22"/>
          <w:szCs w:val="22"/>
          <w:lang w:eastAsia="en-GB"/>
        </w:rPr>
        <w:t>departmental benefit. Resources can be reallocated elsewhere to other areas of priority</w:t>
      </w:r>
      <w:r w:rsidR="00EA3AEA" w:rsidRPr="00430EAE">
        <w:rPr>
          <w:rFonts w:cs="Arial"/>
          <w:bCs/>
          <w:color w:val="000000"/>
          <w:sz w:val="22"/>
          <w:szCs w:val="22"/>
          <w:lang w:eastAsia="en-GB"/>
        </w:rPr>
        <w:t>. However,</w:t>
      </w:r>
      <w:r w:rsidR="00EA3AEA">
        <w:rPr>
          <w:rFonts w:cs="Arial"/>
          <w:bCs/>
          <w:color w:val="000000"/>
          <w:sz w:val="22"/>
          <w:szCs w:val="22"/>
          <w:lang w:eastAsia="en-GB"/>
        </w:rPr>
        <w:t xml:space="preserve"> efficiency savings are unlikely to be translated into cash savings, </w:t>
      </w:r>
      <w:r w:rsidR="00EA3AEA" w:rsidRPr="00430EAE">
        <w:rPr>
          <w:rFonts w:cs="Arial"/>
          <w:bCs/>
          <w:color w:val="000000"/>
          <w:sz w:val="22"/>
          <w:szCs w:val="22"/>
          <w:lang w:eastAsia="en-GB"/>
        </w:rPr>
        <w:t>a</w:t>
      </w:r>
      <w:r w:rsidR="00EA3AEA">
        <w:rPr>
          <w:rFonts w:cs="Arial"/>
          <w:bCs/>
          <w:color w:val="000000"/>
          <w:sz w:val="22"/>
          <w:szCs w:val="22"/>
          <w:lang w:eastAsia="en-GB"/>
        </w:rPr>
        <w:t>s such savings are likely to absorbed within</w:t>
      </w:r>
      <w:r w:rsidR="00EA3AEA" w:rsidRPr="00430EAE">
        <w:rPr>
          <w:rFonts w:cs="Arial"/>
          <w:bCs/>
          <w:color w:val="000000"/>
          <w:sz w:val="22"/>
          <w:szCs w:val="22"/>
          <w:lang w:eastAsia="en-GB"/>
        </w:rPr>
        <w:t xml:space="preserve"> daily demands</w:t>
      </w:r>
      <w:r w:rsidR="00EA3AEA">
        <w:rPr>
          <w:rFonts w:cs="Arial"/>
          <w:bCs/>
          <w:color w:val="000000"/>
          <w:sz w:val="22"/>
          <w:szCs w:val="22"/>
          <w:lang w:eastAsia="en-GB"/>
        </w:rPr>
        <w:t>.</w:t>
      </w:r>
      <w:r w:rsidR="006300EE" w:rsidRPr="006300EE">
        <w:rPr>
          <w:rFonts w:cs="Arial"/>
          <w:bCs/>
          <w:color w:val="000000"/>
          <w:sz w:val="22"/>
          <w:szCs w:val="22"/>
          <w:lang w:eastAsia="en-GB"/>
        </w:rPr>
        <w:t xml:space="preserve"> </w:t>
      </w:r>
    </w:p>
    <w:bookmarkEnd w:id="53"/>
    <w:p w14:paraId="356756B3" w14:textId="77777777" w:rsidR="009A12D9" w:rsidRDefault="009A12D9" w:rsidP="009A12D9">
      <w:pPr>
        <w:spacing w:after="120"/>
        <w:ind w:left="644"/>
        <w:rPr>
          <w:rFonts w:cs="Arial"/>
          <w:bCs/>
          <w:color w:val="000000"/>
          <w:sz w:val="22"/>
          <w:szCs w:val="22"/>
          <w:u w:val="single"/>
          <w:lang w:eastAsia="en-GB"/>
        </w:rPr>
      </w:pPr>
    </w:p>
    <w:p w14:paraId="038623E8" w14:textId="5DB52D53" w:rsidR="00D95EC3" w:rsidRPr="00D95EC3" w:rsidRDefault="006E742D" w:rsidP="006E742D">
      <w:pPr>
        <w:spacing w:after="120"/>
        <w:rPr>
          <w:rFonts w:cs="Arial"/>
          <w:bCs/>
          <w:color w:val="000000"/>
          <w:sz w:val="22"/>
          <w:szCs w:val="22"/>
          <w:u w:val="single"/>
          <w:lang w:eastAsia="en-GB"/>
        </w:rPr>
      </w:pPr>
      <w:r w:rsidRPr="006E742D">
        <w:rPr>
          <w:rFonts w:cs="Arial"/>
          <w:bCs/>
          <w:color w:val="000000"/>
          <w:sz w:val="22"/>
          <w:szCs w:val="22"/>
          <w:lang w:eastAsia="en-GB"/>
        </w:rPr>
        <w:t xml:space="preserve">6.  </w:t>
      </w:r>
      <w:r w:rsidR="00D95EC3" w:rsidRPr="00D95EC3">
        <w:rPr>
          <w:rFonts w:cs="Arial"/>
          <w:bCs/>
          <w:color w:val="000000"/>
          <w:sz w:val="22"/>
          <w:szCs w:val="22"/>
          <w:u w:val="single"/>
          <w:lang w:eastAsia="en-GB"/>
        </w:rPr>
        <w:t>Improved public confidence in immigration procedure</w:t>
      </w:r>
    </w:p>
    <w:p w14:paraId="72963EFD" w14:textId="6541228F" w:rsid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Criticisms of the Rules often relate to their length and numbering system. Both of these criticisms would be addressed under option 2</w:t>
      </w:r>
      <w:r w:rsidR="00CA0A02">
        <w:rPr>
          <w:rFonts w:cs="Arial"/>
          <w:bCs/>
          <w:color w:val="000000"/>
          <w:sz w:val="22"/>
          <w:szCs w:val="22"/>
          <w:lang w:eastAsia="en-GB"/>
        </w:rPr>
        <w:t>.</w:t>
      </w:r>
      <w:r w:rsidRPr="00D95EC3">
        <w:rPr>
          <w:rFonts w:cs="Arial"/>
          <w:bCs/>
          <w:color w:val="000000"/>
          <w:sz w:val="22"/>
          <w:szCs w:val="22"/>
          <w:lang w:eastAsia="en-GB"/>
        </w:rPr>
        <w:t xml:space="preserve"> In addition, overviews and contents pages could make the Rules easier to navigate. Therefore, option 2 </w:t>
      </w:r>
      <w:r w:rsidR="00CA0A02">
        <w:rPr>
          <w:rFonts w:cs="Arial"/>
          <w:bCs/>
          <w:color w:val="000000"/>
          <w:sz w:val="22"/>
          <w:szCs w:val="22"/>
          <w:lang w:eastAsia="en-GB"/>
        </w:rPr>
        <w:t>is</w:t>
      </w:r>
      <w:r w:rsidRPr="00D95EC3">
        <w:rPr>
          <w:rFonts w:cs="Arial"/>
          <w:bCs/>
          <w:color w:val="000000"/>
          <w:sz w:val="22"/>
          <w:szCs w:val="22"/>
          <w:lang w:eastAsia="en-GB"/>
        </w:rPr>
        <w:t xml:space="preserve"> capable of improving the public’s confidence in the Rules and immigration procedure.</w:t>
      </w:r>
    </w:p>
    <w:p w14:paraId="0ED7C0D0" w14:textId="77777777" w:rsidR="00C0469B" w:rsidRPr="00D95EC3" w:rsidRDefault="00C0469B" w:rsidP="00D95EC3">
      <w:pPr>
        <w:spacing w:after="120"/>
        <w:rPr>
          <w:rFonts w:cs="Arial"/>
          <w:bCs/>
          <w:color w:val="000000"/>
          <w:sz w:val="22"/>
          <w:szCs w:val="22"/>
          <w:lang w:eastAsia="en-GB"/>
        </w:rPr>
      </w:pPr>
    </w:p>
    <w:p w14:paraId="08FB5A3D" w14:textId="77777777" w:rsidR="00D95EC3" w:rsidRPr="00D95EC3" w:rsidRDefault="00D95EC3" w:rsidP="00D95EC3">
      <w:pPr>
        <w:keepNext/>
        <w:spacing w:after="120"/>
        <w:rPr>
          <w:rFonts w:cs="Arial"/>
          <w:b/>
          <w:bCs/>
          <w:color w:val="000000"/>
          <w:sz w:val="22"/>
          <w:szCs w:val="22"/>
          <w:lang w:eastAsia="en-GB"/>
        </w:rPr>
      </w:pPr>
      <w:r w:rsidRPr="00D95EC3">
        <w:rPr>
          <w:rFonts w:cs="Arial"/>
          <w:b/>
          <w:bCs/>
          <w:color w:val="000000"/>
          <w:sz w:val="22"/>
          <w:szCs w:val="22"/>
          <w:lang w:eastAsia="en-GB"/>
        </w:rPr>
        <w:t xml:space="preserve">9. Risks </w:t>
      </w:r>
    </w:p>
    <w:p w14:paraId="2DC1800C" w14:textId="77777777" w:rsidR="00D95EC3" w:rsidRPr="00D95EC3" w:rsidRDefault="00D95EC3" w:rsidP="00D95EC3">
      <w:pPr>
        <w:keepNext/>
        <w:spacing w:after="120"/>
        <w:rPr>
          <w:rFonts w:cs="Arial"/>
          <w:bCs/>
          <w:color w:val="000000"/>
          <w:sz w:val="22"/>
          <w:szCs w:val="22"/>
          <w:lang w:eastAsia="en-GB"/>
        </w:rPr>
      </w:pPr>
      <w:r w:rsidRPr="00D95EC3">
        <w:rPr>
          <w:rFonts w:cs="Arial"/>
          <w:bCs/>
          <w:color w:val="000000"/>
          <w:sz w:val="22"/>
          <w:szCs w:val="22"/>
          <w:lang w:eastAsia="en-GB"/>
        </w:rPr>
        <w:t>We have assumed the cost of administrative reviews is covered by their fees. If this is not the case and the costs outweigh the fee there is scope for Home Office savings. Alternatively, if fees are greater than the unit cost, the extent of gain will be reduced.</w:t>
      </w:r>
    </w:p>
    <w:p w14:paraId="735A1470" w14:textId="77777777" w:rsidR="00D95EC3" w:rsidRPr="00D95EC3" w:rsidRDefault="00D95EC3" w:rsidP="00D95EC3">
      <w:pPr>
        <w:keepNext/>
        <w:spacing w:after="120"/>
        <w:rPr>
          <w:rFonts w:cs="Arial"/>
          <w:bCs/>
          <w:color w:val="000000"/>
          <w:sz w:val="22"/>
          <w:szCs w:val="22"/>
          <w:lang w:eastAsia="en-GB"/>
        </w:rPr>
      </w:pPr>
    </w:p>
    <w:p w14:paraId="61CF02D9" w14:textId="77777777" w:rsidR="00D95EC3" w:rsidRPr="00D95EC3" w:rsidRDefault="00D95EC3" w:rsidP="00D95EC3">
      <w:pPr>
        <w:rPr>
          <w:rFonts w:cs="Arial"/>
          <w:b/>
          <w:bCs/>
          <w:color w:val="000000"/>
          <w:sz w:val="22"/>
          <w:szCs w:val="22"/>
          <w:lang w:eastAsia="en-GB"/>
        </w:rPr>
      </w:pPr>
    </w:p>
    <w:p w14:paraId="5DAD29E7" w14:textId="77777777" w:rsidR="00D95EC3" w:rsidRPr="00D95EC3" w:rsidRDefault="00D95EC3" w:rsidP="00D95EC3">
      <w:pPr>
        <w:spacing w:after="120"/>
        <w:rPr>
          <w:rFonts w:cs="Arial"/>
          <w:b/>
          <w:bCs/>
          <w:color w:val="000000"/>
          <w:sz w:val="22"/>
          <w:szCs w:val="22"/>
          <w:lang w:eastAsia="en-GB"/>
        </w:rPr>
      </w:pPr>
      <w:r w:rsidRPr="00D95EC3">
        <w:rPr>
          <w:rFonts w:cs="Arial"/>
          <w:b/>
          <w:bCs/>
          <w:color w:val="000000"/>
          <w:sz w:val="22"/>
          <w:szCs w:val="22"/>
          <w:lang w:eastAsia="en-GB"/>
        </w:rPr>
        <w:t xml:space="preserve">10. Wider impacts  </w:t>
      </w:r>
    </w:p>
    <w:p w14:paraId="572D7269" w14:textId="77777777" w:rsidR="00D95EC3" w:rsidRPr="00D95EC3" w:rsidRDefault="00D95EC3" w:rsidP="00A92BFF">
      <w:pPr>
        <w:keepNext/>
        <w:numPr>
          <w:ilvl w:val="3"/>
          <w:numId w:val="2"/>
        </w:numPr>
        <w:spacing w:after="120"/>
        <w:rPr>
          <w:rFonts w:cs="Arial"/>
          <w:bCs/>
          <w:color w:val="000000"/>
          <w:sz w:val="22"/>
          <w:szCs w:val="22"/>
          <w:lang w:eastAsia="en-GB"/>
        </w:rPr>
      </w:pPr>
      <w:r w:rsidRPr="00D95EC3">
        <w:rPr>
          <w:rFonts w:cs="Arial"/>
          <w:bCs/>
          <w:color w:val="000000"/>
          <w:sz w:val="22"/>
          <w:szCs w:val="22"/>
          <w:lang w:eastAsia="en-GB"/>
        </w:rPr>
        <w:lastRenderedPageBreak/>
        <w:t xml:space="preserve">Equality impact assessment to follow </w:t>
      </w:r>
    </w:p>
    <w:p w14:paraId="058B0AC7" w14:textId="77777777" w:rsidR="00D95EC3" w:rsidRPr="00D95EC3" w:rsidRDefault="00D95EC3" w:rsidP="00A92BFF">
      <w:pPr>
        <w:keepNext/>
        <w:numPr>
          <w:ilvl w:val="3"/>
          <w:numId w:val="2"/>
        </w:numPr>
        <w:spacing w:after="120"/>
        <w:rPr>
          <w:rFonts w:cs="Arial"/>
          <w:bCs/>
          <w:color w:val="000000"/>
          <w:sz w:val="22"/>
          <w:szCs w:val="22"/>
          <w:lang w:eastAsia="en-GB"/>
        </w:rPr>
      </w:pPr>
      <w:r w:rsidRPr="00D95EC3">
        <w:rPr>
          <w:rFonts w:cs="Arial"/>
          <w:bCs/>
          <w:color w:val="000000"/>
          <w:sz w:val="22"/>
          <w:szCs w:val="22"/>
          <w:lang w:eastAsia="en-GB"/>
        </w:rPr>
        <w:t xml:space="preserve">Justice impact – considered throughout the impact assessment </w:t>
      </w:r>
    </w:p>
    <w:p w14:paraId="42292599" w14:textId="77777777" w:rsidR="00D95EC3" w:rsidRPr="00D95EC3" w:rsidRDefault="00D95EC3" w:rsidP="00D95EC3">
      <w:pPr>
        <w:keepNext/>
        <w:spacing w:after="120"/>
        <w:ind w:left="1440"/>
        <w:rPr>
          <w:rFonts w:cs="Arial"/>
          <w:bCs/>
          <w:color w:val="000000"/>
          <w:sz w:val="22"/>
          <w:szCs w:val="22"/>
          <w:lang w:eastAsia="en-GB"/>
        </w:rPr>
      </w:pPr>
    </w:p>
    <w:p w14:paraId="3F9425FD" w14:textId="77777777" w:rsidR="00D95EC3" w:rsidRPr="006300EE" w:rsidRDefault="00D95EC3" w:rsidP="00A92BFF">
      <w:pPr>
        <w:numPr>
          <w:ilvl w:val="0"/>
          <w:numId w:val="2"/>
        </w:numPr>
        <w:spacing w:after="120"/>
        <w:rPr>
          <w:rFonts w:cs="Arial"/>
          <w:bCs/>
          <w:color w:val="000000"/>
          <w:sz w:val="22"/>
          <w:szCs w:val="22"/>
          <w:u w:val="single"/>
          <w:lang w:eastAsia="en-GB"/>
        </w:rPr>
      </w:pPr>
      <w:r w:rsidRPr="00D95EC3">
        <w:rPr>
          <w:rFonts w:cs="Arial"/>
          <w:b/>
          <w:bCs/>
          <w:color w:val="000000"/>
          <w:sz w:val="22"/>
          <w:szCs w:val="22"/>
          <w:lang w:eastAsia="en-GB"/>
        </w:rPr>
        <w:t xml:space="preserve">11. </w:t>
      </w:r>
      <w:r w:rsidRPr="00D95EC3">
        <w:rPr>
          <w:rFonts w:cs="Arial"/>
          <w:b/>
          <w:bCs/>
          <w:color w:val="000000"/>
          <w:sz w:val="22"/>
          <w:szCs w:val="22"/>
          <w:lang w:eastAsia="en-GB"/>
        </w:rPr>
        <w:tab/>
      </w:r>
      <w:r w:rsidRPr="006300EE">
        <w:rPr>
          <w:rFonts w:cs="Arial"/>
          <w:bCs/>
          <w:color w:val="000000"/>
          <w:sz w:val="22"/>
          <w:szCs w:val="22"/>
          <w:u w:val="single"/>
          <w:lang w:eastAsia="en-GB"/>
        </w:rPr>
        <w:t>Table 10: Summary table of Costs/Benefits [in £million]</w:t>
      </w:r>
    </w:p>
    <w:tbl>
      <w:tblPr>
        <w:tblW w:w="7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1535"/>
        <w:gridCol w:w="1557"/>
        <w:gridCol w:w="1620"/>
      </w:tblGrid>
      <w:tr w:rsidR="00D95EC3" w:rsidRPr="00D95EC3" w14:paraId="45DC7894" w14:textId="77777777" w:rsidTr="00BD13AB">
        <w:trPr>
          <w:trHeight w:val="549"/>
          <w:jc w:val="center"/>
        </w:trPr>
        <w:tc>
          <w:tcPr>
            <w:tcW w:w="2678" w:type="dxa"/>
            <w:shd w:val="clear" w:color="auto" w:fill="auto"/>
          </w:tcPr>
          <w:p w14:paraId="318238B9" w14:textId="77777777" w:rsidR="00D95EC3" w:rsidRPr="00D95EC3" w:rsidRDefault="00D95EC3" w:rsidP="00D95EC3">
            <w:pPr>
              <w:widowControl w:val="0"/>
              <w:spacing w:after="120"/>
              <w:ind w:right="-23"/>
              <w:jc w:val="both"/>
              <w:rPr>
                <w:rFonts w:cs="Arial"/>
                <w:b/>
                <w:bCs/>
                <w:color w:val="000000"/>
                <w:sz w:val="22"/>
                <w:szCs w:val="22"/>
                <w:lang w:eastAsia="en-GB"/>
              </w:rPr>
            </w:pPr>
          </w:p>
        </w:tc>
        <w:tc>
          <w:tcPr>
            <w:tcW w:w="1535" w:type="dxa"/>
            <w:shd w:val="clear" w:color="auto" w:fill="auto"/>
          </w:tcPr>
          <w:p w14:paraId="6BC6D491" w14:textId="77777777" w:rsidR="00D95EC3" w:rsidRPr="00D95EC3" w:rsidRDefault="00D95EC3" w:rsidP="00D95EC3">
            <w:pPr>
              <w:widowControl w:val="0"/>
              <w:spacing w:before="50" w:after="120"/>
              <w:ind w:right="-23"/>
              <w:jc w:val="both"/>
              <w:rPr>
                <w:rFonts w:cs="Arial"/>
                <w:b/>
                <w:bCs/>
                <w:color w:val="000000"/>
                <w:sz w:val="22"/>
                <w:szCs w:val="22"/>
                <w:lang w:eastAsia="en-GB"/>
              </w:rPr>
            </w:pPr>
            <w:r w:rsidRPr="00D95EC3">
              <w:rPr>
                <w:rFonts w:cs="Arial"/>
                <w:b/>
                <w:bCs/>
                <w:color w:val="000000"/>
                <w:sz w:val="22"/>
                <w:szCs w:val="22"/>
                <w:lang w:eastAsia="en-GB"/>
              </w:rPr>
              <w:t>Low estimate (£)</w:t>
            </w:r>
          </w:p>
        </w:tc>
        <w:tc>
          <w:tcPr>
            <w:tcW w:w="1557" w:type="dxa"/>
            <w:shd w:val="clear" w:color="auto" w:fill="auto"/>
          </w:tcPr>
          <w:p w14:paraId="45D5A3D4" w14:textId="77777777" w:rsidR="00D95EC3" w:rsidRPr="00D95EC3" w:rsidRDefault="00D95EC3" w:rsidP="00D95EC3">
            <w:pPr>
              <w:widowControl w:val="0"/>
              <w:spacing w:before="50" w:after="120"/>
              <w:ind w:right="-23"/>
              <w:jc w:val="both"/>
              <w:rPr>
                <w:rFonts w:cs="Arial"/>
                <w:b/>
                <w:bCs/>
                <w:color w:val="000000"/>
                <w:sz w:val="22"/>
                <w:szCs w:val="22"/>
                <w:lang w:eastAsia="en-GB"/>
              </w:rPr>
            </w:pPr>
            <w:r w:rsidRPr="00D95EC3">
              <w:rPr>
                <w:rFonts w:cs="Arial"/>
                <w:b/>
                <w:bCs/>
                <w:color w:val="000000"/>
                <w:sz w:val="22"/>
                <w:szCs w:val="22"/>
                <w:lang w:eastAsia="en-GB"/>
              </w:rPr>
              <w:t>Best estimate (£)</w:t>
            </w:r>
          </w:p>
        </w:tc>
        <w:tc>
          <w:tcPr>
            <w:tcW w:w="1620" w:type="dxa"/>
            <w:shd w:val="clear" w:color="auto" w:fill="auto"/>
          </w:tcPr>
          <w:p w14:paraId="2FFADE3F" w14:textId="77777777" w:rsidR="00D95EC3" w:rsidRPr="00D95EC3" w:rsidRDefault="00D95EC3" w:rsidP="00D95EC3">
            <w:pPr>
              <w:widowControl w:val="0"/>
              <w:spacing w:before="50" w:after="120"/>
              <w:ind w:right="-23"/>
              <w:jc w:val="both"/>
              <w:rPr>
                <w:rFonts w:cs="Arial"/>
                <w:b/>
                <w:bCs/>
                <w:color w:val="000000"/>
                <w:sz w:val="22"/>
                <w:szCs w:val="22"/>
                <w:lang w:eastAsia="en-GB"/>
              </w:rPr>
            </w:pPr>
            <w:r w:rsidRPr="00D95EC3">
              <w:rPr>
                <w:rFonts w:cs="Arial"/>
                <w:b/>
                <w:bCs/>
                <w:color w:val="000000"/>
                <w:sz w:val="22"/>
                <w:szCs w:val="22"/>
                <w:lang w:eastAsia="en-GB"/>
              </w:rPr>
              <w:t>High estimate (£)</w:t>
            </w:r>
          </w:p>
          <w:p w14:paraId="462CF5BF" w14:textId="77777777" w:rsidR="00D95EC3" w:rsidRPr="00D95EC3" w:rsidRDefault="00D95EC3" w:rsidP="00D95EC3">
            <w:pPr>
              <w:widowControl w:val="0"/>
              <w:spacing w:before="50" w:after="120"/>
              <w:ind w:right="-23"/>
              <w:jc w:val="both"/>
              <w:rPr>
                <w:rFonts w:cs="Arial"/>
                <w:b/>
                <w:bCs/>
                <w:color w:val="000000"/>
                <w:sz w:val="22"/>
                <w:szCs w:val="22"/>
                <w:lang w:eastAsia="en-GB"/>
              </w:rPr>
            </w:pPr>
          </w:p>
        </w:tc>
      </w:tr>
      <w:tr w:rsidR="00D95EC3" w:rsidRPr="00D95EC3" w14:paraId="08DDF4C3" w14:textId="77777777" w:rsidTr="00BD13AB">
        <w:trPr>
          <w:jc w:val="center"/>
        </w:trPr>
        <w:tc>
          <w:tcPr>
            <w:tcW w:w="2678" w:type="dxa"/>
            <w:shd w:val="clear" w:color="auto" w:fill="E7E6E6"/>
          </w:tcPr>
          <w:p w14:paraId="360A9797" w14:textId="77777777" w:rsidR="00D95EC3" w:rsidRPr="00D95EC3" w:rsidRDefault="00D95EC3" w:rsidP="00D95EC3">
            <w:pPr>
              <w:widowControl w:val="0"/>
              <w:spacing w:before="50"/>
              <w:ind w:right="-23"/>
              <w:jc w:val="both"/>
              <w:rPr>
                <w:rFonts w:cs="Arial"/>
                <w:b/>
                <w:bCs/>
                <w:color w:val="000000"/>
                <w:sz w:val="22"/>
                <w:szCs w:val="22"/>
                <w:lang w:eastAsia="en-GB"/>
              </w:rPr>
            </w:pPr>
            <w:r w:rsidRPr="00D95EC3">
              <w:rPr>
                <w:rFonts w:cs="Arial"/>
                <w:b/>
                <w:bCs/>
                <w:color w:val="000000"/>
                <w:sz w:val="22"/>
                <w:szCs w:val="22"/>
                <w:lang w:eastAsia="en-GB"/>
              </w:rPr>
              <w:t>Option 1</w:t>
            </w:r>
          </w:p>
        </w:tc>
        <w:tc>
          <w:tcPr>
            <w:tcW w:w="1535" w:type="dxa"/>
            <w:shd w:val="clear" w:color="auto" w:fill="E7E6E6"/>
          </w:tcPr>
          <w:p w14:paraId="4F663CD1" w14:textId="77777777" w:rsidR="00D95EC3" w:rsidRPr="00D95EC3" w:rsidRDefault="00D95EC3" w:rsidP="00D95EC3">
            <w:pPr>
              <w:widowControl w:val="0"/>
              <w:spacing w:before="50"/>
              <w:ind w:right="-23"/>
              <w:jc w:val="both"/>
              <w:rPr>
                <w:rFonts w:cs="Arial"/>
                <w:bCs/>
                <w:color w:val="000000"/>
                <w:sz w:val="22"/>
                <w:szCs w:val="22"/>
                <w:lang w:eastAsia="en-GB"/>
              </w:rPr>
            </w:pPr>
          </w:p>
        </w:tc>
        <w:tc>
          <w:tcPr>
            <w:tcW w:w="1557" w:type="dxa"/>
            <w:shd w:val="clear" w:color="auto" w:fill="E7E6E6"/>
          </w:tcPr>
          <w:p w14:paraId="20380A46" w14:textId="77777777" w:rsidR="00D95EC3" w:rsidRPr="00D95EC3" w:rsidRDefault="00D95EC3" w:rsidP="00D95EC3">
            <w:pPr>
              <w:widowControl w:val="0"/>
              <w:spacing w:before="50"/>
              <w:ind w:right="-23"/>
              <w:jc w:val="both"/>
              <w:rPr>
                <w:rFonts w:cs="Arial"/>
                <w:bCs/>
                <w:color w:val="000000"/>
                <w:sz w:val="22"/>
                <w:szCs w:val="22"/>
                <w:lang w:eastAsia="en-GB"/>
              </w:rPr>
            </w:pPr>
          </w:p>
        </w:tc>
        <w:tc>
          <w:tcPr>
            <w:tcW w:w="1620" w:type="dxa"/>
            <w:shd w:val="clear" w:color="auto" w:fill="E7E6E6"/>
          </w:tcPr>
          <w:p w14:paraId="20EEEBEF" w14:textId="77777777" w:rsidR="00D95EC3" w:rsidRPr="00D95EC3" w:rsidRDefault="00D95EC3" w:rsidP="00D95EC3">
            <w:pPr>
              <w:widowControl w:val="0"/>
              <w:spacing w:before="50"/>
              <w:ind w:right="-23"/>
              <w:jc w:val="both"/>
              <w:rPr>
                <w:rFonts w:cs="Arial"/>
                <w:bCs/>
                <w:color w:val="000000"/>
                <w:sz w:val="22"/>
                <w:szCs w:val="22"/>
                <w:lang w:eastAsia="en-GB"/>
              </w:rPr>
            </w:pPr>
          </w:p>
        </w:tc>
      </w:tr>
      <w:tr w:rsidR="00D95EC3" w:rsidRPr="00D95EC3" w14:paraId="761CD47D" w14:textId="77777777" w:rsidTr="00BD13AB">
        <w:trPr>
          <w:jc w:val="center"/>
        </w:trPr>
        <w:tc>
          <w:tcPr>
            <w:tcW w:w="2678" w:type="dxa"/>
            <w:shd w:val="clear" w:color="auto" w:fill="auto"/>
          </w:tcPr>
          <w:p w14:paraId="46039483" w14:textId="77777777" w:rsidR="00D95EC3" w:rsidRPr="00D95EC3" w:rsidRDefault="00D95EC3" w:rsidP="00D95EC3">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Transitional cost</w:t>
            </w:r>
          </w:p>
        </w:tc>
        <w:tc>
          <w:tcPr>
            <w:tcW w:w="1535" w:type="dxa"/>
            <w:shd w:val="clear" w:color="auto" w:fill="auto"/>
            <w:vAlign w:val="center"/>
          </w:tcPr>
          <w:p w14:paraId="12653DDC" w14:textId="77777777" w:rsidR="00D95EC3" w:rsidRPr="00D95EC3" w:rsidRDefault="00D95EC3" w:rsidP="00D95EC3">
            <w:pPr>
              <w:widowControl w:val="0"/>
              <w:spacing w:beforeLines="50" w:before="120"/>
              <w:ind w:right="-23"/>
              <w:rPr>
                <w:rFonts w:cs="Arial"/>
                <w:bCs/>
                <w:color w:val="000000"/>
                <w:sz w:val="22"/>
                <w:szCs w:val="22"/>
              </w:rPr>
            </w:pPr>
            <w:r w:rsidRPr="00D95EC3">
              <w:rPr>
                <w:rFonts w:cs="Arial"/>
                <w:bCs/>
                <w:color w:val="000000"/>
                <w:sz w:val="22"/>
                <w:szCs w:val="22"/>
              </w:rPr>
              <w:t>N/A</w:t>
            </w:r>
          </w:p>
        </w:tc>
        <w:tc>
          <w:tcPr>
            <w:tcW w:w="1557" w:type="dxa"/>
            <w:shd w:val="clear" w:color="auto" w:fill="auto"/>
            <w:vAlign w:val="center"/>
          </w:tcPr>
          <w:p w14:paraId="5102D359" w14:textId="77777777" w:rsidR="00D95EC3" w:rsidRPr="00D95EC3" w:rsidRDefault="00D95EC3" w:rsidP="00D95EC3">
            <w:pPr>
              <w:widowControl w:val="0"/>
              <w:spacing w:beforeLines="50" w:before="120"/>
              <w:ind w:right="-23"/>
              <w:rPr>
                <w:rFonts w:cs="Arial"/>
                <w:bCs/>
                <w:color w:val="000000"/>
                <w:sz w:val="22"/>
                <w:szCs w:val="22"/>
              </w:rPr>
            </w:pPr>
            <w:r w:rsidRPr="00D95EC3">
              <w:rPr>
                <w:rFonts w:cs="Arial"/>
                <w:bCs/>
                <w:color w:val="000000"/>
                <w:sz w:val="22"/>
                <w:szCs w:val="22"/>
              </w:rPr>
              <w:t>N/A</w:t>
            </w:r>
          </w:p>
        </w:tc>
        <w:tc>
          <w:tcPr>
            <w:tcW w:w="1620" w:type="dxa"/>
            <w:shd w:val="clear" w:color="auto" w:fill="auto"/>
            <w:vAlign w:val="center"/>
          </w:tcPr>
          <w:p w14:paraId="7472E089" w14:textId="77777777" w:rsidR="00D95EC3" w:rsidRPr="00D95EC3" w:rsidRDefault="00D95EC3" w:rsidP="00D95EC3">
            <w:pPr>
              <w:widowControl w:val="0"/>
              <w:spacing w:before="50"/>
              <w:ind w:right="-23"/>
              <w:rPr>
                <w:rFonts w:cs="Arial"/>
                <w:bCs/>
                <w:color w:val="000000"/>
                <w:sz w:val="22"/>
                <w:szCs w:val="22"/>
              </w:rPr>
            </w:pPr>
            <w:r w:rsidRPr="00D95EC3">
              <w:rPr>
                <w:rFonts w:cs="Arial"/>
                <w:bCs/>
                <w:color w:val="000000"/>
                <w:sz w:val="22"/>
                <w:szCs w:val="22"/>
              </w:rPr>
              <w:t>N/A</w:t>
            </w:r>
          </w:p>
        </w:tc>
      </w:tr>
      <w:tr w:rsidR="00D95EC3" w:rsidRPr="00D95EC3" w14:paraId="56C8C66C" w14:textId="77777777" w:rsidTr="00BD13AB">
        <w:trPr>
          <w:jc w:val="center"/>
        </w:trPr>
        <w:tc>
          <w:tcPr>
            <w:tcW w:w="2678" w:type="dxa"/>
            <w:shd w:val="clear" w:color="auto" w:fill="auto"/>
          </w:tcPr>
          <w:p w14:paraId="4B10AED4" w14:textId="77777777" w:rsidR="00D95EC3" w:rsidRPr="00D95EC3" w:rsidRDefault="00D95EC3" w:rsidP="00D95EC3">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On-going cost</w:t>
            </w:r>
          </w:p>
        </w:tc>
        <w:tc>
          <w:tcPr>
            <w:tcW w:w="1535" w:type="dxa"/>
            <w:shd w:val="clear" w:color="auto" w:fill="auto"/>
            <w:vAlign w:val="center"/>
          </w:tcPr>
          <w:p w14:paraId="5A0FD8C0" w14:textId="77777777" w:rsidR="00D95EC3" w:rsidRPr="00D95EC3" w:rsidRDefault="00D95EC3" w:rsidP="00D95EC3">
            <w:pPr>
              <w:widowControl w:val="0"/>
              <w:spacing w:beforeLines="50" w:before="120"/>
              <w:ind w:right="-23"/>
              <w:rPr>
                <w:rFonts w:cs="Arial"/>
                <w:bCs/>
                <w:color w:val="000000"/>
                <w:sz w:val="22"/>
                <w:szCs w:val="22"/>
              </w:rPr>
            </w:pPr>
            <w:r w:rsidRPr="00D95EC3">
              <w:rPr>
                <w:rFonts w:cs="Arial"/>
                <w:bCs/>
                <w:color w:val="000000"/>
                <w:sz w:val="22"/>
                <w:szCs w:val="22"/>
              </w:rPr>
              <w:t>N/A</w:t>
            </w:r>
          </w:p>
        </w:tc>
        <w:tc>
          <w:tcPr>
            <w:tcW w:w="1557" w:type="dxa"/>
            <w:shd w:val="clear" w:color="auto" w:fill="auto"/>
            <w:vAlign w:val="center"/>
          </w:tcPr>
          <w:p w14:paraId="2CFB2082" w14:textId="77777777" w:rsidR="00D95EC3" w:rsidRPr="00D95EC3" w:rsidRDefault="00D95EC3" w:rsidP="00D95EC3">
            <w:pPr>
              <w:widowControl w:val="0"/>
              <w:spacing w:beforeLines="50" w:before="120"/>
              <w:ind w:right="-23"/>
              <w:rPr>
                <w:rFonts w:cs="Arial"/>
                <w:bCs/>
                <w:color w:val="000000"/>
                <w:sz w:val="22"/>
                <w:szCs w:val="22"/>
              </w:rPr>
            </w:pPr>
            <w:r w:rsidRPr="00D95EC3">
              <w:rPr>
                <w:rFonts w:cs="Arial"/>
                <w:bCs/>
                <w:color w:val="000000"/>
                <w:sz w:val="22"/>
                <w:szCs w:val="22"/>
              </w:rPr>
              <w:t>N/A</w:t>
            </w:r>
          </w:p>
        </w:tc>
        <w:tc>
          <w:tcPr>
            <w:tcW w:w="1620" w:type="dxa"/>
            <w:shd w:val="clear" w:color="auto" w:fill="auto"/>
            <w:vAlign w:val="center"/>
          </w:tcPr>
          <w:p w14:paraId="391ADE23" w14:textId="77777777" w:rsidR="00D95EC3" w:rsidRPr="00D95EC3" w:rsidRDefault="00D95EC3" w:rsidP="00D95EC3">
            <w:pPr>
              <w:widowControl w:val="0"/>
              <w:spacing w:beforeLines="50" w:before="120"/>
              <w:ind w:right="-23"/>
              <w:rPr>
                <w:rFonts w:cs="Arial"/>
                <w:bCs/>
                <w:color w:val="000000"/>
                <w:sz w:val="22"/>
                <w:szCs w:val="22"/>
              </w:rPr>
            </w:pPr>
            <w:r w:rsidRPr="00D95EC3">
              <w:rPr>
                <w:rFonts w:cs="Arial"/>
                <w:bCs/>
                <w:color w:val="000000"/>
                <w:sz w:val="22"/>
                <w:szCs w:val="22"/>
              </w:rPr>
              <w:t>N/A</w:t>
            </w:r>
          </w:p>
        </w:tc>
      </w:tr>
      <w:tr w:rsidR="00D95EC3" w:rsidRPr="00D95EC3" w14:paraId="4226EB93" w14:textId="77777777" w:rsidTr="00BD13AB">
        <w:trPr>
          <w:jc w:val="center"/>
        </w:trPr>
        <w:tc>
          <w:tcPr>
            <w:tcW w:w="2678" w:type="dxa"/>
            <w:shd w:val="clear" w:color="auto" w:fill="auto"/>
          </w:tcPr>
          <w:p w14:paraId="6F70F1AD" w14:textId="77777777" w:rsidR="00D95EC3" w:rsidRPr="00D95EC3" w:rsidRDefault="00D95EC3" w:rsidP="00D95EC3">
            <w:pPr>
              <w:widowControl w:val="0"/>
              <w:spacing w:before="50"/>
              <w:ind w:right="-23"/>
              <w:jc w:val="both"/>
              <w:rPr>
                <w:rFonts w:cs="Arial"/>
                <w:b/>
                <w:bCs/>
                <w:color w:val="000000"/>
                <w:sz w:val="22"/>
                <w:szCs w:val="22"/>
                <w:lang w:eastAsia="en-GB"/>
              </w:rPr>
            </w:pPr>
            <w:r w:rsidRPr="00D95EC3">
              <w:rPr>
                <w:rFonts w:cs="Arial"/>
                <w:b/>
                <w:bCs/>
                <w:color w:val="000000"/>
                <w:sz w:val="22"/>
                <w:szCs w:val="22"/>
                <w:lang w:eastAsia="en-GB"/>
              </w:rPr>
              <w:t>Present value over 10 years [Cost]</w:t>
            </w:r>
          </w:p>
        </w:tc>
        <w:tc>
          <w:tcPr>
            <w:tcW w:w="1535" w:type="dxa"/>
            <w:shd w:val="clear" w:color="auto" w:fill="auto"/>
            <w:vAlign w:val="center"/>
          </w:tcPr>
          <w:p w14:paraId="5AF46EE2" w14:textId="77777777" w:rsidR="00D95EC3" w:rsidRPr="00D95EC3" w:rsidRDefault="00D95EC3" w:rsidP="00D95EC3">
            <w:pPr>
              <w:widowControl w:val="0"/>
              <w:spacing w:beforeLines="50" w:before="120" w:after="120"/>
              <w:ind w:right="-23"/>
              <w:rPr>
                <w:rFonts w:eastAsia="SimSun" w:cs="Arial"/>
                <w:b/>
                <w:bCs/>
                <w:color w:val="000000"/>
                <w:spacing w:val="-5"/>
                <w:sz w:val="22"/>
                <w:szCs w:val="22"/>
                <w:lang w:eastAsia="en-GB"/>
              </w:rPr>
            </w:pPr>
            <w:r w:rsidRPr="00D95EC3">
              <w:rPr>
                <w:rFonts w:cs="Arial"/>
                <w:color w:val="000000"/>
                <w:sz w:val="22"/>
                <w:szCs w:val="22"/>
                <w:lang w:eastAsia="en-GB"/>
              </w:rPr>
              <w:t>N/A</w:t>
            </w:r>
          </w:p>
        </w:tc>
        <w:tc>
          <w:tcPr>
            <w:tcW w:w="1557" w:type="dxa"/>
            <w:shd w:val="clear" w:color="auto" w:fill="auto"/>
            <w:vAlign w:val="center"/>
          </w:tcPr>
          <w:p w14:paraId="6E4EC9D0" w14:textId="77777777" w:rsidR="00D95EC3" w:rsidRPr="00D95EC3" w:rsidRDefault="00D95EC3" w:rsidP="00D95EC3">
            <w:pPr>
              <w:widowControl w:val="0"/>
              <w:spacing w:beforeLines="50" w:before="120" w:after="120"/>
              <w:ind w:right="-23"/>
              <w:rPr>
                <w:rFonts w:eastAsia="SimSun" w:cs="Arial"/>
                <w:b/>
                <w:bCs/>
                <w:color w:val="000000"/>
                <w:spacing w:val="-5"/>
                <w:sz w:val="22"/>
                <w:szCs w:val="22"/>
                <w:lang w:eastAsia="en-GB"/>
              </w:rPr>
            </w:pPr>
            <w:r w:rsidRPr="00D95EC3">
              <w:rPr>
                <w:rFonts w:cs="Arial"/>
                <w:color w:val="000000"/>
                <w:sz w:val="22"/>
                <w:szCs w:val="22"/>
                <w:lang w:eastAsia="en-GB"/>
              </w:rPr>
              <w:t>N/A</w:t>
            </w:r>
          </w:p>
        </w:tc>
        <w:tc>
          <w:tcPr>
            <w:tcW w:w="1620" w:type="dxa"/>
            <w:shd w:val="clear" w:color="auto" w:fill="auto"/>
            <w:vAlign w:val="center"/>
          </w:tcPr>
          <w:p w14:paraId="5FA1181D" w14:textId="77777777" w:rsidR="00D95EC3" w:rsidRPr="00D95EC3" w:rsidRDefault="00D95EC3" w:rsidP="00D95EC3">
            <w:pPr>
              <w:widowControl w:val="0"/>
              <w:spacing w:beforeLines="50" w:before="120" w:after="120"/>
              <w:ind w:right="-23"/>
              <w:rPr>
                <w:rFonts w:eastAsia="SimSun" w:cs="Arial"/>
                <w:b/>
                <w:bCs/>
                <w:color w:val="000000"/>
                <w:spacing w:val="-5"/>
                <w:sz w:val="22"/>
                <w:szCs w:val="22"/>
                <w:lang w:eastAsia="en-GB"/>
              </w:rPr>
            </w:pPr>
            <w:r w:rsidRPr="00D95EC3">
              <w:rPr>
                <w:rFonts w:cs="Arial"/>
                <w:color w:val="000000"/>
                <w:sz w:val="22"/>
                <w:szCs w:val="22"/>
                <w:lang w:eastAsia="en-GB"/>
              </w:rPr>
              <w:t>N/A</w:t>
            </w:r>
          </w:p>
        </w:tc>
      </w:tr>
      <w:tr w:rsidR="00D95EC3" w:rsidRPr="00D95EC3" w14:paraId="63259E62" w14:textId="77777777" w:rsidTr="00BD13AB">
        <w:trPr>
          <w:jc w:val="center"/>
        </w:trPr>
        <w:tc>
          <w:tcPr>
            <w:tcW w:w="2678" w:type="dxa"/>
            <w:shd w:val="clear" w:color="auto" w:fill="auto"/>
          </w:tcPr>
          <w:p w14:paraId="6A28347A" w14:textId="77777777" w:rsidR="00D95EC3" w:rsidRPr="00D95EC3" w:rsidRDefault="00D95EC3" w:rsidP="00D95EC3">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Transitional benefit</w:t>
            </w:r>
          </w:p>
        </w:tc>
        <w:tc>
          <w:tcPr>
            <w:tcW w:w="1535" w:type="dxa"/>
            <w:shd w:val="clear" w:color="auto" w:fill="auto"/>
          </w:tcPr>
          <w:p w14:paraId="23721080" w14:textId="77777777" w:rsidR="00D95EC3" w:rsidRPr="00D95EC3" w:rsidRDefault="00D95EC3" w:rsidP="00D95EC3">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0</w:t>
            </w:r>
          </w:p>
        </w:tc>
        <w:tc>
          <w:tcPr>
            <w:tcW w:w="1557" w:type="dxa"/>
            <w:shd w:val="clear" w:color="auto" w:fill="auto"/>
          </w:tcPr>
          <w:p w14:paraId="69EFD2B8" w14:textId="77777777" w:rsidR="00D95EC3" w:rsidRPr="00D95EC3" w:rsidRDefault="00D95EC3" w:rsidP="00D95EC3">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0</w:t>
            </w:r>
          </w:p>
        </w:tc>
        <w:tc>
          <w:tcPr>
            <w:tcW w:w="1620" w:type="dxa"/>
            <w:shd w:val="clear" w:color="auto" w:fill="auto"/>
          </w:tcPr>
          <w:p w14:paraId="3073BCFA" w14:textId="77777777" w:rsidR="00D95EC3" w:rsidRPr="00D95EC3" w:rsidRDefault="00D95EC3" w:rsidP="00D95EC3">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0</w:t>
            </w:r>
          </w:p>
        </w:tc>
      </w:tr>
      <w:tr w:rsidR="00D95EC3" w:rsidRPr="00D95EC3" w14:paraId="2B481C76" w14:textId="77777777" w:rsidTr="00BD13AB">
        <w:trPr>
          <w:jc w:val="center"/>
        </w:trPr>
        <w:tc>
          <w:tcPr>
            <w:tcW w:w="2678" w:type="dxa"/>
            <w:shd w:val="clear" w:color="auto" w:fill="auto"/>
          </w:tcPr>
          <w:p w14:paraId="3539EE18" w14:textId="77777777" w:rsidR="00D95EC3" w:rsidRPr="00D95EC3" w:rsidRDefault="00D95EC3" w:rsidP="00D95EC3">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On-going benefit</w:t>
            </w:r>
          </w:p>
        </w:tc>
        <w:tc>
          <w:tcPr>
            <w:tcW w:w="1535" w:type="dxa"/>
            <w:shd w:val="clear" w:color="auto" w:fill="auto"/>
            <w:vAlign w:val="bottom"/>
          </w:tcPr>
          <w:p w14:paraId="0A6FD60E" w14:textId="4F22BA7D" w:rsidR="00D95EC3" w:rsidRPr="00D95EC3" w:rsidRDefault="00D95EC3" w:rsidP="00D95EC3">
            <w:pPr>
              <w:widowControl w:val="0"/>
              <w:ind w:right="-23"/>
              <w:jc w:val="both"/>
              <w:rPr>
                <w:rFonts w:cs="Arial"/>
                <w:bCs/>
                <w:sz w:val="22"/>
                <w:szCs w:val="22"/>
              </w:rPr>
            </w:pPr>
            <w:r w:rsidRPr="00D95EC3">
              <w:rPr>
                <w:rFonts w:cs="Arial"/>
                <w:bCs/>
                <w:sz w:val="22"/>
                <w:szCs w:val="22"/>
              </w:rPr>
              <w:t>£</w:t>
            </w:r>
            <w:r w:rsidR="00812C4B">
              <w:rPr>
                <w:rFonts w:cs="Arial"/>
                <w:bCs/>
                <w:sz w:val="22"/>
                <w:szCs w:val="22"/>
              </w:rPr>
              <w:t>2.88</w:t>
            </w:r>
          </w:p>
        </w:tc>
        <w:tc>
          <w:tcPr>
            <w:tcW w:w="1557" w:type="dxa"/>
            <w:shd w:val="clear" w:color="auto" w:fill="auto"/>
            <w:vAlign w:val="bottom"/>
          </w:tcPr>
          <w:p w14:paraId="7F738790" w14:textId="312C94F5" w:rsidR="00D95EC3" w:rsidRPr="00D95EC3" w:rsidRDefault="00D95EC3" w:rsidP="00D95EC3">
            <w:pPr>
              <w:widowControl w:val="0"/>
              <w:ind w:right="-23"/>
              <w:jc w:val="both"/>
              <w:rPr>
                <w:rFonts w:cs="Arial"/>
                <w:bCs/>
                <w:sz w:val="22"/>
                <w:szCs w:val="22"/>
              </w:rPr>
            </w:pPr>
            <w:r w:rsidRPr="00D95EC3">
              <w:rPr>
                <w:rFonts w:cs="Arial"/>
                <w:bCs/>
                <w:sz w:val="22"/>
                <w:szCs w:val="22"/>
              </w:rPr>
              <w:t>£</w:t>
            </w:r>
            <w:r w:rsidR="00BD13AB">
              <w:rPr>
                <w:rFonts w:cs="Arial"/>
                <w:bCs/>
                <w:sz w:val="22"/>
                <w:szCs w:val="22"/>
              </w:rPr>
              <w:t>3.60</w:t>
            </w:r>
          </w:p>
        </w:tc>
        <w:tc>
          <w:tcPr>
            <w:tcW w:w="1620" w:type="dxa"/>
            <w:shd w:val="clear" w:color="auto" w:fill="auto"/>
            <w:vAlign w:val="bottom"/>
          </w:tcPr>
          <w:p w14:paraId="0E248D29" w14:textId="165B4F01" w:rsidR="00D95EC3" w:rsidRPr="00D95EC3" w:rsidRDefault="00D95EC3" w:rsidP="00D95EC3">
            <w:pPr>
              <w:widowControl w:val="0"/>
              <w:ind w:right="-23"/>
              <w:jc w:val="both"/>
              <w:rPr>
                <w:rFonts w:cs="Arial"/>
                <w:bCs/>
                <w:sz w:val="22"/>
                <w:szCs w:val="22"/>
              </w:rPr>
            </w:pPr>
            <w:r w:rsidRPr="00D95EC3">
              <w:rPr>
                <w:rFonts w:cs="Arial"/>
                <w:bCs/>
                <w:sz w:val="22"/>
                <w:szCs w:val="22"/>
              </w:rPr>
              <w:t>£</w:t>
            </w:r>
            <w:r w:rsidR="00BD13AB">
              <w:rPr>
                <w:rFonts w:cs="Arial"/>
                <w:bCs/>
                <w:sz w:val="22"/>
                <w:szCs w:val="22"/>
              </w:rPr>
              <w:t>7.72</w:t>
            </w:r>
          </w:p>
        </w:tc>
      </w:tr>
      <w:tr w:rsidR="00D95EC3" w:rsidRPr="00D95EC3" w14:paraId="24867C1C" w14:textId="77777777" w:rsidTr="00BD13AB">
        <w:trPr>
          <w:jc w:val="center"/>
        </w:trPr>
        <w:tc>
          <w:tcPr>
            <w:tcW w:w="2678" w:type="dxa"/>
            <w:shd w:val="clear" w:color="auto" w:fill="FFFFFF"/>
          </w:tcPr>
          <w:p w14:paraId="0878A80C" w14:textId="77777777" w:rsidR="00D95EC3" w:rsidRPr="00D95EC3" w:rsidRDefault="00D95EC3" w:rsidP="00D95EC3">
            <w:pPr>
              <w:widowControl w:val="0"/>
              <w:spacing w:before="50"/>
              <w:ind w:right="-23"/>
              <w:jc w:val="both"/>
              <w:rPr>
                <w:rFonts w:cs="Arial"/>
                <w:b/>
                <w:bCs/>
                <w:color w:val="000000"/>
                <w:sz w:val="22"/>
                <w:szCs w:val="22"/>
                <w:lang w:eastAsia="en-GB"/>
              </w:rPr>
            </w:pPr>
            <w:r w:rsidRPr="00D95EC3">
              <w:rPr>
                <w:rFonts w:cs="Arial"/>
                <w:b/>
                <w:bCs/>
                <w:color w:val="000000"/>
                <w:sz w:val="22"/>
                <w:szCs w:val="22"/>
                <w:lang w:eastAsia="en-GB"/>
              </w:rPr>
              <w:t>Present value over 10 years [Benefit]</w:t>
            </w:r>
          </w:p>
        </w:tc>
        <w:tc>
          <w:tcPr>
            <w:tcW w:w="1535" w:type="dxa"/>
            <w:shd w:val="clear" w:color="auto" w:fill="auto"/>
          </w:tcPr>
          <w:p w14:paraId="17D38B49" w14:textId="6D1CFB6D" w:rsidR="00D95EC3" w:rsidRPr="00D95EC3" w:rsidRDefault="00D95EC3" w:rsidP="00D95EC3">
            <w:pPr>
              <w:widowControl w:val="0"/>
              <w:spacing w:before="50" w:after="120"/>
              <w:ind w:right="-23"/>
              <w:jc w:val="both"/>
              <w:rPr>
                <w:rFonts w:eastAsia="SimSun" w:cs="Arial"/>
                <w:b/>
                <w:bCs/>
                <w:color w:val="000000"/>
                <w:spacing w:val="-5"/>
                <w:sz w:val="22"/>
                <w:szCs w:val="22"/>
                <w:lang w:eastAsia="en-GB"/>
              </w:rPr>
            </w:pPr>
            <w:r w:rsidRPr="00D95EC3">
              <w:rPr>
                <w:rFonts w:eastAsia="SimSun" w:cs="Arial"/>
                <w:b/>
                <w:bCs/>
                <w:color w:val="000000"/>
                <w:spacing w:val="-5"/>
                <w:sz w:val="22"/>
                <w:szCs w:val="22"/>
                <w:lang w:eastAsia="en-GB"/>
              </w:rPr>
              <w:t>£</w:t>
            </w:r>
            <w:r w:rsidR="00BD13AB">
              <w:rPr>
                <w:rFonts w:eastAsia="SimSun" w:cs="Arial"/>
                <w:b/>
                <w:bCs/>
                <w:color w:val="000000"/>
                <w:spacing w:val="-5"/>
                <w:sz w:val="22"/>
                <w:szCs w:val="22"/>
                <w:lang w:eastAsia="en-GB"/>
              </w:rPr>
              <w:t>23.</w:t>
            </w:r>
            <w:r w:rsidR="00F77E7B">
              <w:rPr>
                <w:rFonts w:eastAsia="SimSun" w:cs="Arial"/>
                <w:b/>
                <w:bCs/>
                <w:color w:val="000000"/>
                <w:spacing w:val="-5"/>
                <w:sz w:val="22"/>
                <w:szCs w:val="22"/>
                <w:lang w:eastAsia="en-GB"/>
              </w:rPr>
              <w:t>82</w:t>
            </w:r>
          </w:p>
        </w:tc>
        <w:tc>
          <w:tcPr>
            <w:tcW w:w="1557" w:type="dxa"/>
            <w:shd w:val="clear" w:color="auto" w:fill="auto"/>
          </w:tcPr>
          <w:p w14:paraId="29932877" w14:textId="2073F86B" w:rsidR="00D95EC3" w:rsidRPr="00D95EC3" w:rsidRDefault="00D95EC3" w:rsidP="00D95EC3">
            <w:pPr>
              <w:widowControl w:val="0"/>
              <w:spacing w:before="50" w:after="120"/>
              <w:ind w:right="-23"/>
              <w:jc w:val="both"/>
              <w:rPr>
                <w:rFonts w:eastAsia="SimSun" w:cs="Arial"/>
                <w:b/>
                <w:bCs/>
                <w:color w:val="000000"/>
                <w:spacing w:val="-5"/>
                <w:sz w:val="22"/>
                <w:szCs w:val="22"/>
                <w:lang w:eastAsia="en-GB"/>
              </w:rPr>
            </w:pPr>
            <w:r w:rsidRPr="00D95EC3">
              <w:rPr>
                <w:rFonts w:eastAsia="SimSun" w:cs="Arial"/>
                <w:b/>
                <w:bCs/>
                <w:color w:val="000000"/>
                <w:spacing w:val="-5"/>
                <w:sz w:val="22"/>
                <w:szCs w:val="22"/>
                <w:lang w:eastAsia="en-GB"/>
              </w:rPr>
              <w:t>£</w:t>
            </w:r>
            <w:r w:rsidR="00BD13AB">
              <w:rPr>
                <w:rFonts w:eastAsia="SimSun" w:cs="Arial"/>
                <w:b/>
                <w:bCs/>
                <w:color w:val="000000"/>
                <w:spacing w:val="-5"/>
                <w:sz w:val="22"/>
                <w:szCs w:val="22"/>
                <w:lang w:eastAsia="en-GB"/>
              </w:rPr>
              <w:t>29.</w:t>
            </w:r>
            <w:r w:rsidR="00F77E7B">
              <w:rPr>
                <w:rFonts w:eastAsia="SimSun" w:cs="Arial"/>
                <w:b/>
                <w:bCs/>
                <w:color w:val="000000"/>
                <w:spacing w:val="-5"/>
                <w:sz w:val="22"/>
                <w:szCs w:val="22"/>
                <w:lang w:eastAsia="en-GB"/>
              </w:rPr>
              <w:t>83</w:t>
            </w:r>
          </w:p>
        </w:tc>
        <w:tc>
          <w:tcPr>
            <w:tcW w:w="1620" w:type="dxa"/>
            <w:shd w:val="clear" w:color="auto" w:fill="auto"/>
          </w:tcPr>
          <w:p w14:paraId="0D8438DF" w14:textId="3E80AE43" w:rsidR="00D95EC3" w:rsidRPr="00D95EC3" w:rsidRDefault="00D95EC3" w:rsidP="00D95EC3">
            <w:pPr>
              <w:widowControl w:val="0"/>
              <w:spacing w:before="50" w:after="120"/>
              <w:ind w:right="-23"/>
              <w:jc w:val="both"/>
              <w:rPr>
                <w:rFonts w:eastAsia="SimSun" w:cs="Arial"/>
                <w:b/>
                <w:bCs/>
                <w:color w:val="000000"/>
                <w:spacing w:val="-5"/>
                <w:sz w:val="22"/>
                <w:szCs w:val="22"/>
                <w:lang w:eastAsia="en-GB"/>
              </w:rPr>
            </w:pPr>
            <w:r w:rsidRPr="00D95EC3">
              <w:rPr>
                <w:rFonts w:eastAsia="SimSun" w:cs="Arial"/>
                <w:b/>
                <w:bCs/>
                <w:color w:val="000000"/>
                <w:spacing w:val="-5"/>
                <w:sz w:val="22"/>
                <w:szCs w:val="22"/>
                <w:lang w:eastAsia="en-GB"/>
              </w:rPr>
              <w:t>£</w:t>
            </w:r>
            <w:r w:rsidR="00BD13AB">
              <w:rPr>
                <w:rFonts w:eastAsia="SimSun" w:cs="Arial"/>
                <w:b/>
                <w:bCs/>
                <w:color w:val="000000"/>
                <w:spacing w:val="-5"/>
                <w:sz w:val="22"/>
                <w:szCs w:val="22"/>
                <w:lang w:eastAsia="en-GB"/>
              </w:rPr>
              <w:t>6</w:t>
            </w:r>
            <w:r w:rsidR="00F77E7B">
              <w:rPr>
                <w:rFonts w:eastAsia="SimSun" w:cs="Arial"/>
                <w:b/>
                <w:bCs/>
                <w:color w:val="000000"/>
                <w:spacing w:val="-5"/>
                <w:sz w:val="22"/>
                <w:szCs w:val="22"/>
                <w:lang w:eastAsia="en-GB"/>
              </w:rPr>
              <w:t>3.95</w:t>
            </w:r>
          </w:p>
        </w:tc>
      </w:tr>
      <w:tr w:rsidR="00BD13AB" w:rsidRPr="00D95EC3" w14:paraId="68C9EC94" w14:textId="77777777" w:rsidTr="00BD13AB">
        <w:trPr>
          <w:jc w:val="center"/>
        </w:trPr>
        <w:tc>
          <w:tcPr>
            <w:tcW w:w="2678" w:type="dxa"/>
            <w:shd w:val="clear" w:color="auto" w:fill="FFFFFF"/>
          </w:tcPr>
          <w:p w14:paraId="56540162" w14:textId="77777777" w:rsidR="00BD13AB" w:rsidRPr="00D95EC3" w:rsidRDefault="00BD13AB" w:rsidP="00BD13AB">
            <w:pPr>
              <w:widowControl w:val="0"/>
              <w:spacing w:before="50"/>
              <w:ind w:right="-23"/>
              <w:jc w:val="both"/>
              <w:rPr>
                <w:rFonts w:cs="Arial"/>
                <w:b/>
                <w:bCs/>
                <w:color w:val="000000"/>
                <w:sz w:val="22"/>
                <w:szCs w:val="22"/>
                <w:lang w:eastAsia="en-GB"/>
              </w:rPr>
            </w:pPr>
            <w:r w:rsidRPr="00D95EC3">
              <w:rPr>
                <w:rFonts w:cs="Arial"/>
                <w:b/>
                <w:bCs/>
                <w:color w:val="000000"/>
                <w:sz w:val="22"/>
                <w:szCs w:val="22"/>
                <w:lang w:eastAsia="en-GB"/>
              </w:rPr>
              <w:t>Net Present value</w:t>
            </w:r>
          </w:p>
        </w:tc>
        <w:tc>
          <w:tcPr>
            <w:tcW w:w="1535" w:type="dxa"/>
            <w:shd w:val="clear" w:color="auto" w:fill="auto"/>
          </w:tcPr>
          <w:p w14:paraId="6FC5E3D1" w14:textId="7E099082" w:rsidR="00BD13AB" w:rsidRPr="00D95EC3" w:rsidRDefault="00BD13AB" w:rsidP="00BD13AB">
            <w:pPr>
              <w:widowControl w:val="0"/>
              <w:spacing w:before="50"/>
              <w:ind w:right="-23"/>
              <w:jc w:val="both"/>
              <w:rPr>
                <w:rFonts w:cs="Arial"/>
                <w:b/>
                <w:bCs/>
                <w:color w:val="000000"/>
                <w:sz w:val="22"/>
                <w:szCs w:val="22"/>
                <w:lang w:eastAsia="en-GB"/>
              </w:rPr>
            </w:pPr>
            <w:r w:rsidRPr="00D95EC3">
              <w:rPr>
                <w:rFonts w:eastAsia="SimSun" w:cs="Arial"/>
                <w:b/>
                <w:bCs/>
                <w:color w:val="000000"/>
                <w:spacing w:val="-5"/>
                <w:sz w:val="22"/>
                <w:szCs w:val="22"/>
                <w:lang w:eastAsia="en-GB"/>
              </w:rPr>
              <w:t>£</w:t>
            </w:r>
            <w:r>
              <w:rPr>
                <w:rFonts w:eastAsia="SimSun" w:cs="Arial"/>
                <w:b/>
                <w:bCs/>
                <w:color w:val="000000"/>
                <w:spacing w:val="-5"/>
                <w:sz w:val="22"/>
                <w:szCs w:val="22"/>
                <w:lang w:eastAsia="en-GB"/>
              </w:rPr>
              <w:t>23.</w:t>
            </w:r>
            <w:r w:rsidR="00505584">
              <w:rPr>
                <w:rFonts w:eastAsia="SimSun" w:cs="Arial"/>
                <w:b/>
                <w:bCs/>
                <w:color w:val="000000"/>
                <w:spacing w:val="-5"/>
                <w:sz w:val="22"/>
                <w:szCs w:val="22"/>
                <w:lang w:eastAsia="en-GB"/>
              </w:rPr>
              <w:t>82</w:t>
            </w:r>
          </w:p>
        </w:tc>
        <w:tc>
          <w:tcPr>
            <w:tcW w:w="1557" w:type="dxa"/>
            <w:shd w:val="clear" w:color="auto" w:fill="auto"/>
          </w:tcPr>
          <w:p w14:paraId="15C1B340" w14:textId="39AB32FD" w:rsidR="00BD13AB" w:rsidRPr="00D95EC3" w:rsidRDefault="00BD13AB" w:rsidP="00BD13AB">
            <w:pPr>
              <w:widowControl w:val="0"/>
              <w:spacing w:before="50"/>
              <w:ind w:right="-23"/>
              <w:jc w:val="both"/>
              <w:rPr>
                <w:rFonts w:cs="Arial"/>
                <w:b/>
                <w:bCs/>
                <w:color w:val="000000"/>
                <w:sz w:val="22"/>
                <w:szCs w:val="22"/>
                <w:lang w:eastAsia="en-GB"/>
              </w:rPr>
            </w:pPr>
            <w:r w:rsidRPr="00D95EC3">
              <w:rPr>
                <w:rFonts w:eastAsia="SimSun" w:cs="Arial"/>
                <w:b/>
                <w:bCs/>
                <w:color w:val="000000"/>
                <w:spacing w:val="-5"/>
                <w:sz w:val="22"/>
                <w:szCs w:val="22"/>
                <w:lang w:eastAsia="en-GB"/>
              </w:rPr>
              <w:t>£</w:t>
            </w:r>
            <w:r>
              <w:rPr>
                <w:rFonts w:eastAsia="SimSun" w:cs="Arial"/>
                <w:b/>
                <w:bCs/>
                <w:color w:val="000000"/>
                <w:spacing w:val="-5"/>
                <w:sz w:val="22"/>
                <w:szCs w:val="22"/>
                <w:lang w:eastAsia="en-GB"/>
              </w:rPr>
              <w:t>29.</w:t>
            </w:r>
            <w:r w:rsidR="00505584">
              <w:rPr>
                <w:rFonts w:eastAsia="SimSun" w:cs="Arial"/>
                <w:b/>
                <w:bCs/>
                <w:color w:val="000000"/>
                <w:spacing w:val="-5"/>
                <w:sz w:val="22"/>
                <w:szCs w:val="22"/>
                <w:lang w:eastAsia="en-GB"/>
              </w:rPr>
              <w:t>83</w:t>
            </w:r>
          </w:p>
        </w:tc>
        <w:tc>
          <w:tcPr>
            <w:tcW w:w="1620" w:type="dxa"/>
            <w:shd w:val="clear" w:color="auto" w:fill="auto"/>
          </w:tcPr>
          <w:p w14:paraId="43066E80" w14:textId="5C2C6CD9" w:rsidR="00BD13AB" w:rsidRPr="00D95EC3" w:rsidRDefault="00BD13AB" w:rsidP="00BD13AB">
            <w:pPr>
              <w:widowControl w:val="0"/>
              <w:spacing w:before="50"/>
              <w:ind w:right="-23"/>
              <w:jc w:val="both"/>
              <w:rPr>
                <w:rFonts w:cs="Arial"/>
                <w:b/>
                <w:bCs/>
                <w:color w:val="000000"/>
                <w:sz w:val="22"/>
                <w:szCs w:val="22"/>
                <w:lang w:eastAsia="en-GB"/>
              </w:rPr>
            </w:pPr>
            <w:r w:rsidRPr="00D95EC3">
              <w:rPr>
                <w:rFonts w:eastAsia="SimSun" w:cs="Arial"/>
                <w:b/>
                <w:bCs/>
                <w:color w:val="000000"/>
                <w:spacing w:val="-5"/>
                <w:sz w:val="22"/>
                <w:szCs w:val="22"/>
                <w:lang w:eastAsia="en-GB"/>
              </w:rPr>
              <w:t>£</w:t>
            </w:r>
            <w:r>
              <w:rPr>
                <w:rFonts w:eastAsia="SimSun" w:cs="Arial"/>
                <w:b/>
                <w:bCs/>
                <w:color w:val="000000"/>
                <w:spacing w:val="-5"/>
                <w:sz w:val="22"/>
                <w:szCs w:val="22"/>
                <w:lang w:eastAsia="en-GB"/>
              </w:rPr>
              <w:t>6</w:t>
            </w:r>
            <w:r w:rsidR="00505584">
              <w:rPr>
                <w:rFonts w:eastAsia="SimSun" w:cs="Arial"/>
                <w:b/>
                <w:bCs/>
                <w:color w:val="000000"/>
                <w:spacing w:val="-5"/>
                <w:sz w:val="22"/>
                <w:szCs w:val="22"/>
                <w:lang w:eastAsia="en-GB"/>
              </w:rPr>
              <w:t>3.95</w:t>
            </w:r>
          </w:p>
        </w:tc>
      </w:tr>
      <w:tr w:rsidR="00BD13AB" w:rsidRPr="00D95EC3" w14:paraId="269A5EB9" w14:textId="77777777" w:rsidTr="00BD13AB">
        <w:trPr>
          <w:jc w:val="center"/>
        </w:trPr>
        <w:tc>
          <w:tcPr>
            <w:tcW w:w="2678" w:type="dxa"/>
            <w:shd w:val="clear" w:color="auto" w:fill="E7E6E6"/>
          </w:tcPr>
          <w:p w14:paraId="2585DFEE" w14:textId="77777777" w:rsidR="00BD13AB" w:rsidRPr="00D95EC3" w:rsidRDefault="00BD13AB" w:rsidP="00BD13AB">
            <w:pPr>
              <w:widowControl w:val="0"/>
              <w:spacing w:before="50"/>
              <w:ind w:right="-23"/>
              <w:jc w:val="both"/>
              <w:rPr>
                <w:rFonts w:cs="Arial"/>
                <w:b/>
                <w:bCs/>
                <w:color w:val="000000"/>
                <w:sz w:val="22"/>
                <w:szCs w:val="22"/>
                <w:lang w:eastAsia="en-GB"/>
              </w:rPr>
            </w:pPr>
            <w:r w:rsidRPr="00D95EC3">
              <w:rPr>
                <w:rFonts w:cs="Arial"/>
                <w:b/>
                <w:bCs/>
                <w:color w:val="000000"/>
                <w:sz w:val="22"/>
                <w:szCs w:val="22"/>
                <w:lang w:eastAsia="en-GB"/>
              </w:rPr>
              <w:t>Option 2</w:t>
            </w:r>
          </w:p>
        </w:tc>
        <w:tc>
          <w:tcPr>
            <w:tcW w:w="1535" w:type="dxa"/>
            <w:shd w:val="clear" w:color="auto" w:fill="E7E6E6"/>
          </w:tcPr>
          <w:p w14:paraId="1BEC7219" w14:textId="77777777" w:rsidR="00BD13AB" w:rsidRPr="00D95EC3" w:rsidRDefault="00BD13AB" w:rsidP="00BD13AB">
            <w:pPr>
              <w:widowControl w:val="0"/>
              <w:spacing w:before="50"/>
              <w:ind w:right="-23"/>
              <w:jc w:val="both"/>
              <w:rPr>
                <w:rFonts w:cs="Arial"/>
                <w:bCs/>
                <w:color w:val="000000"/>
                <w:sz w:val="22"/>
                <w:szCs w:val="22"/>
                <w:lang w:eastAsia="en-GB"/>
              </w:rPr>
            </w:pPr>
          </w:p>
        </w:tc>
        <w:tc>
          <w:tcPr>
            <w:tcW w:w="1557" w:type="dxa"/>
            <w:shd w:val="clear" w:color="auto" w:fill="E7E6E6"/>
          </w:tcPr>
          <w:p w14:paraId="58E1EB3E" w14:textId="77777777" w:rsidR="00BD13AB" w:rsidRPr="00D95EC3" w:rsidRDefault="00BD13AB" w:rsidP="00BD13AB">
            <w:pPr>
              <w:widowControl w:val="0"/>
              <w:spacing w:before="50"/>
              <w:ind w:right="-23"/>
              <w:jc w:val="both"/>
              <w:rPr>
                <w:rFonts w:cs="Arial"/>
                <w:bCs/>
                <w:color w:val="000000"/>
                <w:sz w:val="22"/>
                <w:szCs w:val="22"/>
                <w:lang w:eastAsia="en-GB"/>
              </w:rPr>
            </w:pPr>
          </w:p>
        </w:tc>
        <w:tc>
          <w:tcPr>
            <w:tcW w:w="1620" w:type="dxa"/>
            <w:shd w:val="clear" w:color="auto" w:fill="E7E6E6"/>
          </w:tcPr>
          <w:p w14:paraId="6E0A9245" w14:textId="77777777" w:rsidR="00BD13AB" w:rsidRPr="00D95EC3" w:rsidRDefault="00BD13AB" w:rsidP="00BD13AB">
            <w:pPr>
              <w:widowControl w:val="0"/>
              <w:spacing w:before="50"/>
              <w:ind w:right="-23"/>
              <w:jc w:val="both"/>
              <w:rPr>
                <w:rFonts w:cs="Arial"/>
                <w:bCs/>
                <w:color w:val="000000"/>
                <w:sz w:val="22"/>
                <w:szCs w:val="22"/>
                <w:lang w:eastAsia="en-GB"/>
              </w:rPr>
            </w:pPr>
          </w:p>
        </w:tc>
      </w:tr>
      <w:tr w:rsidR="00BD13AB" w:rsidRPr="00D95EC3" w14:paraId="04A8A270" w14:textId="77777777" w:rsidTr="00BD13AB">
        <w:trPr>
          <w:jc w:val="center"/>
        </w:trPr>
        <w:tc>
          <w:tcPr>
            <w:tcW w:w="2678" w:type="dxa"/>
            <w:shd w:val="clear" w:color="auto" w:fill="auto"/>
          </w:tcPr>
          <w:p w14:paraId="0B30AA37" w14:textId="77777777" w:rsidR="00BD13AB" w:rsidRPr="00D95EC3" w:rsidRDefault="00BD13AB" w:rsidP="00BD13AB">
            <w:pPr>
              <w:widowControl w:val="0"/>
              <w:spacing w:before="50"/>
              <w:ind w:right="-23"/>
              <w:jc w:val="both"/>
              <w:rPr>
                <w:rFonts w:cs="Arial"/>
                <w:b/>
                <w:bCs/>
                <w:color w:val="000000"/>
                <w:sz w:val="22"/>
                <w:szCs w:val="22"/>
                <w:lang w:eastAsia="en-GB"/>
              </w:rPr>
            </w:pPr>
            <w:r w:rsidRPr="00D95EC3">
              <w:rPr>
                <w:rFonts w:cs="Arial"/>
                <w:bCs/>
                <w:color w:val="000000"/>
                <w:sz w:val="22"/>
                <w:szCs w:val="22"/>
                <w:lang w:eastAsia="en-GB"/>
              </w:rPr>
              <w:t>Transitional cost</w:t>
            </w:r>
          </w:p>
        </w:tc>
        <w:tc>
          <w:tcPr>
            <w:tcW w:w="1535" w:type="dxa"/>
            <w:shd w:val="clear" w:color="auto" w:fill="auto"/>
          </w:tcPr>
          <w:p w14:paraId="64FEACA3" w14:textId="77777777" w:rsidR="00BD13AB" w:rsidRPr="00D95EC3" w:rsidRDefault="00BD13AB" w:rsidP="00BD13AB">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0</w:t>
            </w:r>
          </w:p>
        </w:tc>
        <w:tc>
          <w:tcPr>
            <w:tcW w:w="1557" w:type="dxa"/>
            <w:shd w:val="clear" w:color="auto" w:fill="auto"/>
          </w:tcPr>
          <w:p w14:paraId="1931CCF2" w14:textId="77777777" w:rsidR="00BD13AB" w:rsidRPr="00D95EC3" w:rsidRDefault="00BD13AB" w:rsidP="00BD13AB">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0</w:t>
            </w:r>
          </w:p>
        </w:tc>
        <w:tc>
          <w:tcPr>
            <w:tcW w:w="1620" w:type="dxa"/>
            <w:shd w:val="clear" w:color="auto" w:fill="auto"/>
          </w:tcPr>
          <w:p w14:paraId="269030B0" w14:textId="77777777" w:rsidR="00BD13AB" w:rsidRPr="00D95EC3" w:rsidRDefault="00BD13AB" w:rsidP="00BD13AB">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0</w:t>
            </w:r>
          </w:p>
        </w:tc>
      </w:tr>
      <w:tr w:rsidR="00BD13AB" w:rsidRPr="00D95EC3" w14:paraId="3F4BA967" w14:textId="77777777" w:rsidTr="00BD13AB">
        <w:trPr>
          <w:jc w:val="center"/>
        </w:trPr>
        <w:tc>
          <w:tcPr>
            <w:tcW w:w="2678" w:type="dxa"/>
            <w:shd w:val="clear" w:color="auto" w:fill="auto"/>
          </w:tcPr>
          <w:p w14:paraId="546C55A3" w14:textId="77777777" w:rsidR="00BD13AB" w:rsidRPr="00D95EC3" w:rsidRDefault="00BD13AB" w:rsidP="00BD13AB">
            <w:pPr>
              <w:widowControl w:val="0"/>
              <w:spacing w:before="50"/>
              <w:ind w:right="-23"/>
              <w:jc w:val="both"/>
              <w:rPr>
                <w:rFonts w:cs="Arial"/>
                <w:b/>
                <w:bCs/>
                <w:color w:val="000000"/>
                <w:sz w:val="22"/>
                <w:szCs w:val="22"/>
                <w:lang w:eastAsia="en-GB"/>
              </w:rPr>
            </w:pPr>
            <w:r w:rsidRPr="00D95EC3">
              <w:rPr>
                <w:rFonts w:cs="Arial"/>
                <w:bCs/>
                <w:color w:val="000000"/>
                <w:sz w:val="22"/>
                <w:szCs w:val="22"/>
                <w:lang w:eastAsia="en-GB"/>
              </w:rPr>
              <w:t>On-going cost</w:t>
            </w:r>
          </w:p>
        </w:tc>
        <w:tc>
          <w:tcPr>
            <w:tcW w:w="1535" w:type="dxa"/>
            <w:shd w:val="clear" w:color="auto" w:fill="auto"/>
          </w:tcPr>
          <w:p w14:paraId="5B1E3BD5" w14:textId="77777777" w:rsidR="00BD13AB" w:rsidRPr="00D95EC3" w:rsidRDefault="00BD13AB" w:rsidP="00BD13AB">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0</w:t>
            </w:r>
          </w:p>
        </w:tc>
        <w:tc>
          <w:tcPr>
            <w:tcW w:w="1557" w:type="dxa"/>
            <w:shd w:val="clear" w:color="auto" w:fill="auto"/>
          </w:tcPr>
          <w:p w14:paraId="31EA509E" w14:textId="77777777" w:rsidR="00BD13AB" w:rsidRPr="00D95EC3" w:rsidRDefault="00BD13AB" w:rsidP="00BD13AB">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0</w:t>
            </w:r>
          </w:p>
        </w:tc>
        <w:tc>
          <w:tcPr>
            <w:tcW w:w="1620" w:type="dxa"/>
            <w:shd w:val="clear" w:color="auto" w:fill="auto"/>
          </w:tcPr>
          <w:p w14:paraId="05238901" w14:textId="77777777" w:rsidR="00BD13AB" w:rsidRPr="00D95EC3" w:rsidRDefault="00BD13AB" w:rsidP="00BD13AB">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0</w:t>
            </w:r>
          </w:p>
        </w:tc>
      </w:tr>
      <w:tr w:rsidR="00BD13AB" w:rsidRPr="00D95EC3" w14:paraId="6C78BFDA" w14:textId="77777777" w:rsidTr="00BD13AB">
        <w:trPr>
          <w:jc w:val="center"/>
        </w:trPr>
        <w:tc>
          <w:tcPr>
            <w:tcW w:w="2678" w:type="dxa"/>
            <w:shd w:val="clear" w:color="auto" w:fill="auto"/>
          </w:tcPr>
          <w:p w14:paraId="54AEBD8B" w14:textId="77777777" w:rsidR="00BD13AB" w:rsidRPr="00D95EC3" w:rsidRDefault="00BD13AB" w:rsidP="00BD13AB">
            <w:pPr>
              <w:widowControl w:val="0"/>
              <w:spacing w:before="50"/>
              <w:ind w:right="-23"/>
              <w:jc w:val="both"/>
              <w:rPr>
                <w:rFonts w:cs="Arial"/>
                <w:b/>
                <w:bCs/>
                <w:color w:val="000000"/>
                <w:sz w:val="22"/>
                <w:szCs w:val="22"/>
                <w:lang w:eastAsia="en-GB"/>
              </w:rPr>
            </w:pPr>
            <w:r w:rsidRPr="00D95EC3">
              <w:rPr>
                <w:rFonts w:cs="Arial"/>
                <w:b/>
                <w:bCs/>
                <w:color w:val="000000"/>
                <w:sz w:val="22"/>
                <w:szCs w:val="22"/>
                <w:lang w:eastAsia="en-GB"/>
              </w:rPr>
              <w:t>Present value over 10 years [Cost]</w:t>
            </w:r>
          </w:p>
        </w:tc>
        <w:tc>
          <w:tcPr>
            <w:tcW w:w="1535" w:type="dxa"/>
            <w:shd w:val="clear" w:color="auto" w:fill="auto"/>
          </w:tcPr>
          <w:p w14:paraId="4EAA5144" w14:textId="77777777" w:rsidR="00BD13AB" w:rsidRPr="00D95EC3" w:rsidRDefault="00BD13AB" w:rsidP="00BD13AB">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0</w:t>
            </w:r>
          </w:p>
        </w:tc>
        <w:tc>
          <w:tcPr>
            <w:tcW w:w="1557" w:type="dxa"/>
            <w:shd w:val="clear" w:color="auto" w:fill="auto"/>
          </w:tcPr>
          <w:p w14:paraId="76FC7A63" w14:textId="77777777" w:rsidR="00BD13AB" w:rsidRPr="00D95EC3" w:rsidRDefault="00BD13AB" w:rsidP="00BD13AB">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0</w:t>
            </w:r>
          </w:p>
        </w:tc>
        <w:tc>
          <w:tcPr>
            <w:tcW w:w="1620" w:type="dxa"/>
            <w:shd w:val="clear" w:color="auto" w:fill="auto"/>
          </w:tcPr>
          <w:p w14:paraId="4EF01C41" w14:textId="77777777" w:rsidR="00BD13AB" w:rsidRPr="00D95EC3" w:rsidRDefault="00BD13AB" w:rsidP="00BD13AB">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0</w:t>
            </w:r>
          </w:p>
        </w:tc>
      </w:tr>
      <w:tr w:rsidR="00BD13AB" w:rsidRPr="00D95EC3" w14:paraId="273C962F" w14:textId="77777777" w:rsidTr="00BD13AB">
        <w:trPr>
          <w:jc w:val="center"/>
        </w:trPr>
        <w:tc>
          <w:tcPr>
            <w:tcW w:w="2678" w:type="dxa"/>
            <w:shd w:val="clear" w:color="auto" w:fill="auto"/>
          </w:tcPr>
          <w:p w14:paraId="6F651104" w14:textId="77777777" w:rsidR="00BD13AB" w:rsidRPr="00D95EC3" w:rsidRDefault="00BD13AB" w:rsidP="00BD13AB">
            <w:pPr>
              <w:widowControl w:val="0"/>
              <w:spacing w:before="50"/>
              <w:ind w:right="-23"/>
              <w:jc w:val="both"/>
              <w:rPr>
                <w:rFonts w:cs="Arial"/>
                <w:b/>
                <w:bCs/>
                <w:color w:val="000000"/>
                <w:sz w:val="22"/>
                <w:szCs w:val="22"/>
                <w:lang w:eastAsia="en-GB"/>
              </w:rPr>
            </w:pPr>
            <w:r w:rsidRPr="00D95EC3">
              <w:rPr>
                <w:rFonts w:cs="Arial"/>
                <w:bCs/>
                <w:color w:val="000000"/>
                <w:sz w:val="22"/>
                <w:szCs w:val="22"/>
                <w:lang w:eastAsia="en-GB"/>
              </w:rPr>
              <w:t>Transitional benefit</w:t>
            </w:r>
          </w:p>
        </w:tc>
        <w:tc>
          <w:tcPr>
            <w:tcW w:w="1535" w:type="dxa"/>
            <w:shd w:val="clear" w:color="auto" w:fill="auto"/>
          </w:tcPr>
          <w:p w14:paraId="134ACC5A" w14:textId="77777777" w:rsidR="00BD13AB" w:rsidRPr="00D95EC3" w:rsidRDefault="00BD13AB" w:rsidP="00BD13AB">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0</w:t>
            </w:r>
          </w:p>
        </w:tc>
        <w:tc>
          <w:tcPr>
            <w:tcW w:w="1557" w:type="dxa"/>
            <w:shd w:val="clear" w:color="auto" w:fill="auto"/>
          </w:tcPr>
          <w:p w14:paraId="378E62F3" w14:textId="77777777" w:rsidR="00BD13AB" w:rsidRPr="00D95EC3" w:rsidRDefault="00BD13AB" w:rsidP="00BD13AB">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0</w:t>
            </w:r>
          </w:p>
        </w:tc>
        <w:tc>
          <w:tcPr>
            <w:tcW w:w="1620" w:type="dxa"/>
            <w:shd w:val="clear" w:color="auto" w:fill="auto"/>
          </w:tcPr>
          <w:p w14:paraId="6C76DE57" w14:textId="77777777" w:rsidR="00BD13AB" w:rsidRPr="00D95EC3" w:rsidRDefault="00BD13AB" w:rsidP="00BD13AB">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0</w:t>
            </w:r>
          </w:p>
        </w:tc>
      </w:tr>
      <w:tr w:rsidR="00BD13AB" w:rsidRPr="00D95EC3" w14:paraId="1D5C3103" w14:textId="77777777" w:rsidTr="00BD13AB">
        <w:trPr>
          <w:jc w:val="center"/>
        </w:trPr>
        <w:tc>
          <w:tcPr>
            <w:tcW w:w="2678" w:type="dxa"/>
            <w:shd w:val="clear" w:color="auto" w:fill="auto"/>
          </w:tcPr>
          <w:p w14:paraId="5A5A562D" w14:textId="77777777" w:rsidR="00BD13AB" w:rsidRPr="00D95EC3" w:rsidRDefault="00BD13AB" w:rsidP="00BD13AB">
            <w:pPr>
              <w:widowControl w:val="0"/>
              <w:spacing w:before="50"/>
              <w:ind w:right="-23"/>
              <w:jc w:val="both"/>
              <w:rPr>
                <w:rFonts w:cs="Arial"/>
                <w:b/>
                <w:bCs/>
                <w:color w:val="000000"/>
                <w:sz w:val="22"/>
                <w:szCs w:val="22"/>
                <w:lang w:eastAsia="en-GB"/>
              </w:rPr>
            </w:pPr>
            <w:r w:rsidRPr="00D95EC3">
              <w:rPr>
                <w:rFonts w:cs="Arial"/>
                <w:bCs/>
                <w:color w:val="000000"/>
                <w:sz w:val="22"/>
                <w:szCs w:val="22"/>
                <w:lang w:eastAsia="en-GB"/>
              </w:rPr>
              <w:t>On-going benefit</w:t>
            </w:r>
          </w:p>
        </w:tc>
        <w:tc>
          <w:tcPr>
            <w:tcW w:w="1535" w:type="dxa"/>
            <w:shd w:val="clear" w:color="auto" w:fill="auto"/>
          </w:tcPr>
          <w:p w14:paraId="56A8D2AA" w14:textId="5455828B" w:rsidR="00BD13AB" w:rsidRPr="00D95EC3" w:rsidRDefault="00BD13AB" w:rsidP="00BD13AB">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w:t>
            </w:r>
            <w:r>
              <w:rPr>
                <w:rFonts w:cs="Arial"/>
                <w:bCs/>
                <w:color w:val="000000"/>
                <w:sz w:val="22"/>
                <w:szCs w:val="22"/>
                <w:lang w:eastAsia="en-GB"/>
              </w:rPr>
              <w:t>1.</w:t>
            </w:r>
            <w:r w:rsidR="00DC0DDC">
              <w:rPr>
                <w:rFonts w:cs="Arial"/>
                <w:bCs/>
                <w:color w:val="000000"/>
                <w:sz w:val="22"/>
                <w:szCs w:val="22"/>
                <w:lang w:eastAsia="en-GB"/>
              </w:rPr>
              <w:t>18</w:t>
            </w:r>
          </w:p>
        </w:tc>
        <w:tc>
          <w:tcPr>
            <w:tcW w:w="1557" w:type="dxa"/>
            <w:shd w:val="clear" w:color="auto" w:fill="auto"/>
          </w:tcPr>
          <w:p w14:paraId="25A6A731" w14:textId="6F7DF239" w:rsidR="00BD13AB" w:rsidRPr="00D95EC3" w:rsidRDefault="00BD13AB" w:rsidP="00BD13AB">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w:t>
            </w:r>
            <w:r>
              <w:rPr>
                <w:rFonts w:cs="Arial"/>
                <w:bCs/>
                <w:color w:val="000000"/>
                <w:sz w:val="22"/>
                <w:szCs w:val="22"/>
                <w:lang w:eastAsia="en-GB"/>
              </w:rPr>
              <w:t>1.6</w:t>
            </w:r>
            <w:r w:rsidR="00DC0DDC">
              <w:rPr>
                <w:rFonts w:cs="Arial"/>
                <w:bCs/>
                <w:color w:val="000000"/>
                <w:sz w:val="22"/>
                <w:szCs w:val="22"/>
                <w:lang w:eastAsia="en-GB"/>
              </w:rPr>
              <w:t>4</w:t>
            </w:r>
          </w:p>
        </w:tc>
        <w:tc>
          <w:tcPr>
            <w:tcW w:w="1620" w:type="dxa"/>
            <w:shd w:val="clear" w:color="auto" w:fill="auto"/>
          </w:tcPr>
          <w:p w14:paraId="0568B7B4" w14:textId="36B0101E" w:rsidR="00BD13AB" w:rsidRPr="00D95EC3" w:rsidRDefault="00BD13AB" w:rsidP="00BD13AB">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w:t>
            </w:r>
            <w:r>
              <w:rPr>
                <w:rFonts w:cs="Arial"/>
                <w:bCs/>
                <w:color w:val="000000"/>
                <w:sz w:val="22"/>
                <w:szCs w:val="22"/>
                <w:lang w:eastAsia="en-GB"/>
              </w:rPr>
              <w:t>3.</w:t>
            </w:r>
            <w:r w:rsidR="00DC0DDC">
              <w:rPr>
                <w:rFonts w:cs="Arial"/>
                <w:bCs/>
                <w:color w:val="000000"/>
                <w:sz w:val="22"/>
                <w:szCs w:val="22"/>
                <w:lang w:eastAsia="en-GB"/>
              </w:rPr>
              <w:t>62</w:t>
            </w:r>
          </w:p>
        </w:tc>
      </w:tr>
      <w:tr w:rsidR="00BD13AB" w:rsidRPr="00D95EC3" w14:paraId="1EDA3202" w14:textId="77777777" w:rsidTr="00BD13AB">
        <w:trPr>
          <w:jc w:val="center"/>
        </w:trPr>
        <w:tc>
          <w:tcPr>
            <w:tcW w:w="2678" w:type="dxa"/>
            <w:shd w:val="clear" w:color="auto" w:fill="auto"/>
          </w:tcPr>
          <w:p w14:paraId="74D0F18A" w14:textId="77777777" w:rsidR="00BD13AB" w:rsidRPr="00D95EC3" w:rsidRDefault="00BD13AB" w:rsidP="00BD13AB">
            <w:pPr>
              <w:widowControl w:val="0"/>
              <w:spacing w:before="50"/>
              <w:ind w:right="-23"/>
              <w:jc w:val="both"/>
              <w:rPr>
                <w:rFonts w:cs="Arial"/>
                <w:b/>
                <w:bCs/>
                <w:color w:val="000000"/>
                <w:sz w:val="22"/>
                <w:szCs w:val="22"/>
                <w:lang w:eastAsia="en-GB"/>
              </w:rPr>
            </w:pPr>
            <w:r w:rsidRPr="00D95EC3">
              <w:rPr>
                <w:rFonts w:cs="Arial"/>
                <w:b/>
                <w:bCs/>
                <w:color w:val="000000"/>
                <w:sz w:val="22"/>
                <w:szCs w:val="22"/>
                <w:lang w:eastAsia="en-GB"/>
              </w:rPr>
              <w:t>Present value over 10 years [Benefit]</w:t>
            </w:r>
          </w:p>
        </w:tc>
        <w:tc>
          <w:tcPr>
            <w:tcW w:w="1535" w:type="dxa"/>
            <w:shd w:val="clear" w:color="auto" w:fill="auto"/>
          </w:tcPr>
          <w:p w14:paraId="0ECF36D8" w14:textId="0FD87620" w:rsidR="00BD13AB" w:rsidRPr="00D95EC3" w:rsidRDefault="00BD13AB" w:rsidP="00BD13AB">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w:t>
            </w:r>
            <w:r w:rsidR="00DC0DDC">
              <w:rPr>
                <w:rFonts w:cs="Arial"/>
                <w:bCs/>
                <w:color w:val="000000"/>
                <w:sz w:val="22"/>
                <w:szCs w:val="22"/>
                <w:lang w:eastAsia="en-GB"/>
              </w:rPr>
              <w:t>9.81</w:t>
            </w:r>
          </w:p>
        </w:tc>
        <w:tc>
          <w:tcPr>
            <w:tcW w:w="1557" w:type="dxa"/>
            <w:shd w:val="clear" w:color="auto" w:fill="auto"/>
          </w:tcPr>
          <w:p w14:paraId="3E77ABC0" w14:textId="1028F09D" w:rsidR="00BD13AB" w:rsidRPr="00D95EC3" w:rsidRDefault="00BD13AB" w:rsidP="00BD13AB">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w:t>
            </w:r>
            <w:r>
              <w:rPr>
                <w:rFonts w:cs="Arial"/>
                <w:bCs/>
                <w:color w:val="000000"/>
                <w:sz w:val="22"/>
                <w:szCs w:val="22"/>
                <w:lang w:eastAsia="en-GB"/>
              </w:rPr>
              <w:t>1</w:t>
            </w:r>
            <w:r w:rsidR="00DC0DDC">
              <w:rPr>
                <w:rFonts w:cs="Arial"/>
                <w:bCs/>
                <w:color w:val="000000"/>
                <w:sz w:val="22"/>
                <w:szCs w:val="22"/>
                <w:lang w:eastAsia="en-GB"/>
              </w:rPr>
              <w:t>3.66</w:t>
            </w:r>
          </w:p>
        </w:tc>
        <w:tc>
          <w:tcPr>
            <w:tcW w:w="1620" w:type="dxa"/>
            <w:shd w:val="clear" w:color="auto" w:fill="auto"/>
          </w:tcPr>
          <w:p w14:paraId="1004AFD5" w14:textId="5311600D" w:rsidR="00BD13AB" w:rsidRPr="00D95EC3" w:rsidRDefault="00BD13AB" w:rsidP="00BD13AB">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w:t>
            </w:r>
            <w:r>
              <w:rPr>
                <w:rFonts w:cs="Arial"/>
                <w:bCs/>
                <w:color w:val="000000"/>
                <w:sz w:val="22"/>
                <w:szCs w:val="22"/>
                <w:lang w:eastAsia="en-GB"/>
              </w:rPr>
              <w:t>30.</w:t>
            </w:r>
            <w:r w:rsidR="00DC0DDC">
              <w:rPr>
                <w:rFonts w:cs="Arial"/>
                <w:bCs/>
                <w:color w:val="000000"/>
                <w:sz w:val="22"/>
                <w:szCs w:val="22"/>
                <w:lang w:eastAsia="en-GB"/>
              </w:rPr>
              <w:t>19</w:t>
            </w:r>
          </w:p>
        </w:tc>
      </w:tr>
      <w:tr w:rsidR="00BD13AB" w:rsidRPr="00D95EC3" w14:paraId="38A5364E" w14:textId="77777777" w:rsidTr="00BD13AB">
        <w:trPr>
          <w:jc w:val="center"/>
        </w:trPr>
        <w:tc>
          <w:tcPr>
            <w:tcW w:w="2678" w:type="dxa"/>
            <w:shd w:val="clear" w:color="auto" w:fill="auto"/>
          </w:tcPr>
          <w:p w14:paraId="33BD2FF9" w14:textId="77777777" w:rsidR="00BD13AB" w:rsidRPr="00D95EC3" w:rsidRDefault="00BD13AB" w:rsidP="00BD13AB">
            <w:pPr>
              <w:widowControl w:val="0"/>
              <w:spacing w:before="50"/>
              <w:ind w:right="-23"/>
              <w:jc w:val="both"/>
              <w:rPr>
                <w:rFonts w:cs="Arial"/>
                <w:b/>
                <w:bCs/>
                <w:color w:val="000000"/>
                <w:sz w:val="22"/>
                <w:szCs w:val="22"/>
                <w:lang w:eastAsia="en-GB"/>
              </w:rPr>
            </w:pPr>
            <w:r w:rsidRPr="00D95EC3">
              <w:rPr>
                <w:rFonts w:cs="Arial"/>
                <w:b/>
                <w:bCs/>
                <w:color w:val="000000"/>
                <w:sz w:val="22"/>
                <w:szCs w:val="22"/>
                <w:lang w:eastAsia="en-GB"/>
              </w:rPr>
              <w:t>Net Present value</w:t>
            </w:r>
          </w:p>
        </w:tc>
        <w:tc>
          <w:tcPr>
            <w:tcW w:w="1535" w:type="dxa"/>
            <w:shd w:val="clear" w:color="auto" w:fill="auto"/>
          </w:tcPr>
          <w:p w14:paraId="7BE6349A" w14:textId="5AACF85E" w:rsidR="00BD13AB" w:rsidRPr="00D95EC3" w:rsidRDefault="00BD13AB" w:rsidP="00BD13AB">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w:t>
            </w:r>
            <w:r w:rsidR="00DC0DDC">
              <w:rPr>
                <w:rFonts w:cs="Arial"/>
                <w:bCs/>
                <w:color w:val="000000"/>
                <w:sz w:val="22"/>
                <w:szCs w:val="22"/>
                <w:lang w:eastAsia="en-GB"/>
              </w:rPr>
              <w:t>9.81</w:t>
            </w:r>
          </w:p>
        </w:tc>
        <w:tc>
          <w:tcPr>
            <w:tcW w:w="1557" w:type="dxa"/>
            <w:shd w:val="clear" w:color="auto" w:fill="auto"/>
          </w:tcPr>
          <w:p w14:paraId="497CED48" w14:textId="12715894" w:rsidR="00BD13AB" w:rsidRPr="00D95EC3" w:rsidRDefault="00BD13AB" w:rsidP="00BD13AB">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w:t>
            </w:r>
            <w:r>
              <w:rPr>
                <w:rFonts w:cs="Arial"/>
                <w:bCs/>
                <w:color w:val="000000"/>
                <w:sz w:val="22"/>
                <w:szCs w:val="22"/>
                <w:lang w:eastAsia="en-GB"/>
              </w:rPr>
              <w:t>1</w:t>
            </w:r>
            <w:r w:rsidR="00DC0DDC">
              <w:rPr>
                <w:rFonts w:cs="Arial"/>
                <w:bCs/>
                <w:color w:val="000000"/>
                <w:sz w:val="22"/>
                <w:szCs w:val="22"/>
                <w:lang w:eastAsia="en-GB"/>
              </w:rPr>
              <w:t>3.66</w:t>
            </w:r>
          </w:p>
        </w:tc>
        <w:tc>
          <w:tcPr>
            <w:tcW w:w="1620" w:type="dxa"/>
            <w:shd w:val="clear" w:color="auto" w:fill="auto"/>
          </w:tcPr>
          <w:p w14:paraId="58A7CE61" w14:textId="7523B0EF" w:rsidR="00BD13AB" w:rsidRPr="00D95EC3" w:rsidRDefault="00BD13AB" w:rsidP="00BD13AB">
            <w:pPr>
              <w:widowControl w:val="0"/>
              <w:spacing w:before="50"/>
              <w:ind w:right="-23"/>
              <w:jc w:val="both"/>
              <w:rPr>
                <w:rFonts w:cs="Arial"/>
                <w:bCs/>
                <w:color w:val="000000"/>
                <w:sz w:val="22"/>
                <w:szCs w:val="22"/>
                <w:lang w:eastAsia="en-GB"/>
              </w:rPr>
            </w:pPr>
            <w:r w:rsidRPr="00D95EC3">
              <w:rPr>
                <w:rFonts w:cs="Arial"/>
                <w:bCs/>
                <w:color w:val="000000"/>
                <w:sz w:val="22"/>
                <w:szCs w:val="22"/>
                <w:lang w:eastAsia="en-GB"/>
              </w:rPr>
              <w:t>£</w:t>
            </w:r>
            <w:r>
              <w:rPr>
                <w:rFonts w:cs="Arial"/>
                <w:bCs/>
                <w:color w:val="000000"/>
                <w:sz w:val="22"/>
                <w:szCs w:val="22"/>
                <w:lang w:eastAsia="en-GB"/>
              </w:rPr>
              <w:t>30.</w:t>
            </w:r>
            <w:r w:rsidR="00DC0DDC">
              <w:rPr>
                <w:rFonts w:cs="Arial"/>
                <w:bCs/>
                <w:color w:val="000000"/>
                <w:sz w:val="22"/>
                <w:szCs w:val="22"/>
                <w:lang w:eastAsia="en-GB"/>
              </w:rPr>
              <w:t>19</w:t>
            </w:r>
          </w:p>
        </w:tc>
      </w:tr>
    </w:tbl>
    <w:p w14:paraId="35212AB9" w14:textId="77777777" w:rsidR="00D95EC3" w:rsidRPr="00D95EC3" w:rsidRDefault="00D95EC3" w:rsidP="00D95EC3">
      <w:pPr>
        <w:spacing w:after="120"/>
        <w:ind w:left="720"/>
        <w:rPr>
          <w:rFonts w:cs="Arial"/>
          <w:bCs/>
          <w:color w:val="000000"/>
          <w:sz w:val="22"/>
          <w:szCs w:val="22"/>
          <w:lang w:eastAsia="en-GB"/>
        </w:rPr>
      </w:pPr>
    </w:p>
    <w:p w14:paraId="5470D39F" w14:textId="77777777" w:rsidR="00D95EC3" w:rsidRPr="00D95EC3" w:rsidRDefault="00D95EC3" w:rsidP="00D95EC3">
      <w:pPr>
        <w:spacing w:after="120"/>
        <w:ind w:left="284"/>
        <w:rPr>
          <w:rFonts w:cs="Arial"/>
          <w:bCs/>
          <w:color w:val="000000"/>
          <w:sz w:val="22"/>
          <w:szCs w:val="22"/>
          <w:lang w:eastAsia="en-GB"/>
        </w:rPr>
      </w:pPr>
      <w:r w:rsidRPr="00D95EC3">
        <w:rPr>
          <w:rFonts w:cs="Arial"/>
          <w:bCs/>
          <w:color w:val="000000"/>
          <w:sz w:val="22"/>
          <w:szCs w:val="22"/>
          <w:lang w:eastAsia="en-GB"/>
        </w:rPr>
        <w:t xml:space="preserve"> </w:t>
      </w:r>
      <w:r w:rsidRPr="00D95EC3">
        <w:rPr>
          <w:rFonts w:cs="Arial"/>
          <w:bCs/>
          <w:color w:val="000000"/>
          <w:sz w:val="22"/>
          <w:szCs w:val="22"/>
          <w:lang w:eastAsia="en-GB"/>
        </w:rPr>
        <w:tab/>
      </w:r>
    </w:p>
    <w:p w14:paraId="0773617E" w14:textId="77777777" w:rsidR="00D95EC3" w:rsidRPr="00D95EC3" w:rsidRDefault="00D95EC3" w:rsidP="00D95EC3">
      <w:pPr>
        <w:spacing w:after="120"/>
        <w:rPr>
          <w:rFonts w:cs="Arial"/>
          <w:bCs/>
          <w:color w:val="000000"/>
          <w:sz w:val="22"/>
          <w:szCs w:val="22"/>
          <w:lang w:eastAsia="en-GB"/>
        </w:rPr>
      </w:pPr>
      <w:r w:rsidRPr="00D95EC3">
        <w:rPr>
          <w:rFonts w:cs="Arial"/>
          <w:bCs/>
          <w:color w:val="000000"/>
          <w:sz w:val="22"/>
          <w:szCs w:val="22"/>
          <w:lang w:eastAsia="en-GB"/>
        </w:rPr>
        <w:t xml:space="preserve"> </w:t>
      </w:r>
    </w:p>
    <w:p w14:paraId="706FD35F" w14:textId="77777777" w:rsidR="001F5DD9" w:rsidRDefault="006B3C41" w:rsidP="00D95EC3">
      <w:pPr>
        <w:pStyle w:val="Heading1"/>
        <w:spacing w:before="0"/>
      </w:pPr>
      <w:r>
        <w:t xml:space="preserve"> </w:t>
      </w:r>
    </w:p>
    <w:sectPr w:rsidR="001F5DD9" w:rsidSect="00807DB6">
      <w:headerReference w:type="even" r:id="rId13"/>
      <w:footerReference w:type="default" r:id="rId14"/>
      <w:footnotePr>
        <w:numRestart w:val="eachSect"/>
      </w:footnotePr>
      <w:pgSz w:w="11907" w:h="16840" w:code="9"/>
      <w:pgMar w:top="680" w:right="851" w:bottom="680" w:left="851" w:header="284"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EAEC3" w14:textId="77777777" w:rsidR="00526BDB" w:rsidRDefault="00526BDB">
      <w:r>
        <w:separator/>
      </w:r>
    </w:p>
  </w:endnote>
  <w:endnote w:type="continuationSeparator" w:id="0">
    <w:p w14:paraId="38D1A981" w14:textId="77777777" w:rsidR="00526BDB" w:rsidRDefault="00526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MT">
    <w:altName w:val="MS Minch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92CC8" w14:textId="27D8BA91" w:rsidR="00526BDB" w:rsidRPr="00EB43FD" w:rsidRDefault="00526BDB" w:rsidP="005A3880">
    <w:pPr>
      <w:pStyle w:val="Footer"/>
    </w:pPr>
    <w:r w:rsidRPr="00EB43FD">
      <w:rPr>
        <w:rStyle w:val="PageNumber"/>
        <w:rFonts w:eastAsia="SimSun"/>
        <w:b w:val="0"/>
        <w:szCs w:val="18"/>
      </w:rPr>
      <w:fldChar w:fldCharType="begin"/>
    </w:r>
    <w:r w:rsidRPr="00EB43FD">
      <w:rPr>
        <w:rStyle w:val="PageNumber"/>
        <w:rFonts w:eastAsia="SimSun"/>
        <w:b w:val="0"/>
        <w:szCs w:val="18"/>
      </w:rPr>
      <w:instrText xml:space="preserve"> PAGE </w:instrText>
    </w:r>
    <w:r w:rsidRPr="00EB43FD">
      <w:rPr>
        <w:rStyle w:val="PageNumber"/>
        <w:rFonts w:eastAsia="SimSun"/>
        <w:b w:val="0"/>
        <w:szCs w:val="18"/>
      </w:rPr>
      <w:fldChar w:fldCharType="separate"/>
    </w:r>
    <w:r w:rsidR="00765259">
      <w:rPr>
        <w:rStyle w:val="PageNumber"/>
        <w:rFonts w:eastAsia="SimSun"/>
        <w:b w:val="0"/>
        <w:noProof/>
        <w:szCs w:val="18"/>
      </w:rPr>
      <w:t>1</w:t>
    </w:r>
    <w:r w:rsidRPr="00EB43FD">
      <w:rPr>
        <w:rStyle w:val="PageNumber"/>
        <w:rFonts w:eastAsia="SimSun"/>
        <w:b w:val="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5C7CB" w14:textId="2B53E6F3" w:rsidR="00526BDB" w:rsidRPr="00EB43FD" w:rsidRDefault="00526BDB"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B03AA0">
      <w:rPr>
        <w:rStyle w:val="PageNumber"/>
        <w:b w:val="0"/>
        <w:noProof/>
        <w:szCs w:val="18"/>
      </w:rPr>
      <w:t>21</w:t>
    </w:r>
    <w:r w:rsidRPr="00EB43FD">
      <w:rPr>
        <w:rStyle w:val="PageNumber"/>
        <w:b w:val="0"/>
        <w:szCs w:val="18"/>
      </w:rPr>
      <w:fldChar w:fldCharType="end"/>
    </w:r>
  </w:p>
  <w:p w14:paraId="108EB0BC" w14:textId="77777777" w:rsidR="00526BDB" w:rsidRDefault="00526BDB"/>
  <w:p w14:paraId="4D1EC4AF" w14:textId="77777777" w:rsidR="00526BDB" w:rsidRDefault="00526B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70605" w14:textId="77777777" w:rsidR="00526BDB" w:rsidRDefault="00526BDB">
      <w:r>
        <w:separator/>
      </w:r>
    </w:p>
  </w:footnote>
  <w:footnote w:type="continuationSeparator" w:id="0">
    <w:p w14:paraId="4A86D482" w14:textId="77777777" w:rsidR="00526BDB" w:rsidRDefault="00526BDB">
      <w:r>
        <w:continuationSeparator/>
      </w:r>
    </w:p>
  </w:footnote>
  <w:footnote w:id="1">
    <w:p w14:paraId="60EE9D3A" w14:textId="4DE53A1A" w:rsidR="00526BDB" w:rsidRDefault="00526BDB">
      <w:pPr>
        <w:pStyle w:val="FootnoteText"/>
      </w:pPr>
      <w:r>
        <w:rPr>
          <w:rStyle w:val="FootnoteReference"/>
        </w:rPr>
        <w:footnoteRef/>
      </w:r>
      <w:r>
        <w:t xml:space="preserve"> Monetised values are best estimates</w:t>
      </w:r>
    </w:p>
  </w:footnote>
  <w:footnote w:id="2">
    <w:p w14:paraId="0A2D9C76" w14:textId="77777777" w:rsidR="00526BDB" w:rsidRDefault="00526BDB" w:rsidP="00D95EC3">
      <w:pPr>
        <w:pStyle w:val="FootnoteText"/>
        <w:rPr>
          <w:i/>
        </w:rPr>
      </w:pPr>
      <w:r>
        <w:rPr>
          <w:rStyle w:val="FootnoteReference"/>
        </w:rPr>
        <w:footnoteRef/>
      </w:r>
      <w:r>
        <w:t xml:space="preserve"> </w:t>
      </w:r>
      <w:r>
        <w:tab/>
        <w:t>Independent Chief Inspector of Borders and Immigration</w:t>
      </w:r>
      <w:r w:rsidRPr="00AF3B7F">
        <w:rPr>
          <w:i/>
        </w:rPr>
        <w:t xml:space="preserve">, An inspection of the Home Office’s mechanisms for learning from </w:t>
      </w:r>
    </w:p>
    <w:p w14:paraId="12D816BD" w14:textId="77777777" w:rsidR="00526BDB" w:rsidRPr="00810AD3" w:rsidRDefault="00526BDB" w:rsidP="00D95EC3">
      <w:pPr>
        <w:pStyle w:val="FootnoteText"/>
        <w:ind w:firstLine="720"/>
      </w:pPr>
      <w:r w:rsidRPr="00AF3B7F">
        <w:rPr>
          <w:i/>
        </w:rPr>
        <w:t>immigration litigation</w:t>
      </w:r>
      <w:r>
        <w:rPr>
          <w:i/>
        </w:rPr>
        <w:t xml:space="preserve"> </w:t>
      </w:r>
      <w:r>
        <w:t>(2018), p 45.</w:t>
      </w:r>
    </w:p>
  </w:footnote>
  <w:footnote w:id="3">
    <w:p w14:paraId="06ED0929" w14:textId="77777777" w:rsidR="00526BDB" w:rsidRDefault="00526BDB" w:rsidP="00D95EC3">
      <w:pPr>
        <w:pStyle w:val="FootnoteText"/>
      </w:pPr>
      <w:r>
        <w:rPr>
          <w:rStyle w:val="FootnoteReference"/>
        </w:rPr>
        <w:footnoteRef/>
      </w:r>
      <w:r>
        <w:t xml:space="preserve">               Ministry of Justice, Tribunals and gender recognition statistics, Quarterly Jan- Mar 2018:                          </w:t>
      </w:r>
      <w:r w:rsidRPr="006D4440">
        <w:t>https://assets.publishing.service.gov.uk/government/uploads/system/uploads/attachment_data/file/716008/tribunal-grc-statistics-q4-201718.pdf</w:t>
      </w:r>
    </w:p>
  </w:footnote>
  <w:footnote w:id="4">
    <w:p w14:paraId="4E851BB9" w14:textId="77777777" w:rsidR="00526BDB" w:rsidRDefault="00526BDB" w:rsidP="00D95EC3">
      <w:pPr>
        <w:pStyle w:val="FootnoteText"/>
      </w:pPr>
      <w:r>
        <w:rPr>
          <w:rStyle w:val="FootnoteReference"/>
        </w:rPr>
        <w:footnoteRef/>
      </w:r>
      <w:r>
        <w:t xml:space="preserve"> </w:t>
      </w:r>
      <w:r>
        <w:tab/>
      </w:r>
      <w:r w:rsidRPr="0024383D">
        <w:rPr>
          <w:i/>
        </w:rPr>
        <w:t>Edgehill v Secretary of State for the Home Department</w:t>
      </w:r>
      <w:r w:rsidRPr="00584ECA">
        <w:t xml:space="preserve"> </w:t>
      </w:r>
      <w:r w:rsidRPr="0024383D">
        <w:t>[2014] EWCA Civ 402</w:t>
      </w:r>
      <w:r>
        <w:t>.</w:t>
      </w:r>
    </w:p>
  </w:footnote>
  <w:footnote w:id="5">
    <w:p w14:paraId="63855A07" w14:textId="77777777" w:rsidR="00526BDB" w:rsidRPr="0024383D" w:rsidRDefault="00526BDB" w:rsidP="00D95EC3">
      <w:pPr>
        <w:pStyle w:val="FootnoteText"/>
      </w:pPr>
      <w:r>
        <w:rPr>
          <w:rStyle w:val="FootnoteReference"/>
        </w:rPr>
        <w:footnoteRef/>
      </w:r>
      <w:r>
        <w:t xml:space="preserve"> </w:t>
      </w:r>
      <w:r>
        <w:tab/>
      </w:r>
      <w:r w:rsidRPr="0024383D">
        <w:rPr>
          <w:i/>
        </w:rPr>
        <w:t>Haleemudeen v Secretary of State for the Home Department</w:t>
      </w:r>
      <w:r w:rsidRPr="00584ECA">
        <w:rPr>
          <w:i/>
        </w:rPr>
        <w:t xml:space="preserve"> </w:t>
      </w:r>
      <w:r w:rsidRPr="0024383D">
        <w:t>[2014] EWCA Civ 558.</w:t>
      </w:r>
    </w:p>
  </w:footnote>
  <w:footnote w:id="6">
    <w:p w14:paraId="0DDBA5DF" w14:textId="77777777" w:rsidR="00526BDB" w:rsidRDefault="00526BDB" w:rsidP="00D95EC3">
      <w:pPr>
        <w:pStyle w:val="FootnoteText"/>
      </w:pPr>
      <w:r w:rsidRPr="0024383D">
        <w:rPr>
          <w:rStyle w:val="FootnoteReference"/>
        </w:rPr>
        <w:footnoteRef/>
      </w:r>
      <w:r w:rsidRPr="0024383D">
        <w:t xml:space="preserve"> </w:t>
      </w:r>
      <w:r w:rsidRPr="0024383D">
        <w:tab/>
      </w:r>
      <w:r w:rsidRPr="0024383D">
        <w:rPr>
          <w:i/>
        </w:rPr>
        <w:t>Singh v Secretary of State for the Home Department</w:t>
      </w:r>
      <w:r w:rsidRPr="00584ECA">
        <w:t xml:space="preserve"> </w:t>
      </w:r>
      <w:r w:rsidRPr="0024383D">
        <w:t>[2015] EWCA Civ 74.</w:t>
      </w:r>
    </w:p>
  </w:footnote>
  <w:footnote w:id="7">
    <w:p w14:paraId="3E7721FF" w14:textId="77777777" w:rsidR="00526BDB" w:rsidRDefault="00526BDB" w:rsidP="00D95EC3">
      <w:pPr>
        <w:pStyle w:val="FootnoteText"/>
      </w:pPr>
      <w:r>
        <w:rPr>
          <w:rStyle w:val="FootnoteReference"/>
        </w:rPr>
        <w:footnoteRef/>
      </w:r>
      <w:r>
        <w:t xml:space="preserve"> </w:t>
      </w:r>
      <w:r>
        <w:tab/>
        <w:t>It has been reported to us that some case workers interpret “</w:t>
      </w:r>
      <w:r w:rsidRPr="00D10309">
        <w:rPr>
          <w:iCs/>
        </w:rPr>
        <w:t>same profession</w:t>
      </w:r>
      <w:r>
        <w:t>” as meaning that the Tier 2 sponsored worker has to be</w:t>
      </w:r>
    </w:p>
    <w:p w14:paraId="7B600023" w14:textId="77777777" w:rsidR="00526BDB" w:rsidRDefault="00526BDB" w:rsidP="00D95EC3">
      <w:pPr>
        <w:pStyle w:val="FootnoteText"/>
        <w:ind w:firstLine="720"/>
      </w:pPr>
      <w:r>
        <w:t xml:space="preserve">working within the same SOC Code of Practice under which they have been sponsored. </w:t>
      </w:r>
      <w:r w:rsidRPr="00845AAD">
        <w:t>However, the modernised guidance (in</w:t>
      </w:r>
      <w:r>
        <w:t>ternal</w:t>
      </w:r>
    </w:p>
    <w:p w14:paraId="2CF22A03" w14:textId="77777777" w:rsidR="00526BDB" w:rsidRDefault="00526BDB" w:rsidP="00D95EC3">
      <w:pPr>
        <w:pStyle w:val="FootnoteText"/>
        <w:ind w:left="720"/>
      </w:pPr>
      <w:r w:rsidRPr="00845AAD">
        <w:t xml:space="preserve">guidance to caseworkers) does not place that restriction and merely repeats the </w:t>
      </w:r>
      <w:r>
        <w:t>R</w:t>
      </w:r>
      <w:r w:rsidRPr="00845AAD">
        <w:t>ules</w:t>
      </w:r>
      <w:r>
        <w:t>.</w:t>
      </w:r>
    </w:p>
  </w:footnote>
  <w:footnote w:id="8">
    <w:p w14:paraId="61429320" w14:textId="77777777" w:rsidR="00526BDB" w:rsidRDefault="00526BDB" w:rsidP="00D95EC3">
      <w:pPr>
        <w:pStyle w:val="FootnoteText"/>
      </w:pPr>
      <w:r>
        <w:rPr>
          <w:rStyle w:val="FootnoteReference"/>
        </w:rPr>
        <w:footnoteRef/>
      </w:r>
      <w:r>
        <w:t xml:space="preserve"> </w:t>
      </w:r>
      <w:r>
        <w:tab/>
        <w:t xml:space="preserve">Tier 3 visas are designed for low skilled workers filling specific labour shortages – and has not yet been bought into force. </w:t>
      </w:r>
    </w:p>
  </w:footnote>
  <w:footnote w:id="9">
    <w:p w14:paraId="52130AE4" w14:textId="77777777" w:rsidR="00526BDB" w:rsidRDefault="00526BDB" w:rsidP="00D95EC3">
      <w:pPr>
        <w:pStyle w:val="FootnoteText"/>
      </w:pPr>
      <w:r>
        <w:rPr>
          <w:rStyle w:val="FootnoteReference"/>
        </w:rPr>
        <w:footnoteRef/>
      </w:r>
      <w:r>
        <w:t xml:space="preserve"> </w:t>
      </w:r>
      <w:r>
        <w:tab/>
        <w:t xml:space="preserve">See </w:t>
      </w:r>
      <w:hyperlink r:id="rId1" w:history="1">
        <w:r w:rsidRPr="00636E9C">
          <w:rPr>
            <w:rStyle w:val="Hyperlink"/>
          </w:rPr>
          <w:t>https://gov.uk/government/publications/immigration-statistics-october-to-december-2017/summary-of-latest-statistics</w:t>
        </w:r>
      </w:hyperlink>
      <w:r>
        <w:t xml:space="preserve"> (last</w:t>
      </w:r>
    </w:p>
    <w:p w14:paraId="3F95A59E" w14:textId="77777777" w:rsidR="00526BDB" w:rsidRDefault="00526BDB" w:rsidP="00D95EC3">
      <w:pPr>
        <w:pStyle w:val="FootnoteText"/>
        <w:ind w:firstLine="720"/>
      </w:pPr>
      <w:r>
        <w:t>visited 12 March 2018), p 3.</w:t>
      </w:r>
    </w:p>
  </w:footnote>
  <w:footnote w:id="10">
    <w:p w14:paraId="4A40FA83" w14:textId="582449F5" w:rsidR="00776C18" w:rsidRDefault="0017579A" w:rsidP="00776C18">
      <w:pPr>
        <w:pStyle w:val="FootnoteText"/>
      </w:pPr>
      <w:r>
        <w:rPr>
          <w:rStyle w:val="FootnoteReference"/>
        </w:rPr>
        <w:footnoteRef/>
      </w:r>
      <w:r>
        <w:t xml:space="preserve"> </w:t>
      </w:r>
      <w:r w:rsidR="00776C18">
        <w:t xml:space="preserve">          J</w:t>
      </w:r>
      <w:r w:rsidR="00776C18" w:rsidRPr="008856A3">
        <w:t>udicial reviews are a challenge to the way in which a decision has been made, rather than</w:t>
      </w:r>
      <w:r w:rsidR="00776C18">
        <w:t xml:space="preserve"> whether the correct decision has been           </w:t>
      </w:r>
      <w:r w:rsidR="00922014">
        <w:t xml:space="preserve"> </w:t>
      </w:r>
      <w:r w:rsidR="00776C18">
        <w:t>reached.</w:t>
      </w:r>
      <w:r w:rsidR="00776C18" w:rsidRPr="002F54EA">
        <w:t xml:space="preserve"> </w:t>
      </w:r>
      <w:r w:rsidR="00776C18">
        <w:t>Appeals focus on whether the original decision-maker has applied and/or interpreted the law, including the Immigration Rules, correctly.</w:t>
      </w:r>
    </w:p>
    <w:p w14:paraId="4C95DCC6" w14:textId="35926028" w:rsidR="0017579A" w:rsidRDefault="0017579A">
      <w:pPr>
        <w:pStyle w:val="FootnoteText"/>
      </w:pPr>
    </w:p>
  </w:footnote>
  <w:footnote w:id="11">
    <w:p w14:paraId="15A74603" w14:textId="77777777" w:rsidR="00526BDB" w:rsidRDefault="00526BDB" w:rsidP="00D95EC3">
      <w:pPr>
        <w:rPr>
          <w:sz w:val="16"/>
          <w:szCs w:val="16"/>
        </w:rPr>
      </w:pPr>
      <w:r>
        <w:rPr>
          <w:rStyle w:val="FootnoteReference"/>
        </w:rPr>
        <w:footnoteRef/>
      </w:r>
      <w:r>
        <w:t xml:space="preserve"> </w:t>
      </w:r>
      <w:r>
        <w:tab/>
      </w:r>
      <w:r w:rsidRPr="003C6D2B">
        <w:rPr>
          <w:sz w:val="16"/>
          <w:szCs w:val="16"/>
        </w:rPr>
        <w:t xml:space="preserve">See </w:t>
      </w:r>
      <w:hyperlink r:id="rId2" w:history="1">
        <w:r w:rsidRPr="008935D1">
          <w:rPr>
            <w:rStyle w:val="Hyperlink"/>
            <w:sz w:val="16"/>
            <w:szCs w:val="16"/>
          </w:rPr>
          <w:t>https://www.gov.uk/government/statistics/tribunals-and-gender-recognition-certificate-statistics-quarterly-july-to-september-2018</w:t>
        </w:r>
        <w:r w:rsidRPr="008935D1" w:rsidDel="008935D1">
          <w:rPr>
            <w:rStyle w:val="Hyperlink"/>
            <w:sz w:val="16"/>
            <w:szCs w:val="16"/>
          </w:rPr>
          <w:t>7</w:t>
        </w:r>
      </w:hyperlink>
    </w:p>
    <w:p w14:paraId="4D359683" w14:textId="77777777" w:rsidR="00526BDB" w:rsidRDefault="00526BDB" w:rsidP="00D95EC3">
      <w:pPr>
        <w:ind w:firstLine="720"/>
      </w:pPr>
      <w:r>
        <w:rPr>
          <w:sz w:val="16"/>
          <w:szCs w:val="16"/>
        </w:rPr>
        <w:t>(</w:t>
      </w:r>
      <w:r w:rsidRPr="003C6D2B">
        <w:rPr>
          <w:sz w:val="16"/>
          <w:szCs w:val="16"/>
        </w:rPr>
        <w:t xml:space="preserve">last visited </w:t>
      </w:r>
      <w:r>
        <w:rPr>
          <w:sz w:val="16"/>
          <w:szCs w:val="16"/>
        </w:rPr>
        <w:t>6 December</w:t>
      </w:r>
      <w:r w:rsidRPr="003C6D2B">
        <w:rPr>
          <w:sz w:val="16"/>
          <w:szCs w:val="16"/>
        </w:rPr>
        <w:t xml:space="preserve"> 2018</w:t>
      </w:r>
      <w:r>
        <w:rPr>
          <w:sz w:val="16"/>
          <w:szCs w:val="16"/>
        </w:rPr>
        <w:t xml:space="preserve">). </w:t>
      </w:r>
      <w:r w:rsidRPr="003C6D2B">
        <w:rPr>
          <w:sz w:val="16"/>
          <w:szCs w:val="16"/>
        </w:rPr>
        <w:t>Main Tables UIA.1, UIA.2, FIA.1 and FIA.2</w:t>
      </w:r>
      <w:r>
        <w:rPr>
          <w:sz w:val="16"/>
          <w:szCs w:val="16"/>
        </w:rPr>
        <w:t>.</w:t>
      </w:r>
    </w:p>
  </w:footnote>
  <w:footnote w:id="12">
    <w:p w14:paraId="657341B3" w14:textId="3314BF5C" w:rsidR="00526BDB" w:rsidRDefault="00526BDB">
      <w:pPr>
        <w:pStyle w:val="FootnoteText"/>
      </w:pPr>
      <w:r>
        <w:rPr>
          <w:rStyle w:val="FootnoteReference"/>
        </w:rPr>
        <w:footnoteRef/>
      </w:r>
      <w:r>
        <w:t xml:space="preserve"> </w:t>
      </w:r>
      <w:r>
        <w:tab/>
        <w:t>Total receipts over the years shown include some cases, including points-based appeals, which would not be appealable if the decisions were made today.</w:t>
      </w:r>
    </w:p>
  </w:footnote>
  <w:footnote w:id="13">
    <w:p w14:paraId="489ECBAE" w14:textId="7EFE27D3" w:rsidR="00526BDB" w:rsidRDefault="00526BDB">
      <w:pPr>
        <w:pStyle w:val="FootnoteText"/>
      </w:pPr>
      <w:r>
        <w:rPr>
          <w:rStyle w:val="FootnoteReference"/>
        </w:rPr>
        <w:footnoteRef/>
      </w:r>
      <w:r>
        <w:t xml:space="preserve">              Disposals determined.</w:t>
      </w:r>
    </w:p>
  </w:footnote>
  <w:footnote w:id="14">
    <w:p w14:paraId="04790DCC" w14:textId="3F372A25" w:rsidR="00526BDB" w:rsidRDefault="00526BDB">
      <w:pPr>
        <w:pStyle w:val="FootnoteText"/>
      </w:pPr>
      <w:r>
        <w:rPr>
          <w:rStyle w:val="FootnoteReference"/>
        </w:rPr>
        <w:footnoteRef/>
      </w:r>
      <w:r>
        <w:t xml:space="preserve">              Disposals determined.</w:t>
      </w:r>
    </w:p>
  </w:footnote>
  <w:footnote w:id="15">
    <w:p w14:paraId="1BDC0CFD" w14:textId="0B010CDC" w:rsidR="00526BDB" w:rsidRDefault="00526BDB" w:rsidP="00D95EC3">
      <w:pPr>
        <w:pStyle w:val="FootnoteText"/>
      </w:pPr>
      <w:r>
        <w:rPr>
          <w:rStyle w:val="FootnoteReference"/>
        </w:rPr>
        <w:footnoteRef/>
      </w:r>
      <w:r>
        <w:t xml:space="preserve">              The three year average</w:t>
      </w:r>
      <w:r w:rsidR="006E742D">
        <w:t>, 2015/16 to 2017/18 inclusive.</w:t>
      </w:r>
      <w:r>
        <w:t xml:space="preserve"> </w:t>
      </w:r>
    </w:p>
  </w:footnote>
  <w:footnote w:id="16">
    <w:p w14:paraId="084D9C3A" w14:textId="77777777" w:rsidR="00526BDB" w:rsidRDefault="00526BDB" w:rsidP="005860D7">
      <w:pPr>
        <w:pStyle w:val="FootnoteText"/>
        <w:rPr>
          <w:rFonts w:cs="Arial"/>
        </w:rPr>
      </w:pPr>
      <w:r>
        <w:rPr>
          <w:rStyle w:val="FootnoteReference"/>
        </w:rPr>
        <w:footnoteRef/>
      </w:r>
      <w:r>
        <w:t xml:space="preserve"> </w:t>
      </w:r>
      <w:r>
        <w:tab/>
      </w:r>
      <w:r w:rsidRPr="000B7242">
        <w:rPr>
          <w:rFonts w:cs="Arial"/>
        </w:rPr>
        <w:t xml:space="preserve">Cost </w:t>
      </w:r>
      <w:r w:rsidRPr="00AF3B7F">
        <w:rPr>
          <w:rFonts w:eastAsia="ArialMT" w:cs="Arial"/>
          <w:szCs w:val="16"/>
        </w:rPr>
        <w:t>breakdown as supplied to the Law Commission by HMCTS.</w:t>
      </w:r>
      <w:r w:rsidRPr="000B7242">
        <w:rPr>
          <w:rFonts w:cs="Arial"/>
        </w:rPr>
        <w:t xml:space="preserve"> Costs cover all staffing [judiciary/administrative/clerical] as at Q3</w:t>
      </w:r>
    </w:p>
    <w:p w14:paraId="246F0A8E" w14:textId="657ACFCF" w:rsidR="00526BDB" w:rsidRPr="000B7242" w:rsidRDefault="00526BDB" w:rsidP="005860D7">
      <w:pPr>
        <w:pStyle w:val="FootnoteText"/>
        <w:ind w:firstLine="720"/>
        <w:rPr>
          <w:rFonts w:cs="Arial"/>
        </w:rPr>
      </w:pPr>
      <w:r w:rsidRPr="000B7242">
        <w:rPr>
          <w:rFonts w:cs="Arial"/>
        </w:rPr>
        <w:t>2017/18</w:t>
      </w:r>
      <w:r>
        <w:rPr>
          <w:rFonts w:cs="Arial"/>
        </w:rPr>
        <w:t>.</w:t>
      </w:r>
      <w:r w:rsidRPr="005860D7">
        <w:t xml:space="preserve"> </w:t>
      </w:r>
      <w:r>
        <w:t>The 3 hour estimate includes both hearing time and reading/writing up judgment time.</w:t>
      </w:r>
    </w:p>
  </w:footnote>
  <w:footnote w:id="17">
    <w:p w14:paraId="34D6B556" w14:textId="368FC5F1" w:rsidR="00526BDB" w:rsidRDefault="00526BDB">
      <w:pPr>
        <w:pStyle w:val="FootnoteText"/>
      </w:pPr>
      <w:r>
        <w:rPr>
          <w:rStyle w:val="FootnoteReference"/>
        </w:rPr>
        <w:footnoteRef/>
      </w:r>
      <w:r>
        <w:t xml:space="preserve">             See </w:t>
      </w:r>
      <w:hyperlink r:id="rId3" w:history="1">
        <w:r w:rsidRPr="002A0996">
          <w:rPr>
            <w:rStyle w:val="Hyperlink"/>
          </w:rPr>
          <w:t>https://www.judiciary.uk/publications/lord-chief-justices-direction-regarding-the-transfer-of-immigration-and-asylum-judicial-</w:t>
        </w:r>
      </w:hyperlink>
      <w:r>
        <w:t xml:space="preserve">        </w:t>
      </w:r>
      <w:r w:rsidRPr="009D4B49">
        <w:t>review-cases-to-the-upper-tribunal-immigration-and-asylum-chamber/</w:t>
      </w:r>
      <w:r>
        <w:t xml:space="preserve"> and the Senior Courts Act 1981, s 31A(7).</w:t>
      </w:r>
    </w:p>
  </w:footnote>
  <w:footnote w:id="18">
    <w:p w14:paraId="7A34DE6B" w14:textId="77777777" w:rsidR="00526BDB" w:rsidRDefault="00526BDB" w:rsidP="00D95EC3">
      <w:pPr>
        <w:rPr>
          <w:sz w:val="16"/>
          <w:szCs w:val="16"/>
        </w:rPr>
      </w:pPr>
      <w:r>
        <w:rPr>
          <w:rStyle w:val="FootnoteReference"/>
        </w:rPr>
        <w:footnoteRef/>
      </w:r>
      <w:r>
        <w:t xml:space="preserve"> </w:t>
      </w:r>
      <w:r>
        <w:tab/>
      </w:r>
      <w:r w:rsidRPr="00AF3B7F">
        <w:rPr>
          <w:sz w:val="16"/>
          <w:szCs w:val="16"/>
        </w:rPr>
        <w:t xml:space="preserve">See </w:t>
      </w:r>
      <w:hyperlink r:id="rId4" w:history="1">
        <w:r w:rsidRPr="00C5609C">
          <w:rPr>
            <w:rStyle w:val="Hyperlink"/>
            <w:sz w:val="16"/>
            <w:szCs w:val="16"/>
          </w:rPr>
          <w:t>https://www.gov.uk/government/statistics/tribunals-and-gender-recognition-certificate-statistics-quarterly-july-to-september-2018</w:t>
        </w:r>
        <w:r w:rsidRPr="00C5609C" w:rsidDel="00C5609C">
          <w:rPr>
            <w:rStyle w:val="Hyperlink"/>
            <w:sz w:val="16"/>
            <w:szCs w:val="16"/>
          </w:rPr>
          <w:t>7</w:t>
        </w:r>
      </w:hyperlink>
    </w:p>
    <w:p w14:paraId="5945AC4D" w14:textId="51544974" w:rsidR="00526BDB" w:rsidRDefault="00526BDB" w:rsidP="00A5230D">
      <w:pPr>
        <w:ind w:left="720"/>
      </w:pPr>
      <w:r>
        <w:rPr>
          <w:sz w:val="16"/>
          <w:szCs w:val="16"/>
        </w:rPr>
        <w:t>(</w:t>
      </w:r>
      <w:r w:rsidRPr="006756CB">
        <w:rPr>
          <w:sz w:val="16"/>
          <w:szCs w:val="16"/>
        </w:rPr>
        <w:t xml:space="preserve">last visited </w:t>
      </w:r>
      <w:r>
        <w:rPr>
          <w:sz w:val="16"/>
          <w:szCs w:val="16"/>
        </w:rPr>
        <w:t>6</w:t>
      </w:r>
      <w:r w:rsidRPr="006756CB">
        <w:rPr>
          <w:sz w:val="16"/>
          <w:szCs w:val="16"/>
        </w:rPr>
        <w:t xml:space="preserve"> </w:t>
      </w:r>
      <w:r>
        <w:rPr>
          <w:sz w:val="16"/>
          <w:szCs w:val="16"/>
        </w:rPr>
        <w:t>December</w:t>
      </w:r>
      <w:r w:rsidRPr="006756CB">
        <w:rPr>
          <w:sz w:val="16"/>
          <w:szCs w:val="16"/>
        </w:rPr>
        <w:t xml:space="preserve"> 2018</w:t>
      </w:r>
      <w:r>
        <w:rPr>
          <w:sz w:val="16"/>
          <w:szCs w:val="16"/>
        </w:rPr>
        <w:t xml:space="preserve">). </w:t>
      </w:r>
      <w:r w:rsidRPr="00AF3B7F">
        <w:rPr>
          <w:sz w:val="16"/>
          <w:szCs w:val="16"/>
        </w:rPr>
        <w:t>Main Tables UIA.1</w:t>
      </w:r>
      <w:r>
        <w:rPr>
          <w:sz w:val="16"/>
          <w:szCs w:val="16"/>
        </w:rPr>
        <w:t xml:space="preserve"> and</w:t>
      </w:r>
      <w:r w:rsidRPr="00AF3B7F">
        <w:rPr>
          <w:sz w:val="16"/>
          <w:szCs w:val="16"/>
        </w:rPr>
        <w:t xml:space="preserve"> UIA.2</w:t>
      </w:r>
      <w:r>
        <w:rPr>
          <w:sz w:val="16"/>
          <w:szCs w:val="16"/>
        </w:rPr>
        <w:t>. Disposals include judicial reviews which are withdrawn or found to be        invalid. Determinations are those where a decision is made on paper or at a hearing.</w:t>
      </w:r>
    </w:p>
  </w:footnote>
  <w:footnote w:id="19">
    <w:p w14:paraId="60EFE282" w14:textId="77777777" w:rsidR="00526BDB" w:rsidRDefault="00526BDB" w:rsidP="00D95EC3">
      <w:pPr>
        <w:pStyle w:val="FootnoteText"/>
        <w:rPr>
          <w:rFonts w:cs="Arial"/>
        </w:rPr>
      </w:pPr>
      <w:r>
        <w:rPr>
          <w:rStyle w:val="FootnoteReference"/>
        </w:rPr>
        <w:footnoteRef/>
      </w:r>
      <w:r>
        <w:t xml:space="preserve"> </w:t>
      </w:r>
      <w:r>
        <w:tab/>
      </w:r>
      <w:r w:rsidRPr="000B7242">
        <w:rPr>
          <w:rFonts w:cs="Arial"/>
        </w:rPr>
        <w:t xml:space="preserve">Cost </w:t>
      </w:r>
      <w:r w:rsidRPr="00177D9C">
        <w:rPr>
          <w:rFonts w:eastAsia="ArialMT" w:cs="Arial"/>
          <w:szCs w:val="16"/>
        </w:rPr>
        <w:t>breakdown as supplied to the Law Commission by HMCTS.</w:t>
      </w:r>
      <w:r w:rsidRPr="000B7242">
        <w:rPr>
          <w:rFonts w:cs="Arial"/>
        </w:rPr>
        <w:t xml:space="preserve"> Costs cover all staffing [judiciary/admini</w:t>
      </w:r>
      <w:r w:rsidRPr="00177D9C">
        <w:rPr>
          <w:rFonts w:cs="Arial"/>
        </w:rPr>
        <w:t>strative/clerical] as at Q3</w:t>
      </w:r>
    </w:p>
    <w:p w14:paraId="6DD17B93" w14:textId="77777777" w:rsidR="00526BDB" w:rsidRDefault="00526BDB" w:rsidP="00D95EC3">
      <w:pPr>
        <w:pStyle w:val="FootnoteText"/>
        <w:ind w:firstLine="720"/>
      </w:pPr>
      <w:r w:rsidRPr="00177D9C">
        <w:rPr>
          <w:rFonts w:cs="Arial"/>
        </w:rPr>
        <w:t>2017/18</w:t>
      </w:r>
      <w:r>
        <w:rPr>
          <w:rFonts w:cs="Arial"/>
        </w:rPr>
        <w:t xml:space="preserve">. </w:t>
      </w:r>
      <w:r>
        <w:t>Application costs include both judge hearing time and reading/writing up time, also administrative and clerking time.</w:t>
      </w:r>
    </w:p>
  </w:footnote>
  <w:footnote w:id="20">
    <w:p w14:paraId="4F563805" w14:textId="363C2DDF" w:rsidR="00526BDB" w:rsidRPr="009D4B49" w:rsidRDefault="00526BDB" w:rsidP="009D4B49">
      <w:pPr>
        <w:rPr>
          <w:rFonts w:asciiTheme="minorHAnsi" w:eastAsiaTheme="minorHAnsi" w:hAnsiTheme="minorHAnsi" w:cstheme="minorBidi"/>
          <w:sz w:val="16"/>
          <w:szCs w:val="16"/>
        </w:rPr>
      </w:pPr>
      <w:r>
        <w:rPr>
          <w:rStyle w:val="FootnoteReference"/>
        </w:rPr>
        <w:footnoteRef/>
      </w:r>
      <w:r>
        <w:t xml:space="preserve"> </w:t>
      </w:r>
      <w:r>
        <w:rPr>
          <w:rFonts w:asciiTheme="minorHAnsi" w:eastAsiaTheme="minorHAnsi" w:hAnsiTheme="minorHAnsi" w:cstheme="minorBidi"/>
          <w:sz w:val="16"/>
          <w:szCs w:val="16"/>
        </w:rPr>
        <w:t xml:space="preserve">              S</w:t>
      </w:r>
      <w:r w:rsidRPr="009D4B49">
        <w:rPr>
          <w:rFonts w:asciiTheme="minorHAnsi" w:eastAsiaTheme="minorHAnsi" w:hAnsiTheme="minorHAnsi" w:cstheme="minorBidi"/>
          <w:sz w:val="16"/>
          <w:szCs w:val="16"/>
        </w:rPr>
        <w:t xml:space="preserve">ee </w:t>
      </w:r>
      <w:hyperlink r:id="rId5" w:history="1">
        <w:r w:rsidRPr="009D4B49">
          <w:rPr>
            <w:rFonts w:asciiTheme="minorHAnsi" w:eastAsiaTheme="minorHAnsi" w:hAnsiTheme="minorHAnsi" w:cstheme="minorBidi"/>
            <w:sz w:val="16"/>
            <w:szCs w:val="16"/>
            <w:u w:val="single"/>
          </w:rPr>
          <w:t>https://www.gov.uk/government/statistics/tribunals-and-gender-recognition-certificate-statistics-quarterly-july-to-september-2018</w:t>
        </w:r>
        <w:r w:rsidRPr="009D4B49" w:rsidDel="00C5609C">
          <w:rPr>
            <w:rFonts w:asciiTheme="minorHAnsi" w:eastAsiaTheme="minorHAnsi" w:hAnsiTheme="minorHAnsi" w:cstheme="minorBidi"/>
            <w:sz w:val="16"/>
            <w:szCs w:val="16"/>
            <w:u w:val="single"/>
          </w:rPr>
          <w:t>7</w:t>
        </w:r>
      </w:hyperlink>
    </w:p>
    <w:p w14:paraId="19E6255D" w14:textId="52F3E4BC" w:rsidR="00526BDB" w:rsidRPr="004004FF" w:rsidRDefault="00526BDB" w:rsidP="004004FF">
      <w:pPr>
        <w:spacing w:after="160" w:line="259" w:lineRule="auto"/>
        <w:ind w:firstLine="720"/>
        <w:rPr>
          <w:rFonts w:asciiTheme="minorHAnsi" w:eastAsiaTheme="minorHAnsi" w:hAnsiTheme="minorHAnsi" w:cstheme="minorBidi"/>
          <w:sz w:val="22"/>
          <w:szCs w:val="22"/>
        </w:rPr>
      </w:pPr>
      <w:r w:rsidRPr="009D4B49">
        <w:rPr>
          <w:rFonts w:asciiTheme="minorHAnsi" w:eastAsiaTheme="minorHAnsi" w:hAnsiTheme="minorHAnsi" w:cstheme="minorBidi"/>
          <w:sz w:val="16"/>
          <w:szCs w:val="16"/>
        </w:rPr>
        <w:t>(last visited 6 December 2018</w:t>
      </w:r>
      <w:r>
        <w:rPr>
          <w:rFonts w:asciiTheme="minorHAnsi" w:eastAsiaTheme="minorHAnsi" w:hAnsiTheme="minorHAnsi" w:cstheme="minorBidi"/>
          <w:sz w:val="16"/>
          <w:szCs w:val="16"/>
        </w:rPr>
        <w:t>). Tables UIA.3.</w:t>
      </w:r>
    </w:p>
  </w:footnote>
  <w:footnote w:id="21">
    <w:p w14:paraId="50E26209" w14:textId="04E26491" w:rsidR="00526BDB" w:rsidRDefault="00526BDB" w:rsidP="00D95EC3">
      <w:pPr>
        <w:pStyle w:val="FootnoteText"/>
      </w:pPr>
      <w:r>
        <w:rPr>
          <w:rStyle w:val="FootnoteReference"/>
        </w:rPr>
        <w:footnoteRef/>
      </w:r>
      <w:r>
        <w:t xml:space="preserve"> </w:t>
      </w:r>
      <w:r>
        <w:tab/>
        <w:t>An inspection of the administrative review process</w:t>
      </w:r>
      <w:r w:rsidR="00922014">
        <w:t>es introduced following the</w:t>
      </w:r>
      <w:r>
        <w:t xml:space="preserve"> Immigration Act</w:t>
      </w:r>
      <w:r w:rsidR="00922014">
        <w:t xml:space="preserve"> 2014</w:t>
      </w:r>
      <w:r>
        <w:t xml:space="preserve"> (last visited 19 March</w:t>
      </w:r>
    </w:p>
    <w:p w14:paraId="17D7E0AB" w14:textId="77777777" w:rsidR="00526BDB" w:rsidRDefault="00526BDB" w:rsidP="00D95EC3">
      <w:pPr>
        <w:pStyle w:val="FootnoteText"/>
        <w:ind w:firstLine="720"/>
      </w:pPr>
      <w:r>
        <w:t>2018), p 5.</w:t>
      </w:r>
    </w:p>
  </w:footnote>
  <w:footnote w:id="22">
    <w:p w14:paraId="4FD2BB17" w14:textId="77777777" w:rsidR="00526BDB" w:rsidRDefault="00526BDB" w:rsidP="00D95EC3">
      <w:pPr>
        <w:pStyle w:val="FootnoteText"/>
      </w:pPr>
      <w:r>
        <w:rPr>
          <w:rStyle w:val="FootnoteReference"/>
        </w:rPr>
        <w:footnoteRef/>
      </w:r>
      <w:r>
        <w:t xml:space="preserve"> </w:t>
      </w:r>
      <w:r>
        <w:tab/>
        <w:t xml:space="preserve">See </w:t>
      </w:r>
      <w:hyperlink r:id="rId6" w:history="1">
        <w:r w:rsidRPr="00062AFF">
          <w:rPr>
            <w:rStyle w:val="Hyperlink"/>
          </w:rPr>
          <w:t>https://www.parliament.uk/documents/impact-assessments/IA13-24A.pdf</w:t>
        </w:r>
      </w:hyperlink>
      <w:r>
        <w:t xml:space="preserve"> (last visited 17 April 2018), p 2.</w:t>
      </w:r>
    </w:p>
  </w:footnote>
  <w:footnote w:id="23">
    <w:p w14:paraId="62603952" w14:textId="77777777" w:rsidR="00526BDB" w:rsidRDefault="00526BDB" w:rsidP="00D95EC3">
      <w:pPr>
        <w:pStyle w:val="FootnoteText"/>
        <w:rPr>
          <w:bCs/>
        </w:rPr>
      </w:pPr>
      <w:r>
        <w:rPr>
          <w:rStyle w:val="FootnoteReference"/>
        </w:rPr>
        <w:footnoteRef/>
      </w:r>
      <w:r>
        <w:t xml:space="preserve"> </w:t>
      </w:r>
      <w:r>
        <w:tab/>
      </w:r>
      <w:r w:rsidRPr="00D11BA2">
        <w:rPr>
          <w:bCs/>
        </w:rPr>
        <w:t xml:space="preserve">The </w:t>
      </w:r>
      <w:r>
        <w:rPr>
          <w:bCs/>
        </w:rPr>
        <w:t>NPV</w:t>
      </w:r>
      <w:r w:rsidRPr="00D11BA2">
        <w:rPr>
          <w:bCs/>
        </w:rPr>
        <w:t xml:space="preserve"> shows the total net value of a project over a specific time period. The value of the costs and benefits in an NPV</w:t>
      </w:r>
      <w:r>
        <w:rPr>
          <w:bCs/>
        </w:rPr>
        <w:t xml:space="preserve"> </w:t>
      </w:r>
      <w:r w:rsidRPr="00D11BA2">
        <w:rPr>
          <w:bCs/>
        </w:rPr>
        <w:t>are adjusted</w:t>
      </w:r>
    </w:p>
    <w:p w14:paraId="2083E212" w14:textId="77777777" w:rsidR="00526BDB" w:rsidRDefault="00526BDB" w:rsidP="00D95EC3">
      <w:pPr>
        <w:pStyle w:val="FootnoteText"/>
        <w:ind w:left="720"/>
      </w:pPr>
      <w:r w:rsidRPr="00D11BA2">
        <w:rPr>
          <w:bCs/>
        </w:rPr>
        <w:t>to account for inflation and the fact that we generally value benefits that are provided now more than we value the same benefits provided in the future.</w:t>
      </w:r>
    </w:p>
  </w:footnote>
  <w:footnote w:id="24">
    <w:p w14:paraId="7E8499DD" w14:textId="77777777" w:rsidR="00526BDB" w:rsidRDefault="00526BDB" w:rsidP="00D95EC3">
      <w:pPr>
        <w:pStyle w:val="FootnoteText"/>
      </w:pPr>
      <w:r>
        <w:rPr>
          <w:rStyle w:val="FootnoteReference"/>
        </w:rPr>
        <w:footnoteRef/>
      </w:r>
      <w:r>
        <w:t xml:space="preserve"> </w:t>
      </w:r>
      <w:r>
        <w:tab/>
        <w:t>Invalid applications under para 34A of the Rules.</w:t>
      </w:r>
    </w:p>
  </w:footnote>
  <w:footnote w:id="25">
    <w:p w14:paraId="400F9E82" w14:textId="77777777" w:rsidR="00526BDB" w:rsidRDefault="00526BDB" w:rsidP="00D95EC3">
      <w:pPr>
        <w:pStyle w:val="FootnoteText"/>
      </w:pPr>
      <w:r>
        <w:rPr>
          <w:rStyle w:val="FootnoteReference"/>
        </w:rPr>
        <w:footnoteRef/>
      </w:r>
      <w:r>
        <w:t xml:space="preserve"> </w:t>
      </w:r>
      <w:r>
        <w:tab/>
        <w:t>Average annual savings over 10 years.</w:t>
      </w:r>
    </w:p>
  </w:footnote>
  <w:footnote w:id="26">
    <w:p w14:paraId="4397C5A5" w14:textId="59861F9D" w:rsidR="00526BDB" w:rsidRDefault="00526BDB" w:rsidP="004004FF">
      <w:r>
        <w:rPr>
          <w:rStyle w:val="FootnoteReference"/>
        </w:rPr>
        <w:footnoteRef/>
      </w:r>
      <w:r>
        <w:t xml:space="preserve"> </w:t>
      </w:r>
      <w:r w:rsidRPr="004004FF">
        <w:rPr>
          <w:sz w:val="16"/>
          <w:szCs w:val="16"/>
        </w:rPr>
        <w:t xml:space="preserve">The permission stage covers both the paper and oral renewal stage. For simplicity and in the absence of further information we have assumed that </w:t>
      </w:r>
      <w:r>
        <w:rPr>
          <w:sz w:val="16"/>
          <w:szCs w:val="16"/>
        </w:rPr>
        <w:t xml:space="preserve">80% of </w:t>
      </w:r>
      <w:r w:rsidRPr="004004FF">
        <w:rPr>
          <w:sz w:val="16"/>
          <w:szCs w:val="16"/>
        </w:rPr>
        <w:t>judicial reviews are</w:t>
      </w:r>
      <w:r>
        <w:rPr>
          <w:sz w:val="16"/>
          <w:szCs w:val="16"/>
        </w:rPr>
        <w:t xml:space="preserve"> determined at</w:t>
      </w:r>
      <w:r w:rsidRPr="004004FF">
        <w:rPr>
          <w:sz w:val="16"/>
          <w:szCs w:val="16"/>
        </w:rPr>
        <w:t xml:space="preserve"> the permission stage</w:t>
      </w:r>
      <w:r>
        <w:rPr>
          <w:sz w:val="16"/>
          <w:szCs w:val="16"/>
        </w:rPr>
        <w:t>.</w:t>
      </w:r>
      <w:r w:rsidR="006E742D">
        <w:rPr>
          <w:sz w:val="16"/>
          <w:szCs w:val="16"/>
        </w:rPr>
        <w:t xml:space="preserve"> </w:t>
      </w:r>
      <w:r w:rsidRPr="004004FF">
        <w:rPr>
          <w:sz w:val="16"/>
          <w:szCs w:val="16"/>
        </w:rPr>
        <w:t>The 80% estimate is informed by Table UIA3 found at</w:t>
      </w:r>
      <w:r>
        <w:t xml:space="preserve"> </w:t>
      </w:r>
      <w:hyperlink r:id="rId7" w:history="1">
        <w:r w:rsidRPr="00C5609C">
          <w:rPr>
            <w:rStyle w:val="Hyperlink"/>
            <w:sz w:val="16"/>
            <w:szCs w:val="16"/>
          </w:rPr>
          <w:t>https://www.gov.uk/government/statistics/tribunals-and-gender-recognition-certificate-statistics-quarterly-july-to-september-2018</w:t>
        </w:r>
        <w:r w:rsidRPr="00C5609C" w:rsidDel="00C5609C">
          <w:rPr>
            <w:rStyle w:val="Hyperlink"/>
            <w:sz w:val="16"/>
            <w:szCs w:val="16"/>
          </w:rPr>
          <w:t>7</w:t>
        </w:r>
      </w:hyperlink>
      <w:r>
        <w:rPr>
          <w:rStyle w:val="Hyperlink"/>
          <w:sz w:val="16"/>
          <w:szCs w:val="16"/>
        </w:rPr>
        <w:t xml:space="preserve"> </w:t>
      </w:r>
      <w:r w:rsidRPr="004004FF">
        <w:rPr>
          <w:rStyle w:val="Hyperlink"/>
          <w:sz w:val="16"/>
          <w:szCs w:val="16"/>
          <w:u w:val="none"/>
        </w:rPr>
        <w:t>But note that the proportions are</w:t>
      </w:r>
      <w:r>
        <w:rPr>
          <w:rStyle w:val="Hyperlink"/>
          <w:sz w:val="16"/>
          <w:szCs w:val="16"/>
          <w:u w:val="none"/>
        </w:rPr>
        <w:t xml:space="preserve"> approximations as</w:t>
      </w:r>
      <w:r w:rsidRPr="004004FF">
        <w:rPr>
          <w:rStyle w:val="Hyperlink"/>
          <w:sz w:val="16"/>
          <w:szCs w:val="16"/>
          <w:u w:val="none"/>
        </w:rPr>
        <w:t xml:space="preserve"> some cases </w:t>
      </w:r>
      <w:r>
        <w:rPr>
          <w:rStyle w:val="Hyperlink"/>
          <w:sz w:val="16"/>
          <w:szCs w:val="16"/>
          <w:u w:val="none"/>
        </w:rPr>
        <w:t xml:space="preserve">are counted </w:t>
      </w:r>
      <w:r w:rsidRPr="004004FF">
        <w:rPr>
          <w:rStyle w:val="Hyperlink"/>
          <w:sz w:val="16"/>
          <w:szCs w:val="16"/>
          <w:u w:val="none"/>
        </w:rPr>
        <w:t xml:space="preserve">in the quarter in which they </w:t>
      </w:r>
      <w:r>
        <w:rPr>
          <w:rStyle w:val="Hyperlink"/>
          <w:sz w:val="16"/>
          <w:szCs w:val="16"/>
          <w:u w:val="none"/>
        </w:rPr>
        <w:t xml:space="preserve">did not </w:t>
      </w:r>
      <w:r w:rsidRPr="004004FF">
        <w:rPr>
          <w:rStyle w:val="Hyperlink"/>
          <w:sz w:val="16"/>
          <w:szCs w:val="16"/>
          <w:u w:val="none"/>
        </w:rPr>
        <w:t>occur</w:t>
      </w:r>
      <w:r>
        <w:rPr>
          <w:rStyle w:val="Hyperlink"/>
          <w:sz w:val="16"/>
          <w:szCs w:val="16"/>
          <w:u w:val="none"/>
        </w:rPr>
        <w:t>.</w:t>
      </w:r>
      <w:r w:rsidRPr="004004FF">
        <w:rPr>
          <w:rStyle w:val="Hyperlink"/>
          <w:sz w:val="16"/>
          <w:szCs w:val="16"/>
          <w:u w:val="none"/>
        </w:rPr>
        <w:t xml:space="preserve"> </w:t>
      </w:r>
    </w:p>
  </w:footnote>
  <w:footnote w:id="27">
    <w:p w14:paraId="3240B85F" w14:textId="77777777" w:rsidR="00526BDB" w:rsidRDefault="00526BDB" w:rsidP="00D95EC3">
      <w:pPr>
        <w:pStyle w:val="FootnoteText"/>
      </w:pPr>
      <w:r>
        <w:rPr>
          <w:rStyle w:val="FootnoteReference"/>
        </w:rPr>
        <w:footnoteRef/>
      </w:r>
      <w:r>
        <w:t xml:space="preserve"> </w:t>
      </w:r>
      <w:r>
        <w:tab/>
        <w:t>Part 8 (Family members), Appendix FM (Family members) and Appendix FM-SE (Family members – specified evidence).</w:t>
      </w:r>
    </w:p>
  </w:footnote>
  <w:footnote w:id="28">
    <w:p w14:paraId="77EDD180" w14:textId="77777777" w:rsidR="00526BDB" w:rsidRDefault="00526BDB" w:rsidP="00D95EC3">
      <w:pPr>
        <w:pStyle w:val="FootnoteText"/>
      </w:pPr>
      <w:r>
        <w:rPr>
          <w:rStyle w:val="FootnoteReference"/>
        </w:rPr>
        <w:footnoteRef/>
      </w:r>
      <w:r>
        <w:t xml:space="preserve"> Rounded to nearest £10</w:t>
      </w:r>
    </w:p>
  </w:footnote>
  <w:footnote w:id="29">
    <w:p w14:paraId="798B1628" w14:textId="77777777" w:rsidR="00526BDB" w:rsidRDefault="00526BDB" w:rsidP="00D95EC3">
      <w:pPr>
        <w:pStyle w:val="FootnoteText"/>
      </w:pPr>
      <w:r>
        <w:rPr>
          <w:rStyle w:val="FootnoteReference"/>
        </w:rPr>
        <w:footnoteRef/>
      </w:r>
      <w:r>
        <w:t xml:space="preserve"> </w:t>
      </w:r>
      <w:r>
        <w:tab/>
        <w:t>Average annual savings over 10 years.</w:t>
      </w:r>
    </w:p>
  </w:footnote>
  <w:footnote w:id="30">
    <w:p w14:paraId="67DDE3B5" w14:textId="77777777" w:rsidR="00526BDB" w:rsidRDefault="00526BDB" w:rsidP="00D95EC3">
      <w:pPr>
        <w:pStyle w:val="FootnoteText"/>
      </w:pPr>
      <w:r>
        <w:rPr>
          <w:rStyle w:val="FootnoteReference"/>
        </w:rPr>
        <w:footnoteRef/>
      </w:r>
      <w:r>
        <w:t xml:space="preserve"> </w:t>
      </w:r>
      <w:r>
        <w:tab/>
        <w:t>Average annual savings over 10 years.</w:t>
      </w:r>
    </w:p>
  </w:footnote>
  <w:footnote w:id="31">
    <w:p w14:paraId="4675753D" w14:textId="77777777" w:rsidR="00526BDB" w:rsidRDefault="00526BDB" w:rsidP="00D95EC3">
      <w:pPr>
        <w:pStyle w:val="FootnoteText"/>
      </w:pPr>
      <w:r>
        <w:rPr>
          <w:rStyle w:val="FootnoteReference"/>
        </w:rPr>
        <w:footnoteRef/>
      </w:r>
      <w:r>
        <w:t xml:space="preserve"> </w:t>
      </w:r>
      <w:r>
        <w:tab/>
        <w:t xml:space="preserve">For example, making the correct decision to </w:t>
      </w:r>
      <w:r w:rsidRPr="00FF1E44">
        <w:t>request specified documents</w:t>
      </w:r>
      <w:r>
        <w:t>.</w:t>
      </w:r>
    </w:p>
  </w:footnote>
  <w:footnote w:id="32">
    <w:p w14:paraId="777DAF6A" w14:textId="7AE79B3F" w:rsidR="00526BDB" w:rsidRDefault="00526BDB">
      <w:pPr>
        <w:pStyle w:val="FootnoteText"/>
      </w:pPr>
      <w:r>
        <w:rPr>
          <w:rStyle w:val="FootnoteReference"/>
        </w:rPr>
        <w:footnoteRef/>
      </w:r>
      <w:r>
        <w:t xml:space="preserve"> </w:t>
      </w:r>
      <w:r w:rsidR="006300EE">
        <w:t xml:space="preserve">   </w:t>
      </w:r>
      <w:r>
        <w:t>Rounding means that the total may on occasion not equal the sum of the parts</w:t>
      </w:r>
    </w:p>
  </w:footnote>
  <w:footnote w:id="33">
    <w:p w14:paraId="07C69A13" w14:textId="77777777" w:rsidR="00526BDB" w:rsidRDefault="00526BDB" w:rsidP="00C718F2">
      <w:pPr>
        <w:pStyle w:val="FootnoteText"/>
      </w:pPr>
      <w:r>
        <w:rPr>
          <w:rStyle w:val="FootnoteReference"/>
        </w:rPr>
        <w:footnoteRef/>
      </w:r>
      <w:r>
        <w:t xml:space="preserve"> </w:t>
      </w:r>
      <w:r>
        <w:tab/>
        <w:t>Average annual savings over 10 years.</w:t>
      </w:r>
    </w:p>
  </w:footnote>
  <w:footnote w:id="34">
    <w:p w14:paraId="72FD084F" w14:textId="1F7F5688" w:rsidR="00526BDB" w:rsidRDefault="00526BDB" w:rsidP="0028632E">
      <w:pPr>
        <w:pStyle w:val="FootnoteText"/>
      </w:pPr>
      <w:r>
        <w:rPr>
          <w:rStyle w:val="FootnoteReference"/>
        </w:rPr>
        <w:footnoteRef/>
      </w:r>
      <w:r>
        <w:t xml:space="preserve"> </w:t>
      </w:r>
      <w:r w:rsidR="006E742D">
        <w:t xml:space="preserve">            </w:t>
      </w:r>
      <w:r>
        <w:t>Rounded to nearest £10</w:t>
      </w:r>
    </w:p>
  </w:footnote>
  <w:footnote w:id="35">
    <w:p w14:paraId="7034A473" w14:textId="77777777" w:rsidR="00526BDB" w:rsidRDefault="00526BDB" w:rsidP="0028632E">
      <w:pPr>
        <w:pStyle w:val="FootnoteText"/>
      </w:pPr>
      <w:r>
        <w:rPr>
          <w:rStyle w:val="FootnoteReference"/>
        </w:rPr>
        <w:footnoteRef/>
      </w:r>
      <w:r>
        <w:t xml:space="preserve"> </w:t>
      </w:r>
      <w:r>
        <w:tab/>
        <w:t>Average annual savings over 10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E7A5" w14:textId="6B324A59" w:rsidR="00526BDB" w:rsidRDefault="00526BDB">
    <w:pPr>
      <w:pStyle w:val="Header"/>
    </w:pPr>
    <w:r>
      <w:fldChar w:fldCharType="begin"/>
    </w:r>
    <w:r>
      <w:instrText xml:space="preserve"> DOCPROPERTY  Classification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C08E6" w14:textId="77777777" w:rsidR="00526BDB" w:rsidRDefault="00526BDB"/>
  <w:p w14:paraId="244E32CD" w14:textId="77777777" w:rsidR="00526BDB" w:rsidRDefault="00526B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087"/>
    <w:multiLevelType w:val="hybridMultilevel"/>
    <w:tmpl w:val="1368F974"/>
    <w:lvl w:ilvl="0" w:tplc="E63E83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95516"/>
    <w:multiLevelType w:val="hybridMultilevel"/>
    <w:tmpl w:val="FDFE7C2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BA03665"/>
    <w:multiLevelType w:val="hybridMultilevel"/>
    <w:tmpl w:val="DA46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804B4"/>
    <w:multiLevelType w:val="hybridMultilevel"/>
    <w:tmpl w:val="BAC84022"/>
    <w:lvl w:ilvl="0" w:tplc="83B8C26A">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F346E7"/>
    <w:multiLevelType w:val="hybridMultilevel"/>
    <w:tmpl w:val="B0842F1E"/>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55F70E2"/>
    <w:multiLevelType w:val="multilevel"/>
    <w:tmpl w:val="7BCE1CEA"/>
    <w:lvl w:ilvl="0">
      <w:numFmt w:val="decimal"/>
      <w:isLgl/>
      <w:suff w:val="space"/>
      <w:lvlText w:val="%1"/>
      <w:lvlJc w:val="left"/>
      <w:pPr>
        <w:ind w:left="360" w:hanging="360"/>
      </w:pPr>
      <w:rPr>
        <w:rFonts w:ascii="Times New Roman" w:hAnsi="Times New Roman" w:hint="default"/>
        <w:b w:val="0"/>
        <w:i w:val="0"/>
        <w:vanish/>
        <w:sz w:val="2"/>
      </w:rPr>
    </w:lvl>
    <w:lvl w:ilvl="1">
      <w:start w:val="1"/>
      <w:numFmt w:val="decimal"/>
      <w:suff w:val="nothing"/>
      <w:lvlText w:val="Part %2"/>
      <w:lvlJc w:val="left"/>
      <w:pPr>
        <w:ind w:left="1134" w:firstLine="0"/>
      </w:pPr>
      <w:rPr>
        <w:rFonts w:hint="default"/>
      </w:rPr>
    </w:lvl>
    <w:lvl w:ilvl="2">
      <w:start w:val="1"/>
      <w:numFmt w:val="decimal"/>
      <w:isLgl/>
      <w:lvlText w:val="%2.%3"/>
      <w:lvlJc w:val="right"/>
      <w:pPr>
        <w:tabs>
          <w:tab w:val="num" w:pos="1134"/>
        </w:tabs>
        <w:ind w:left="1134" w:hanging="284"/>
      </w:pPr>
      <w:rPr>
        <w:rFonts w:hint="default"/>
      </w:rPr>
    </w:lvl>
    <w:lvl w:ilvl="3">
      <w:start w:val="1"/>
      <w:numFmt w:val="decimal"/>
      <w:lvlText w:val="(%4)"/>
      <w:lvlJc w:val="right"/>
      <w:pPr>
        <w:tabs>
          <w:tab w:val="num" w:pos="1361"/>
        </w:tabs>
        <w:ind w:left="1361" w:hanging="369"/>
      </w:pPr>
      <w:rPr>
        <w:rFonts w:hint="default"/>
      </w:rPr>
    </w:lvl>
    <w:lvl w:ilvl="4">
      <w:start w:val="1"/>
      <w:numFmt w:val="lowerLetter"/>
      <w:lvlText w:val="(%5)"/>
      <w:lvlJc w:val="right"/>
      <w:pPr>
        <w:tabs>
          <w:tab w:val="num" w:pos="2665"/>
        </w:tabs>
        <w:ind w:left="2665" w:hanging="397"/>
      </w:pPr>
      <w:rPr>
        <w:rFonts w:hint="default"/>
      </w:rPr>
    </w:lvl>
    <w:lvl w:ilvl="5">
      <w:start w:val="1"/>
      <w:numFmt w:val="lowerRoman"/>
      <w:lvlText w:val="(%6)"/>
      <w:lvlJc w:val="right"/>
      <w:pPr>
        <w:tabs>
          <w:tab w:val="num" w:pos="3345"/>
        </w:tabs>
        <w:ind w:left="3345" w:hanging="369"/>
      </w:pPr>
      <w:rPr>
        <w:rFonts w:hint="default"/>
      </w:rPr>
    </w:lvl>
    <w:lvl w:ilvl="6">
      <w:start w:val="1"/>
      <w:numFmt w:val="upperLetter"/>
      <w:lvlText w:val="(%7)"/>
      <w:lvlJc w:val="right"/>
      <w:pPr>
        <w:tabs>
          <w:tab w:val="num" w:pos="4082"/>
        </w:tabs>
        <w:ind w:left="4082" w:hanging="397"/>
      </w:pPr>
      <w:rPr>
        <w:rFonts w:hint="default"/>
      </w:rPr>
    </w:lvl>
    <w:lvl w:ilvl="7">
      <w:start w:val="1"/>
      <w:numFmt w:val="bullet"/>
      <w:lvlText w:val=""/>
      <w:lvlJc w:val="left"/>
      <w:pPr>
        <w:tabs>
          <w:tab w:val="num" w:pos="4762"/>
        </w:tabs>
        <w:ind w:left="4762" w:hanging="368"/>
      </w:pPr>
      <w:rPr>
        <w:rFonts w:ascii="Symbol" w:hAnsi="Symbol" w:hint="default"/>
      </w:rPr>
    </w:lvl>
    <w:lvl w:ilvl="8">
      <w:start w:val="1"/>
      <w:numFmt w:val="bullet"/>
      <w:lvlText w:val=""/>
      <w:lvlJc w:val="left"/>
      <w:pPr>
        <w:tabs>
          <w:tab w:val="num" w:pos="5462"/>
        </w:tabs>
        <w:ind w:left="5386" w:hanging="284"/>
      </w:pPr>
      <w:rPr>
        <w:rFonts w:ascii="Symbol" w:hAnsi="Symbol" w:hint="default"/>
        <w:sz w:val="28"/>
      </w:rPr>
    </w:lvl>
  </w:abstractNum>
  <w:abstractNum w:abstractNumId="6" w15:restartNumberingAfterBreak="0">
    <w:nsid w:val="2ACB7626"/>
    <w:multiLevelType w:val="hybridMultilevel"/>
    <w:tmpl w:val="75B8ABD0"/>
    <w:lvl w:ilvl="0" w:tplc="83B8C26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47233A65"/>
    <w:multiLevelType w:val="hybridMultilevel"/>
    <w:tmpl w:val="C3148730"/>
    <w:lvl w:ilvl="0" w:tplc="83B8C26A">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1F3018"/>
    <w:multiLevelType w:val="hybridMultilevel"/>
    <w:tmpl w:val="A43E81C8"/>
    <w:lvl w:ilvl="0" w:tplc="EFA63752">
      <w:start w:val="5"/>
      <w:numFmt w:val="decimal"/>
      <w:lvlText w:val="%1."/>
      <w:lvlJc w:val="left"/>
      <w:pPr>
        <w:ind w:left="644" w:hanging="360"/>
      </w:pPr>
      <w:rPr>
        <w:rFonts w:hint="default"/>
      </w:r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10" w15:restartNumberingAfterBreak="0">
    <w:nsid w:val="53826442"/>
    <w:multiLevelType w:val="hybridMultilevel"/>
    <w:tmpl w:val="BB16EB2C"/>
    <w:lvl w:ilvl="0" w:tplc="26247C5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5B841084"/>
    <w:multiLevelType w:val="hybridMultilevel"/>
    <w:tmpl w:val="468CFD36"/>
    <w:lvl w:ilvl="0" w:tplc="83B8C26A">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8851C2"/>
    <w:multiLevelType w:val="multilevel"/>
    <w:tmpl w:val="3626DD9A"/>
    <w:lvl w:ilvl="0">
      <w:start w:val="1"/>
      <w:numFmt w:val="decimal"/>
      <w:pStyle w:val="IARefNumber"/>
      <w:suff w:val="nothing"/>
      <w:lvlText w:val="%1"/>
      <w:lvlJc w:val="left"/>
      <w:pPr>
        <w:ind w:left="0" w:firstLine="113"/>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15:restartNumberingAfterBreak="0">
    <w:nsid w:val="7FB75C1D"/>
    <w:multiLevelType w:val="multilevel"/>
    <w:tmpl w:val="E2CC615A"/>
    <w:lvl w:ilvl="0">
      <w:start w:val="1"/>
      <w:numFmt w:val="none"/>
      <w:pStyle w:val="EBNumberRestart"/>
      <w:suff w:val="nothing"/>
      <w:lvlText w:val="%1"/>
      <w:lvlJc w:val="left"/>
      <w:pPr>
        <w:ind w:left="0" w:firstLine="0"/>
      </w:pPr>
      <w:rPr>
        <w:rFonts w:hint="default"/>
      </w:rPr>
    </w:lvl>
    <w:lvl w:ilvl="1">
      <w:start w:val="1"/>
      <w:numFmt w:val="decimal"/>
      <w:pStyle w:val="EBNumber"/>
      <w:lvlText w:val="%1%2."/>
      <w:lvlJc w:val="left"/>
      <w:pPr>
        <w:tabs>
          <w:tab w:val="num" w:pos="425"/>
        </w:tabs>
        <w:ind w:left="425" w:hanging="425"/>
      </w:pPr>
      <w:rPr>
        <w:rFonts w:hint="default"/>
      </w:rPr>
    </w:lvl>
    <w:lvl w:ilvl="2">
      <w:start w:val="1"/>
      <w:numFmt w:val="lowerLetter"/>
      <w:lvlText w:val="%1%3."/>
      <w:lvlJc w:val="left"/>
      <w:pPr>
        <w:tabs>
          <w:tab w:val="num" w:pos="851"/>
        </w:tabs>
        <w:ind w:left="851" w:hanging="426"/>
      </w:pPr>
      <w:rPr>
        <w:rFonts w:hint="default"/>
      </w:rPr>
    </w:lvl>
    <w:lvl w:ilvl="3">
      <w:start w:val="1"/>
      <w:numFmt w:val="none"/>
      <w:lvlText w:val="%1"/>
      <w:lvlJc w:val="left"/>
      <w:pPr>
        <w:tabs>
          <w:tab w:val="num" w:pos="2880"/>
        </w:tabs>
        <w:ind w:left="1728" w:hanging="648"/>
      </w:pPr>
      <w:rPr>
        <w:rFonts w:hint="default"/>
      </w:rPr>
    </w:lvl>
    <w:lvl w:ilvl="4">
      <w:start w:val="1"/>
      <w:numFmt w:val="none"/>
      <w:lvlText w:val="%1"/>
      <w:lvlJc w:val="left"/>
      <w:pPr>
        <w:tabs>
          <w:tab w:val="num" w:pos="3600"/>
        </w:tabs>
        <w:ind w:left="2232" w:hanging="792"/>
      </w:pPr>
      <w:rPr>
        <w:rFonts w:hint="default"/>
      </w:rPr>
    </w:lvl>
    <w:lvl w:ilvl="5">
      <w:start w:val="1"/>
      <w:numFmt w:val="none"/>
      <w:lvlText w:val="%1"/>
      <w:lvlJc w:val="left"/>
      <w:pPr>
        <w:tabs>
          <w:tab w:val="num" w:pos="4320"/>
        </w:tabs>
        <w:ind w:left="2736" w:hanging="936"/>
      </w:pPr>
      <w:rPr>
        <w:rFonts w:hint="default"/>
      </w:rPr>
    </w:lvl>
    <w:lvl w:ilvl="6">
      <w:start w:val="1"/>
      <w:numFmt w:val="none"/>
      <w:lvlText w:val="%1"/>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num w:numId="1">
    <w:abstractNumId w:val="12"/>
  </w:num>
  <w:num w:numId="2">
    <w:abstractNumId w:val="7"/>
  </w:num>
  <w:num w:numId="3">
    <w:abstractNumId w:val="7"/>
  </w:num>
  <w:num w:numId="4">
    <w:abstractNumId w:val="13"/>
  </w:num>
  <w:num w:numId="5">
    <w:abstractNumId w:val="8"/>
  </w:num>
  <w:num w:numId="6">
    <w:abstractNumId w:val="6"/>
  </w:num>
  <w:num w:numId="7">
    <w:abstractNumId w:val="3"/>
  </w:num>
  <w:num w:numId="8">
    <w:abstractNumId w:val="10"/>
  </w:num>
  <w:num w:numId="9">
    <w:abstractNumId w:val="5"/>
  </w:num>
  <w:num w:numId="10">
    <w:abstractNumId w:val="4"/>
  </w:num>
  <w:num w:numId="11">
    <w:abstractNumId w:val="11"/>
  </w:num>
  <w:num w:numId="12">
    <w:abstractNumId w:val="9"/>
  </w:num>
  <w:num w:numId="13">
    <w:abstractNumId w:val="1"/>
  </w:num>
  <w:num w:numId="14">
    <w:abstractNumId w:val="2"/>
  </w:num>
  <w:num w:numId="1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oNotShadeFormData/>
  <w:characterSpacingControl w:val="doNotCompress"/>
  <w:hdrShapeDefaults>
    <o:shapedefaults v:ext="edit" spidmax="3686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wDoc" w:val="Created"/>
    <w:docVar w:name="VerNumber" w:val="3.9.0"/>
  </w:docVars>
  <w:rsids>
    <w:rsidRoot w:val="00D95EC3"/>
    <w:rsid w:val="00000766"/>
    <w:rsid w:val="000019B2"/>
    <w:rsid w:val="00001E72"/>
    <w:rsid w:val="00003A70"/>
    <w:rsid w:val="0000505F"/>
    <w:rsid w:val="00005297"/>
    <w:rsid w:val="000071A5"/>
    <w:rsid w:val="000079C0"/>
    <w:rsid w:val="00010950"/>
    <w:rsid w:val="00010EE1"/>
    <w:rsid w:val="00012458"/>
    <w:rsid w:val="000142F1"/>
    <w:rsid w:val="0001460F"/>
    <w:rsid w:val="000166B7"/>
    <w:rsid w:val="00021306"/>
    <w:rsid w:val="000222F1"/>
    <w:rsid w:val="00022BE0"/>
    <w:rsid w:val="00022F52"/>
    <w:rsid w:val="00023080"/>
    <w:rsid w:val="0002370C"/>
    <w:rsid w:val="000239A7"/>
    <w:rsid w:val="00023E62"/>
    <w:rsid w:val="000251D0"/>
    <w:rsid w:val="00026555"/>
    <w:rsid w:val="00026AC0"/>
    <w:rsid w:val="0003786D"/>
    <w:rsid w:val="0004016B"/>
    <w:rsid w:val="000407D8"/>
    <w:rsid w:val="000441E3"/>
    <w:rsid w:val="00045828"/>
    <w:rsid w:val="00045BAD"/>
    <w:rsid w:val="00051403"/>
    <w:rsid w:val="00052F44"/>
    <w:rsid w:val="00056EE6"/>
    <w:rsid w:val="0006047F"/>
    <w:rsid w:val="0006053F"/>
    <w:rsid w:val="000671A2"/>
    <w:rsid w:val="00070EEB"/>
    <w:rsid w:val="00071299"/>
    <w:rsid w:val="00072272"/>
    <w:rsid w:val="0007524C"/>
    <w:rsid w:val="0007532E"/>
    <w:rsid w:val="000767AC"/>
    <w:rsid w:val="0007695E"/>
    <w:rsid w:val="00076A78"/>
    <w:rsid w:val="00076C08"/>
    <w:rsid w:val="00082659"/>
    <w:rsid w:val="00082BAC"/>
    <w:rsid w:val="000860CC"/>
    <w:rsid w:val="00086128"/>
    <w:rsid w:val="0008731F"/>
    <w:rsid w:val="00093598"/>
    <w:rsid w:val="0009381F"/>
    <w:rsid w:val="00094680"/>
    <w:rsid w:val="000956FD"/>
    <w:rsid w:val="000A36EE"/>
    <w:rsid w:val="000A5C5D"/>
    <w:rsid w:val="000A6E4B"/>
    <w:rsid w:val="000A79FC"/>
    <w:rsid w:val="000B07A1"/>
    <w:rsid w:val="000B1176"/>
    <w:rsid w:val="000B3E49"/>
    <w:rsid w:val="000C031E"/>
    <w:rsid w:val="000C165A"/>
    <w:rsid w:val="000C1D45"/>
    <w:rsid w:val="000C30D8"/>
    <w:rsid w:val="000C4589"/>
    <w:rsid w:val="000C57D5"/>
    <w:rsid w:val="000C6A87"/>
    <w:rsid w:val="000D1CB0"/>
    <w:rsid w:val="000D2198"/>
    <w:rsid w:val="000D55B5"/>
    <w:rsid w:val="000D58BD"/>
    <w:rsid w:val="000D5ED5"/>
    <w:rsid w:val="000D7F7C"/>
    <w:rsid w:val="000E3308"/>
    <w:rsid w:val="000E3FD7"/>
    <w:rsid w:val="000E452D"/>
    <w:rsid w:val="000F004E"/>
    <w:rsid w:val="000F0840"/>
    <w:rsid w:val="000F37BB"/>
    <w:rsid w:val="000F4481"/>
    <w:rsid w:val="000F57BB"/>
    <w:rsid w:val="00101961"/>
    <w:rsid w:val="00102870"/>
    <w:rsid w:val="00110396"/>
    <w:rsid w:val="001110DB"/>
    <w:rsid w:val="00115D70"/>
    <w:rsid w:val="00120113"/>
    <w:rsid w:val="001235DD"/>
    <w:rsid w:val="0012369A"/>
    <w:rsid w:val="00123FE4"/>
    <w:rsid w:val="001243CD"/>
    <w:rsid w:val="0012460B"/>
    <w:rsid w:val="00127373"/>
    <w:rsid w:val="00131CE4"/>
    <w:rsid w:val="00133A17"/>
    <w:rsid w:val="00133C58"/>
    <w:rsid w:val="001365F4"/>
    <w:rsid w:val="0014140D"/>
    <w:rsid w:val="00141B6F"/>
    <w:rsid w:val="0014336D"/>
    <w:rsid w:val="0014761F"/>
    <w:rsid w:val="001477D1"/>
    <w:rsid w:val="00150DAE"/>
    <w:rsid w:val="0015254E"/>
    <w:rsid w:val="00152C60"/>
    <w:rsid w:val="001535F3"/>
    <w:rsid w:val="00156E0C"/>
    <w:rsid w:val="00160691"/>
    <w:rsid w:val="00165113"/>
    <w:rsid w:val="001709E2"/>
    <w:rsid w:val="00174C10"/>
    <w:rsid w:val="00175447"/>
    <w:rsid w:val="0017579A"/>
    <w:rsid w:val="00182B85"/>
    <w:rsid w:val="00183038"/>
    <w:rsid w:val="00183882"/>
    <w:rsid w:val="001844B6"/>
    <w:rsid w:val="001851A3"/>
    <w:rsid w:val="001851B9"/>
    <w:rsid w:val="001855B1"/>
    <w:rsid w:val="0019021E"/>
    <w:rsid w:val="00190F9A"/>
    <w:rsid w:val="00194050"/>
    <w:rsid w:val="00194745"/>
    <w:rsid w:val="00194E96"/>
    <w:rsid w:val="001A07F1"/>
    <w:rsid w:val="001A1B7D"/>
    <w:rsid w:val="001A3B0B"/>
    <w:rsid w:val="001A4332"/>
    <w:rsid w:val="001A4432"/>
    <w:rsid w:val="001A478E"/>
    <w:rsid w:val="001A509E"/>
    <w:rsid w:val="001A6FE6"/>
    <w:rsid w:val="001A7B61"/>
    <w:rsid w:val="001A7D6D"/>
    <w:rsid w:val="001B1210"/>
    <w:rsid w:val="001B23A2"/>
    <w:rsid w:val="001B305C"/>
    <w:rsid w:val="001B34EB"/>
    <w:rsid w:val="001C0644"/>
    <w:rsid w:val="001C0B58"/>
    <w:rsid w:val="001C3363"/>
    <w:rsid w:val="001C7C39"/>
    <w:rsid w:val="001D09CC"/>
    <w:rsid w:val="001D0AF4"/>
    <w:rsid w:val="001D12D6"/>
    <w:rsid w:val="001D2096"/>
    <w:rsid w:val="001D3A43"/>
    <w:rsid w:val="001D3C11"/>
    <w:rsid w:val="001D4AA8"/>
    <w:rsid w:val="001D4D42"/>
    <w:rsid w:val="001D5EC9"/>
    <w:rsid w:val="001D6B90"/>
    <w:rsid w:val="001E152A"/>
    <w:rsid w:val="001E1DA0"/>
    <w:rsid w:val="001F4352"/>
    <w:rsid w:val="001F5423"/>
    <w:rsid w:val="001F5DD9"/>
    <w:rsid w:val="001F69E9"/>
    <w:rsid w:val="001F6D51"/>
    <w:rsid w:val="001F71C9"/>
    <w:rsid w:val="0020104C"/>
    <w:rsid w:val="0020151D"/>
    <w:rsid w:val="00201B79"/>
    <w:rsid w:val="00202E56"/>
    <w:rsid w:val="002033D6"/>
    <w:rsid w:val="00203758"/>
    <w:rsid w:val="00204AB1"/>
    <w:rsid w:val="00205E05"/>
    <w:rsid w:val="0020708B"/>
    <w:rsid w:val="00207B21"/>
    <w:rsid w:val="00207D2A"/>
    <w:rsid w:val="00211257"/>
    <w:rsid w:val="002144F0"/>
    <w:rsid w:val="00216F02"/>
    <w:rsid w:val="0021731F"/>
    <w:rsid w:val="00217CA1"/>
    <w:rsid w:val="00220F29"/>
    <w:rsid w:val="00221FAD"/>
    <w:rsid w:val="0022490F"/>
    <w:rsid w:val="00225F9C"/>
    <w:rsid w:val="002274E5"/>
    <w:rsid w:val="0022767B"/>
    <w:rsid w:val="00227EBE"/>
    <w:rsid w:val="0023355B"/>
    <w:rsid w:val="002347A2"/>
    <w:rsid w:val="00240CF3"/>
    <w:rsid w:val="00241738"/>
    <w:rsid w:val="002425C2"/>
    <w:rsid w:val="00242C41"/>
    <w:rsid w:val="002437A8"/>
    <w:rsid w:val="00246360"/>
    <w:rsid w:val="002470F6"/>
    <w:rsid w:val="00250259"/>
    <w:rsid w:val="00251ED1"/>
    <w:rsid w:val="002530A8"/>
    <w:rsid w:val="00253F4D"/>
    <w:rsid w:val="00255099"/>
    <w:rsid w:val="0026191F"/>
    <w:rsid w:val="00262437"/>
    <w:rsid w:val="00265153"/>
    <w:rsid w:val="002718D6"/>
    <w:rsid w:val="00272539"/>
    <w:rsid w:val="00272F62"/>
    <w:rsid w:val="00273A3C"/>
    <w:rsid w:val="00273E27"/>
    <w:rsid w:val="002800A3"/>
    <w:rsid w:val="00281E7E"/>
    <w:rsid w:val="00282EFA"/>
    <w:rsid w:val="002837FC"/>
    <w:rsid w:val="00284C30"/>
    <w:rsid w:val="00286282"/>
    <w:rsid w:val="0028632E"/>
    <w:rsid w:val="0028755A"/>
    <w:rsid w:val="00287BA8"/>
    <w:rsid w:val="00287DF9"/>
    <w:rsid w:val="00290335"/>
    <w:rsid w:val="0029144D"/>
    <w:rsid w:val="0029158C"/>
    <w:rsid w:val="002A06DA"/>
    <w:rsid w:val="002A456F"/>
    <w:rsid w:val="002A6E2B"/>
    <w:rsid w:val="002B2572"/>
    <w:rsid w:val="002B4D79"/>
    <w:rsid w:val="002B7335"/>
    <w:rsid w:val="002B77F5"/>
    <w:rsid w:val="002C1D0C"/>
    <w:rsid w:val="002C1EC2"/>
    <w:rsid w:val="002C331D"/>
    <w:rsid w:val="002D1AE9"/>
    <w:rsid w:val="002D2D7E"/>
    <w:rsid w:val="002D3103"/>
    <w:rsid w:val="002D4104"/>
    <w:rsid w:val="002D4177"/>
    <w:rsid w:val="002D548B"/>
    <w:rsid w:val="002D66B1"/>
    <w:rsid w:val="002D7ECF"/>
    <w:rsid w:val="002E03D0"/>
    <w:rsid w:val="002E1C94"/>
    <w:rsid w:val="002E46DE"/>
    <w:rsid w:val="002E5406"/>
    <w:rsid w:val="002E78D7"/>
    <w:rsid w:val="002F1CB1"/>
    <w:rsid w:val="002F3633"/>
    <w:rsid w:val="002F54EA"/>
    <w:rsid w:val="002F5B67"/>
    <w:rsid w:val="002F653C"/>
    <w:rsid w:val="002F7D4C"/>
    <w:rsid w:val="00300CED"/>
    <w:rsid w:val="00300D77"/>
    <w:rsid w:val="003030E1"/>
    <w:rsid w:val="00304677"/>
    <w:rsid w:val="00304C1D"/>
    <w:rsid w:val="003063F6"/>
    <w:rsid w:val="003069E8"/>
    <w:rsid w:val="00307737"/>
    <w:rsid w:val="00307E85"/>
    <w:rsid w:val="00310269"/>
    <w:rsid w:val="00310E67"/>
    <w:rsid w:val="003111DB"/>
    <w:rsid w:val="00311373"/>
    <w:rsid w:val="00311CCB"/>
    <w:rsid w:val="00313937"/>
    <w:rsid w:val="00314466"/>
    <w:rsid w:val="003149E9"/>
    <w:rsid w:val="00316B83"/>
    <w:rsid w:val="00317DAD"/>
    <w:rsid w:val="003202C7"/>
    <w:rsid w:val="003203C7"/>
    <w:rsid w:val="00320415"/>
    <w:rsid w:val="003228BF"/>
    <w:rsid w:val="00322E0B"/>
    <w:rsid w:val="00323107"/>
    <w:rsid w:val="00323C5A"/>
    <w:rsid w:val="00324485"/>
    <w:rsid w:val="00331DCE"/>
    <w:rsid w:val="00332055"/>
    <w:rsid w:val="00332280"/>
    <w:rsid w:val="003323DB"/>
    <w:rsid w:val="00332B05"/>
    <w:rsid w:val="003330C7"/>
    <w:rsid w:val="00335C9A"/>
    <w:rsid w:val="003409BF"/>
    <w:rsid w:val="003415A9"/>
    <w:rsid w:val="00345525"/>
    <w:rsid w:val="00351302"/>
    <w:rsid w:val="00355E73"/>
    <w:rsid w:val="00356841"/>
    <w:rsid w:val="003640B6"/>
    <w:rsid w:val="00364715"/>
    <w:rsid w:val="00365687"/>
    <w:rsid w:val="003657AB"/>
    <w:rsid w:val="00370540"/>
    <w:rsid w:val="00370A03"/>
    <w:rsid w:val="00372A69"/>
    <w:rsid w:val="00372EEC"/>
    <w:rsid w:val="00376491"/>
    <w:rsid w:val="00380189"/>
    <w:rsid w:val="00380A15"/>
    <w:rsid w:val="00381107"/>
    <w:rsid w:val="00381308"/>
    <w:rsid w:val="003818E8"/>
    <w:rsid w:val="003848EF"/>
    <w:rsid w:val="00384905"/>
    <w:rsid w:val="00385BF8"/>
    <w:rsid w:val="00386560"/>
    <w:rsid w:val="0039063D"/>
    <w:rsid w:val="00394300"/>
    <w:rsid w:val="00395DFD"/>
    <w:rsid w:val="00395F95"/>
    <w:rsid w:val="00396C1A"/>
    <w:rsid w:val="003972F5"/>
    <w:rsid w:val="003A12B1"/>
    <w:rsid w:val="003A151C"/>
    <w:rsid w:val="003A53C5"/>
    <w:rsid w:val="003A5EEC"/>
    <w:rsid w:val="003A6079"/>
    <w:rsid w:val="003A68AB"/>
    <w:rsid w:val="003A7572"/>
    <w:rsid w:val="003B00FB"/>
    <w:rsid w:val="003B04F0"/>
    <w:rsid w:val="003B1336"/>
    <w:rsid w:val="003B20FC"/>
    <w:rsid w:val="003B30DD"/>
    <w:rsid w:val="003B3E18"/>
    <w:rsid w:val="003B72CF"/>
    <w:rsid w:val="003B78AB"/>
    <w:rsid w:val="003C2DEE"/>
    <w:rsid w:val="003C4286"/>
    <w:rsid w:val="003C675B"/>
    <w:rsid w:val="003C6C81"/>
    <w:rsid w:val="003D11C0"/>
    <w:rsid w:val="003D2341"/>
    <w:rsid w:val="003D2D82"/>
    <w:rsid w:val="003D33A3"/>
    <w:rsid w:val="003D572E"/>
    <w:rsid w:val="003D57B2"/>
    <w:rsid w:val="003D6960"/>
    <w:rsid w:val="003D77EE"/>
    <w:rsid w:val="003E0510"/>
    <w:rsid w:val="003E1BBB"/>
    <w:rsid w:val="003E2295"/>
    <w:rsid w:val="003E54B6"/>
    <w:rsid w:val="003E58BD"/>
    <w:rsid w:val="003E66BB"/>
    <w:rsid w:val="003E7A4D"/>
    <w:rsid w:val="003F1D29"/>
    <w:rsid w:val="003F1F49"/>
    <w:rsid w:val="003F2FA0"/>
    <w:rsid w:val="003F42A7"/>
    <w:rsid w:val="003F6045"/>
    <w:rsid w:val="003F653E"/>
    <w:rsid w:val="003F71C5"/>
    <w:rsid w:val="004004FF"/>
    <w:rsid w:val="004016DE"/>
    <w:rsid w:val="004025DC"/>
    <w:rsid w:val="00402E80"/>
    <w:rsid w:val="004041B8"/>
    <w:rsid w:val="00405ACA"/>
    <w:rsid w:val="00415552"/>
    <w:rsid w:val="00416050"/>
    <w:rsid w:val="00417259"/>
    <w:rsid w:val="004175D4"/>
    <w:rsid w:val="00422963"/>
    <w:rsid w:val="00422978"/>
    <w:rsid w:val="004240A9"/>
    <w:rsid w:val="0042494E"/>
    <w:rsid w:val="00426AB3"/>
    <w:rsid w:val="00432445"/>
    <w:rsid w:val="00433533"/>
    <w:rsid w:val="0043446F"/>
    <w:rsid w:val="0043683F"/>
    <w:rsid w:val="004406D1"/>
    <w:rsid w:val="00440A77"/>
    <w:rsid w:val="004422A6"/>
    <w:rsid w:val="004442E2"/>
    <w:rsid w:val="00445634"/>
    <w:rsid w:val="004511EE"/>
    <w:rsid w:val="0045253C"/>
    <w:rsid w:val="00452B35"/>
    <w:rsid w:val="004547EA"/>
    <w:rsid w:val="00455EAA"/>
    <w:rsid w:val="00456494"/>
    <w:rsid w:val="00457408"/>
    <w:rsid w:val="004577E1"/>
    <w:rsid w:val="0045799A"/>
    <w:rsid w:val="00462598"/>
    <w:rsid w:val="00463490"/>
    <w:rsid w:val="00466326"/>
    <w:rsid w:val="00470048"/>
    <w:rsid w:val="00470BEA"/>
    <w:rsid w:val="00471060"/>
    <w:rsid w:val="004716AC"/>
    <w:rsid w:val="00471E07"/>
    <w:rsid w:val="004763AF"/>
    <w:rsid w:val="0048196D"/>
    <w:rsid w:val="00481DBF"/>
    <w:rsid w:val="00483E1A"/>
    <w:rsid w:val="00483FB7"/>
    <w:rsid w:val="00485114"/>
    <w:rsid w:val="004860C0"/>
    <w:rsid w:val="00487074"/>
    <w:rsid w:val="0049072A"/>
    <w:rsid w:val="00490FF7"/>
    <w:rsid w:val="004930F6"/>
    <w:rsid w:val="00493B5E"/>
    <w:rsid w:val="0049416F"/>
    <w:rsid w:val="004948C9"/>
    <w:rsid w:val="00495404"/>
    <w:rsid w:val="00497931"/>
    <w:rsid w:val="004A14BC"/>
    <w:rsid w:val="004A3D93"/>
    <w:rsid w:val="004A3EFD"/>
    <w:rsid w:val="004A3F27"/>
    <w:rsid w:val="004A7E39"/>
    <w:rsid w:val="004B1880"/>
    <w:rsid w:val="004B3B7B"/>
    <w:rsid w:val="004B5251"/>
    <w:rsid w:val="004C1BBB"/>
    <w:rsid w:val="004C4C8F"/>
    <w:rsid w:val="004C5754"/>
    <w:rsid w:val="004D0574"/>
    <w:rsid w:val="004D0C7C"/>
    <w:rsid w:val="004D118B"/>
    <w:rsid w:val="004D6A72"/>
    <w:rsid w:val="004E1174"/>
    <w:rsid w:val="004E1B5C"/>
    <w:rsid w:val="004E2154"/>
    <w:rsid w:val="004E29C6"/>
    <w:rsid w:val="004E3E8F"/>
    <w:rsid w:val="004E4095"/>
    <w:rsid w:val="004E5E6C"/>
    <w:rsid w:val="004E6683"/>
    <w:rsid w:val="004F46FE"/>
    <w:rsid w:val="004F5E43"/>
    <w:rsid w:val="004F7BA3"/>
    <w:rsid w:val="00500698"/>
    <w:rsid w:val="00500C9D"/>
    <w:rsid w:val="00503C39"/>
    <w:rsid w:val="00505584"/>
    <w:rsid w:val="00506528"/>
    <w:rsid w:val="00507986"/>
    <w:rsid w:val="00510AC6"/>
    <w:rsid w:val="005116B1"/>
    <w:rsid w:val="00517351"/>
    <w:rsid w:val="00520444"/>
    <w:rsid w:val="0052463E"/>
    <w:rsid w:val="00525511"/>
    <w:rsid w:val="00526B28"/>
    <w:rsid w:val="00526BDB"/>
    <w:rsid w:val="00527387"/>
    <w:rsid w:val="00527A7D"/>
    <w:rsid w:val="00533D7B"/>
    <w:rsid w:val="005409C5"/>
    <w:rsid w:val="00540A7C"/>
    <w:rsid w:val="00544292"/>
    <w:rsid w:val="005456EC"/>
    <w:rsid w:val="00547154"/>
    <w:rsid w:val="00554795"/>
    <w:rsid w:val="00556DEA"/>
    <w:rsid w:val="00560465"/>
    <w:rsid w:val="00560972"/>
    <w:rsid w:val="00563F7B"/>
    <w:rsid w:val="005640A6"/>
    <w:rsid w:val="0056664A"/>
    <w:rsid w:val="00570F8E"/>
    <w:rsid w:val="005719FD"/>
    <w:rsid w:val="00571B06"/>
    <w:rsid w:val="00572118"/>
    <w:rsid w:val="00573359"/>
    <w:rsid w:val="00574A89"/>
    <w:rsid w:val="00575FFA"/>
    <w:rsid w:val="00576F30"/>
    <w:rsid w:val="005860D7"/>
    <w:rsid w:val="00586CE4"/>
    <w:rsid w:val="00586D82"/>
    <w:rsid w:val="005875FD"/>
    <w:rsid w:val="005879B8"/>
    <w:rsid w:val="00591130"/>
    <w:rsid w:val="0059277C"/>
    <w:rsid w:val="00593648"/>
    <w:rsid w:val="00594141"/>
    <w:rsid w:val="00594AC6"/>
    <w:rsid w:val="00594F99"/>
    <w:rsid w:val="00595389"/>
    <w:rsid w:val="00596F19"/>
    <w:rsid w:val="005970B5"/>
    <w:rsid w:val="005978D0"/>
    <w:rsid w:val="00597A6D"/>
    <w:rsid w:val="005A0026"/>
    <w:rsid w:val="005A0B86"/>
    <w:rsid w:val="005A2FC0"/>
    <w:rsid w:val="005A3880"/>
    <w:rsid w:val="005A66F6"/>
    <w:rsid w:val="005A7A14"/>
    <w:rsid w:val="005B341F"/>
    <w:rsid w:val="005B44D6"/>
    <w:rsid w:val="005B5651"/>
    <w:rsid w:val="005B613F"/>
    <w:rsid w:val="005C0E7F"/>
    <w:rsid w:val="005D27B8"/>
    <w:rsid w:val="005D2E03"/>
    <w:rsid w:val="005D4544"/>
    <w:rsid w:val="005D4F09"/>
    <w:rsid w:val="005D5178"/>
    <w:rsid w:val="005D6EA8"/>
    <w:rsid w:val="005D6F05"/>
    <w:rsid w:val="005E104E"/>
    <w:rsid w:val="005E10E3"/>
    <w:rsid w:val="005E3FC7"/>
    <w:rsid w:val="005E51F1"/>
    <w:rsid w:val="005F32E7"/>
    <w:rsid w:val="005F54D7"/>
    <w:rsid w:val="005F698B"/>
    <w:rsid w:val="005F6E13"/>
    <w:rsid w:val="00600956"/>
    <w:rsid w:val="006011E1"/>
    <w:rsid w:val="00602401"/>
    <w:rsid w:val="00604158"/>
    <w:rsid w:val="0060666C"/>
    <w:rsid w:val="00606C5F"/>
    <w:rsid w:val="00614CE6"/>
    <w:rsid w:val="00615CA5"/>
    <w:rsid w:val="00615D43"/>
    <w:rsid w:val="00616BCC"/>
    <w:rsid w:val="0061761A"/>
    <w:rsid w:val="00623DFF"/>
    <w:rsid w:val="00624299"/>
    <w:rsid w:val="006243EB"/>
    <w:rsid w:val="0062551D"/>
    <w:rsid w:val="00625536"/>
    <w:rsid w:val="006259DB"/>
    <w:rsid w:val="00625AC1"/>
    <w:rsid w:val="00626698"/>
    <w:rsid w:val="006267F8"/>
    <w:rsid w:val="006300EE"/>
    <w:rsid w:val="00630966"/>
    <w:rsid w:val="00630EC4"/>
    <w:rsid w:val="00630EC9"/>
    <w:rsid w:val="00631B4C"/>
    <w:rsid w:val="00632522"/>
    <w:rsid w:val="006328B1"/>
    <w:rsid w:val="00632CB9"/>
    <w:rsid w:val="00635BAE"/>
    <w:rsid w:val="00641208"/>
    <w:rsid w:val="00641D5A"/>
    <w:rsid w:val="00642777"/>
    <w:rsid w:val="00643B89"/>
    <w:rsid w:val="00645936"/>
    <w:rsid w:val="00646433"/>
    <w:rsid w:val="00646B92"/>
    <w:rsid w:val="00647402"/>
    <w:rsid w:val="00650282"/>
    <w:rsid w:val="00650A11"/>
    <w:rsid w:val="006511BB"/>
    <w:rsid w:val="006531EF"/>
    <w:rsid w:val="00656305"/>
    <w:rsid w:val="0065794A"/>
    <w:rsid w:val="0066034A"/>
    <w:rsid w:val="006631B8"/>
    <w:rsid w:val="006656EC"/>
    <w:rsid w:val="006662EE"/>
    <w:rsid w:val="00667977"/>
    <w:rsid w:val="006725A4"/>
    <w:rsid w:val="00674043"/>
    <w:rsid w:val="0067720E"/>
    <w:rsid w:val="00677C65"/>
    <w:rsid w:val="0068051F"/>
    <w:rsid w:val="006805F3"/>
    <w:rsid w:val="0068075C"/>
    <w:rsid w:val="00680B85"/>
    <w:rsid w:val="006812CF"/>
    <w:rsid w:val="006820E6"/>
    <w:rsid w:val="006824EE"/>
    <w:rsid w:val="00682BBC"/>
    <w:rsid w:val="00684490"/>
    <w:rsid w:val="006867B7"/>
    <w:rsid w:val="00686F5E"/>
    <w:rsid w:val="006914EF"/>
    <w:rsid w:val="00692DE8"/>
    <w:rsid w:val="0069403E"/>
    <w:rsid w:val="006945C8"/>
    <w:rsid w:val="006A0557"/>
    <w:rsid w:val="006A0782"/>
    <w:rsid w:val="006A1B09"/>
    <w:rsid w:val="006A2A2C"/>
    <w:rsid w:val="006A2D92"/>
    <w:rsid w:val="006A56C1"/>
    <w:rsid w:val="006A5A2E"/>
    <w:rsid w:val="006B04D1"/>
    <w:rsid w:val="006B3C41"/>
    <w:rsid w:val="006B4257"/>
    <w:rsid w:val="006C0521"/>
    <w:rsid w:val="006C5CE3"/>
    <w:rsid w:val="006C6483"/>
    <w:rsid w:val="006C7426"/>
    <w:rsid w:val="006D1474"/>
    <w:rsid w:val="006D1F7D"/>
    <w:rsid w:val="006D29CD"/>
    <w:rsid w:val="006D2BE3"/>
    <w:rsid w:val="006D2BEB"/>
    <w:rsid w:val="006D2BF3"/>
    <w:rsid w:val="006D37CF"/>
    <w:rsid w:val="006E11EC"/>
    <w:rsid w:val="006E17B6"/>
    <w:rsid w:val="006E23C1"/>
    <w:rsid w:val="006E7242"/>
    <w:rsid w:val="006E742D"/>
    <w:rsid w:val="006F0945"/>
    <w:rsid w:val="006F3BB8"/>
    <w:rsid w:val="0070149F"/>
    <w:rsid w:val="00703D2D"/>
    <w:rsid w:val="00704A91"/>
    <w:rsid w:val="00706FE9"/>
    <w:rsid w:val="00710BF9"/>
    <w:rsid w:val="00712914"/>
    <w:rsid w:val="0071360C"/>
    <w:rsid w:val="0071367B"/>
    <w:rsid w:val="007139B6"/>
    <w:rsid w:val="0071468E"/>
    <w:rsid w:val="0071686F"/>
    <w:rsid w:val="00716A12"/>
    <w:rsid w:val="00716D5C"/>
    <w:rsid w:val="00716E66"/>
    <w:rsid w:val="00717760"/>
    <w:rsid w:val="00717800"/>
    <w:rsid w:val="007208D9"/>
    <w:rsid w:val="00720AF5"/>
    <w:rsid w:val="00720C9D"/>
    <w:rsid w:val="00720FFE"/>
    <w:rsid w:val="00724C0F"/>
    <w:rsid w:val="00732185"/>
    <w:rsid w:val="0073258B"/>
    <w:rsid w:val="00732BA8"/>
    <w:rsid w:val="0073350E"/>
    <w:rsid w:val="00733F8C"/>
    <w:rsid w:val="00734E99"/>
    <w:rsid w:val="007359A7"/>
    <w:rsid w:val="00736A54"/>
    <w:rsid w:val="00744ECC"/>
    <w:rsid w:val="0074677C"/>
    <w:rsid w:val="00746E21"/>
    <w:rsid w:val="0074740B"/>
    <w:rsid w:val="00747E73"/>
    <w:rsid w:val="0075393B"/>
    <w:rsid w:val="0075471A"/>
    <w:rsid w:val="0075771C"/>
    <w:rsid w:val="007608D7"/>
    <w:rsid w:val="00763D76"/>
    <w:rsid w:val="00764FAA"/>
    <w:rsid w:val="00765259"/>
    <w:rsid w:val="00767A04"/>
    <w:rsid w:val="00773719"/>
    <w:rsid w:val="00773B58"/>
    <w:rsid w:val="00774343"/>
    <w:rsid w:val="007754E1"/>
    <w:rsid w:val="00776C18"/>
    <w:rsid w:val="00777487"/>
    <w:rsid w:val="007777A1"/>
    <w:rsid w:val="0078003D"/>
    <w:rsid w:val="0078273E"/>
    <w:rsid w:val="00782DCD"/>
    <w:rsid w:val="00782F88"/>
    <w:rsid w:val="0078471D"/>
    <w:rsid w:val="00784EC0"/>
    <w:rsid w:val="0078730F"/>
    <w:rsid w:val="0078760F"/>
    <w:rsid w:val="007913FD"/>
    <w:rsid w:val="00791ABE"/>
    <w:rsid w:val="0079221B"/>
    <w:rsid w:val="007925C2"/>
    <w:rsid w:val="00796A50"/>
    <w:rsid w:val="007A01E1"/>
    <w:rsid w:val="007A49C2"/>
    <w:rsid w:val="007A4BDD"/>
    <w:rsid w:val="007B05B3"/>
    <w:rsid w:val="007B14CE"/>
    <w:rsid w:val="007B33D7"/>
    <w:rsid w:val="007C08F8"/>
    <w:rsid w:val="007C1837"/>
    <w:rsid w:val="007C2377"/>
    <w:rsid w:val="007C293A"/>
    <w:rsid w:val="007C6B02"/>
    <w:rsid w:val="007D0CC0"/>
    <w:rsid w:val="007D537B"/>
    <w:rsid w:val="007D6F3F"/>
    <w:rsid w:val="007E1522"/>
    <w:rsid w:val="007E190E"/>
    <w:rsid w:val="007E1D58"/>
    <w:rsid w:val="007E6CF8"/>
    <w:rsid w:val="007E6ECC"/>
    <w:rsid w:val="007F0ABE"/>
    <w:rsid w:val="007F0ED9"/>
    <w:rsid w:val="007F25A7"/>
    <w:rsid w:val="007F2645"/>
    <w:rsid w:val="007F4668"/>
    <w:rsid w:val="007F571B"/>
    <w:rsid w:val="007F64C7"/>
    <w:rsid w:val="008031EC"/>
    <w:rsid w:val="008034D8"/>
    <w:rsid w:val="008054F0"/>
    <w:rsid w:val="00805BD3"/>
    <w:rsid w:val="00807DB6"/>
    <w:rsid w:val="00807DF5"/>
    <w:rsid w:val="00812C4B"/>
    <w:rsid w:val="00815425"/>
    <w:rsid w:val="008155E3"/>
    <w:rsid w:val="00817638"/>
    <w:rsid w:val="00821041"/>
    <w:rsid w:val="008228A5"/>
    <w:rsid w:val="00822B3C"/>
    <w:rsid w:val="00830ED9"/>
    <w:rsid w:val="00834367"/>
    <w:rsid w:val="008369A3"/>
    <w:rsid w:val="00837300"/>
    <w:rsid w:val="0083795E"/>
    <w:rsid w:val="00837F65"/>
    <w:rsid w:val="008410B6"/>
    <w:rsid w:val="00843205"/>
    <w:rsid w:val="00845B33"/>
    <w:rsid w:val="008478CE"/>
    <w:rsid w:val="00847C2B"/>
    <w:rsid w:val="00847E7D"/>
    <w:rsid w:val="00847F14"/>
    <w:rsid w:val="00850CF7"/>
    <w:rsid w:val="00854B58"/>
    <w:rsid w:val="00854E37"/>
    <w:rsid w:val="0085583B"/>
    <w:rsid w:val="00857E85"/>
    <w:rsid w:val="00860E75"/>
    <w:rsid w:val="0086103A"/>
    <w:rsid w:val="008617EA"/>
    <w:rsid w:val="0086208D"/>
    <w:rsid w:val="008629E3"/>
    <w:rsid w:val="00864321"/>
    <w:rsid w:val="00865DC8"/>
    <w:rsid w:val="00870D58"/>
    <w:rsid w:val="008712A0"/>
    <w:rsid w:val="008717D4"/>
    <w:rsid w:val="00872621"/>
    <w:rsid w:val="008727AA"/>
    <w:rsid w:val="008729DD"/>
    <w:rsid w:val="00873250"/>
    <w:rsid w:val="00873825"/>
    <w:rsid w:val="008739EF"/>
    <w:rsid w:val="00873ADE"/>
    <w:rsid w:val="00876F9A"/>
    <w:rsid w:val="00877C17"/>
    <w:rsid w:val="008839E5"/>
    <w:rsid w:val="00883C78"/>
    <w:rsid w:val="0088761A"/>
    <w:rsid w:val="00890A9E"/>
    <w:rsid w:val="00892576"/>
    <w:rsid w:val="00894601"/>
    <w:rsid w:val="00894CD3"/>
    <w:rsid w:val="00895D49"/>
    <w:rsid w:val="0089699B"/>
    <w:rsid w:val="008A4654"/>
    <w:rsid w:val="008A6491"/>
    <w:rsid w:val="008A6708"/>
    <w:rsid w:val="008A7CF1"/>
    <w:rsid w:val="008B0674"/>
    <w:rsid w:val="008B0B60"/>
    <w:rsid w:val="008B0CFF"/>
    <w:rsid w:val="008B20C2"/>
    <w:rsid w:val="008B333C"/>
    <w:rsid w:val="008B3CD2"/>
    <w:rsid w:val="008B5C6E"/>
    <w:rsid w:val="008B75E1"/>
    <w:rsid w:val="008C011F"/>
    <w:rsid w:val="008C0805"/>
    <w:rsid w:val="008C096C"/>
    <w:rsid w:val="008C0B6E"/>
    <w:rsid w:val="008C1CAA"/>
    <w:rsid w:val="008C26F4"/>
    <w:rsid w:val="008C3539"/>
    <w:rsid w:val="008C4888"/>
    <w:rsid w:val="008C624A"/>
    <w:rsid w:val="008D1931"/>
    <w:rsid w:val="008D1DB1"/>
    <w:rsid w:val="008D1DF0"/>
    <w:rsid w:val="008D3892"/>
    <w:rsid w:val="008D39AA"/>
    <w:rsid w:val="008D5118"/>
    <w:rsid w:val="008D55F9"/>
    <w:rsid w:val="008D6A9C"/>
    <w:rsid w:val="008E0D56"/>
    <w:rsid w:val="008E2B2F"/>
    <w:rsid w:val="008E348C"/>
    <w:rsid w:val="008E4DFF"/>
    <w:rsid w:val="008E549E"/>
    <w:rsid w:val="008E54D0"/>
    <w:rsid w:val="008E5E23"/>
    <w:rsid w:val="008E67C0"/>
    <w:rsid w:val="008E7F9F"/>
    <w:rsid w:val="008F09FE"/>
    <w:rsid w:val="008F1046"/>
    <w:rsid w:val="008F18B3"/>
    <w:rsid w:val="008F1E40"/>
    <w:rsid w:val="008F281A"/>
    <w:rsid w:val="008F2DC7"/>
    <w:rsid w:val="008F5890"/>
    <w:rsid w:val="008F5B59"/>
    <w:rsid w:val="008F6DF9"/>
    <w:rsid w:val="008F6E9D"/>
    <w:rsid w:val="00900C12"/>
    <w:rsid w:val="00901EDF"/>
    <w:rsid w:val="0090352B"/>
    <w:rsid w:val="00903CAE"/>
    <w:rsid w:val="00904B02"/>
    <w:rsid w:val="00904BBF"/>
    <w:rsid w:val="009050B9"/>
    <w:rsid w:val="00905752"/>
    <w:rsid w:val="00906288"/>
    <w:rsid w:val="00906E14"/>
    <w:rsid w:val="009076FD"/>
    <w:rsid w:val="0091113E"/>
    <w:rsid w:val="009128E8"/>
    <w:rsid w:val="00920962"/>
    <w:rsid w:val="00920A27"/>
    <w:rsid w:val="00922014"/>
    <w:rsid w:val="0092726F"/>
    <w:rsid w:val="009308F0"/>
    <w:rsid w:val="0093251D"/>
    <w:rsid w:val="00936C94"/>
    <w:rsid w:val="00937CD8"/>
    <w:rsid w:val="00937DFB"/>
    <w:rsid w:val="00941D69"/>
    <w:rsid w:val="00944597"/>
    <w:rsid w:val="00944936"/>
    <w:rsid w:val="00944AA7"/>
    <w:rsid w:val="00946AD7"/>
    <w:rsid w:val="00947C30"/>
    <w:rsid w:val="00947F91"/>
    <w:rsid w:val="0095045E"/>
    <w:rsid w:val="00952D7C"/>
    <w:rsid w:val="009540D9"/>
    <w:rsid w:val="009546F6"/>
    <w:rsid w:val="009569C9"/>
    <w:rsid w:val="00956BA1"/>
    <w:rsid w:val="00956F6A"/>
    <w:rsid w:val="00961356"/>
    <w:rsid w:val="009616CF"/>
    <w:rsid w:val="00962C9F"/>
    <w:rsid w:val="00963DA9"/>
    <w:rsid w:val="0096455D"/>
    <w:rsid w:val="00964F55"/>
    <w:rsid w:val="00965CBF"/>
    <w:rsid w:val="00966271"/>
    <w:rsid w:val="0097372C"/>
    <w:rsid w:val="009769C6"/>
    <w:rsid w:val="00977F47"/>
    <w:rsid w:val="00980FD2"/>
    <w:rsid w:val="009837EF"/>
    <w:rsid w:val="00984BDC"/>
    <w:rsid w:val="009857E0"/>
    <w:rsid w:val="009872A4"/>
    <w:rsid w:val="00987A1D"/>
    <w:rsid w:val="009918FB"/>
    <w:rsid w:val="00991CE2"/>
    <w:rsid w:val="00997353"/>
    <w:rsid w:val="009A0497"/>
    <w:rsid w:val="009A1142"/>
    <w:rsid w:val="009A12D9"/>
    <w:rsid w:val="009A1A9A"/>
    <w:rsid w:val="009A2D21"/>
    <w:rsid w:val="009B157C"/>
    <w:rsid w:val="009B2111"/>
    <w:rsid w:val="009B2293"/>
    <w:rsid w:val="009B36BF"/>
    <w:rsid w:val="009B5872"/>
    <w:rsid w:val="009B5A80"/>
    <w:rsid w:val="009B671B"/>
    <w:rsid w:val="009B6ACF"/>
    <w:rsid w:val="009B6B48"/>
    <w:rsid w:val="009B7123"/>
    <w:rsid w:val="009C0CEB"/>
    <w:rsid w:val="009C3E19"/>
    <w:rsid w:val="009C74B5"/>
    <w:rsid w:val="009C7BD2"/>
    <w:rsid w:val="009D03A8"/>
    <w:rsid w:val="009D0891"/>
    <w:rsid w:val="009D0E47"/>
    <w:rsid w:val="009D1F1C"/>
    <w:rsid w:val="009D2902"/>
    <w:rsid w:val="009D3AEC"/>
    <w:rsid w:val="009D4B49"/>
    <w:rsid w:val="009D7957"/>
    <w:rsid w:val="009D7CE6"/>
    <w:rsid w:val="009E008F"/>
    <w:rsid w:val="009E0870"/>
    <w:rsid w:val="009E262C"/>
    <w:rsid w:val="009E3B03"/>
    <w:rsid w:val="009E6430"/>
    <w:rsid w:val="009E720C"/>
    <w:rsid w:val="009E7289"/>
    <w:rsid w:val="009E771F"/>
    <w:rsid w:val="009F48BD"/>
    <w:rsid w:val="009F56A0"/>
    <w:rsid w:val="009F6692"/>
    <w:rsid w:val="00A00F82"/>
    <w:rsid w:val="00A02AB8"/>
    <w:rsid w:val="00A042E6"/>
    <w:rsid w:val="00A0444F"/>
    <w:rsid w:val="00A05393"/>
    <w:rsid w:val="00A05924"/>
    <w:rsid w:val="00A12337"/>
    <w:rsid w:val="00A127AE"/>
    <w:rsid w:val="00A212FC"/>
    <w:rsid w:val="00A21C3A"/>
    <w:rsid w:val="00A22274"/>
    <w:rsid w:val="00A223AF"/>
    <w:rsid w:val="00A2267C"/>
    <w:rsid w:val="00A23419"/>
    <w:rsid w:val="00A32793"/>
    <w:rsid w:val="00A376D1"/>
    <w:rsid w:val="00A37BCD"/>
    <w:rsid w:val="00A412A4"/>
    <w:rsid w:val="00A44E29"/>
    <w:rsid w:val="00A45752"/>
    <w:rsid w:val="00A46BA8"/>
    <w:rsid w:val="00A5230D"/>
    <w:rsid w:val="00A54607"/>
    <w:rsid w:val="00A566F7"/>
    <w:rsid w:val="00A60788"/>
    <w:rsid w:val="00A624D4"/>
    <w:rsid w:val="00A63795"/>
    <w:rsid w:val="00A63817"/>
    <w:rsid w:val="00A64DFC"/>
    <w:rsid w:val="00A64E67"/>
    <w:rsid w:val="00A65708"/>
    <w:rsid w:val="00A73933"/>
    <w:rsid w:val="00A746D4"/>
    <w:rsid w:val="00A74FE2"/>
    <w:rsid w:val="00A75DAF"/>
    <w:rsid w:val="00A80316"/>
    <w:rsid w:val="00A80DCD"/>
    <w:rsid w:val="00A8360B"/>
    <w:rsid w:val="00A857D9"/>
    <w:rsid w:val="00A90857"/>
    <w:rsid w:val="00A90A64"/>
    <w:rsid w:val="00A91448"/>
    <w:rsid w:val="00A92245"/>
    <w:rsid w:val="00A92BFF"/>
    <w:rsid w:val="00A93A78"/>
    <w:rsid w:val="00A94548"/>
    <w:rsid w:val="00AA25A1"/>
    <w:rsid w:val="00AA2B6A"/>
    <w:rsid w:val="00AA4B70"/>
    <w:rsid w:val="00AA7756"/>
    <w:rsid w:val="00AB2960"/>
    <w:rsid w:val="00AB574B"/>
    <w:rsid w:val="00AB6DF3"/>
    <w:rsid w:val="00AB79EC"/>
    <w:rsid w:val="00AC06AD"/>
    <w:rsid w:val="00AC1849"/>
    <w:rsid w:val="00AC1946"/>
    <w:rsid w:val="00AC1DB2"/>
    <w:rsid w:val="00AC23DD"/>
    <w:rsid w:val="00AC2E9F"/>
    <w:rsid w:val="00AC3D99"/>
    <w:rsid w:val="00AC4436"/>
    <w:rsid w:val="00AC6D7C"/>
    <w:rsid w:val="00AC758F"/>
    <w:rsid w:val="00AD01BB"/>
    <w:rsid w:val="00AD02B4"/>
    <w:rsid w:val="00AD4CDC"/>
    <w:rsid w:val="00AD5C7A"/>
    <w:rsid w:val="00AD640D"/>
    <w:rsid w:val="00AD6B21"/>
    <w:rsid w:val="00AD6D7F"/>
    <w:rsid w:val="00AE0DAF"/>
    <w:rsid w:val="00AE1E77"/>
    <w:rsid w:val="00AE311C"/>
    <w:rsid w:val="00AE32FC"/>
    <w:rsid w:val="00AE3926"/>
    <w:rsid w:val="00AE46AA"/>
    <w:rsid w:val="00AE6061"/>
    <w:rsid w:val="00AF0388"/>
    <w:rsid w:val="00AF05EF"/>
    <w:rsid w:val="00AF0863"/>
    <w:rsid w:val="00AF29BB"/>
    <w:rsid w:val="00AF2B88"/>
    <w:rsid w:val="00AF5F2E"/>
    <w:rsid w:val="00AF63A9"/>
    <w:rsid w:val="00AF739D"/>
    <w:rsid w:val="00B00194"/>
    <w:rsid w:val="00B006A9"/>
    <w:rsid w:val="00B01ECE"/>
    <w:rsid w:val="00B03AA0"/>
    <w:rsid w:val="00B06148"/>
    <w:rsid w:val="00B068F2"/>
    <w:rsid w:val="00B12922"/>
    <w:rsid w:val="00B13310"/>
    <w:rsid w:val="00B14E9C"/>
    <w:rsid w:val="00B154EA"/>
    <w:rsid w:val="00B16720"/>
    <w:rsid w:val="00B20969"/>
    <w:rsid w:val="00B2109F"/>
    <w:rsid w:val="00B21C9D"/>
    <w:rsid w:val="00B22390"/>
    <w:rsid w:val="00B2258D"/>
    <w:rsid w:val="00B225B0"/>
    <w:rsid w:val="00B318B0"/>
    <w:rsid w:val="00B31E83"/>
    <w:rsid w:val="00B3230A"/>
    <w:rsid w:val="00B325B0"/>
    <w:rsid w:val="00B328FC"/>
    <w:rsid w:val="00B3411C"/>
    <w:rsid w:val="00B4136C"/>
    <w:rsid w:val="00B4271C"/>
    <w:rsid w:val="00B42A04"/>
    <w:rsid w:val="00B43453"/>
    <w:rsid w:val="00B450F8"/>
    <w:rsid w:val="00B47A0F"/>
    <w:rsid w:val="00B47CFD"/>
    <w:rsid w:val="00B50649"/>
    <w:rsid w:val="00B51DCA"/>
    <w:rsid w:val="00B51EDA"/>
    <w:rsid w:val="00B52147"/>
    <w:rsid w:val="00B5400D"/>
    <w:rsid w:val="00B549E8"/>
    <w:rsid w:val="00B55123"/>
    <w:rsid w:val="00B557B6"/>
    <w:rsid w:val="00B55E3F"/>
    <w:rsid w:val="00B60A1E"/>
    <w:rsid w:val="00B61595"/>
    <w:rsid w:val="00B657A0"/>
    <w:rsid w:val="00B65FA8"/>
    <w:rsid w:val="00B66384"/>
    <w:rsid w:val="00B664D8"/>
    <w:rsid w:val="00B7014D"/>
    <w:rsid w:val="00B7017B"/>
    <w:rsid w:val="00B722B5"/>
    <w:rsid w:val="00B73F2E"/>
    <w:rsid w:val="00B74113"/>
    <w:rsid w:val="00B7500B"/>
    <w:rsid w:val="00B827C5"/>
    <w:rsid w:val="00B83D1F"/>
    <w:rsid w:val="00B84190"/>
    <w:rsid w:val="00B9057D"/>
    <w:rsid w:val="00B91546"/>
    <w:rsid w:val="00B919DC"/>
    <w:rsid w:val="00B91D3B"/>
    <w:rsid w:val="00B93466"/>
    <w:rsid w:val="00B94293"/>
    <w:rsid w:val="00B94B1E"/>
    <w:rsid w:val="00B9718C"/>
    <w:rsid w:val="00BA1691"/>
    <w:rsid w:val="00BA326C"/>
    <w:rsid w:val="00BB1709"/>
    <w:rsid w:val="00BB249D"/>
    <w:rsid w:val="00BB76DF"/>
    <w:rsid w:val="00BC17BE"/>
    <w:rsid w:val="00BC2FCC"/>
    <w:rsid w:val="00BC468A"/>
    <w:rsid w:val="00BC7D24"/>
    <w:rsid w:val="00BD0413"/>
    <w:rsid w:val="00BD0C96"/>
    <w:rsid w:val="00BD13AB"/>
    <w:rsid w:val="00BD2E17"/>
    <w:rsid w:val="00BD483E"/>
    <w:rsid w:val="00BD6E3E"/>
    <w:rsid w:val="00BD7B1A"/>
    <w:rsid w:val="00BE2ED0"/>
    <w:rsid w:val="00BE3370"/>
    <w:rsid w:val="00BE389D"/>
    <w:rsid w:val="00BE4286"/>
    <w:rsid w:val="00BE4622"/>
    <w:rsid w:val="00BE5FB9"/>
    <w:rsid w:val="00BE647C"/>
    <w:rsid w:val="00BE650A"/>
    <w:rsid w:val="00BE655B"/>
    <w:rsid w:val="00BE7CC4"/>
    <w:rsid w:val="00BF268F"/>
    <w:rsid w:val="00BF385C"/>
    <w:rsid w:val="00BF6B96"/>
    <w:rsid w:val="00C0209E"/>
    <w:rsid w:val="00C03042"/>
    <w:rsid w:val="00C0349A"/>
    <w:rsid w:val="00C0469B"/>
    <w:rsid w:val="00C04A7D"/>
    <w:rsid w:val="00C06A01"/>
    <w:rsid w:val="00C079DC"/>
    <w:rsid w:val="00C120C0"/>
    <w:rsid w:val="00C13270"/>
    <w:rsid w:val="00C13EF0"/>
    <w:rsid w:val="00C15A21"/>
    <w:rsid w:val="00C17AAA"/>
    <w:rsid w:val="00C202C8"/>
    <w:rsid w:val="00C22EBB"/>
    <w:rsid w:val="00C2545A"/>
    <w:rsid w:val="00C26BA5"/>
    <w:rsid w:val="00C272E0"/>
    <w:rsid w:val="00C30AB4"/>
    <w:rsid w:val="00C31CC0"/>
    <w:rsid w:val="00C3203A"/>
    <w:rsid w:val="00C33045"/>
    <w:rsid w:val="00C364F8"/>
    <w:rsid w:val="00C41A41"/>
    <w:rsid w:val="00C4306B"/>
    <w:rsid w:val="00C45162"/>
    <w:rsid w:val="00C46EA7"/>
    <w:rsid w:val="00C509D3"/>
    <w:rsid w:val="00C522A9"/>
    <w:rsid w:val="00C60191"/>
    <w:rsid w:val="00C60BBD"/>
    <w:rsid w:val="00C611E7"/>
    <w:rsid w:val="00C63CA5"/>
    <w:rsid w:val="00C67CDD"/>
    <w:rsid w:val="00C718F2"/>
    <w:rsid w:val="00C734E1"/>
    <w:rsid w:val="00C74661"/>
    <w:rsid w:val="00C75C12"/>
    <w:rsid w:val="00C7737C"/>
    <w:rsid w:val="00C850F4"/>
    <w:rsid w:val="00C8797D"/>
    <w:rsid w:val="00C902D7"/>
    <w:rsid w:val="00C94463"/>
    <w:rsid w:val="00C94CD6"/>
    <w:rsid w:val="00C96388"/>
    <w:rsid w:val="00C9661C"/>
    <w:rsid w:val="00C971CD"/>
    <w:rsid w:val="00CA0A02"/>
    <w:rsid w:val="00CA10EB"/>
    <w:rsid w:val="00CA31D5"/>
    <w:rsid w:val="00CA5B78"/>
    <w:rsid w:val="00CA6695"/>
    <w:rsid w:val="00CA70B9"/>
    <w:rsid w:val="00CB511B"/>
    <w:rsid w:val="00CC3809"/>
    <w:rsid w:val="00CC4A43"/>
    <w:rsid w:val="00CC7744"/>
    <w:rsid w:val="00CD058E"/>
    <w:rsid w:val="00CD2C94"/>
    <w:rsid w:val="00CD3F58"/>
    <w:rsid w:val="00CD44C8"/>
    <w:rsid w:val="00CD7C25"/>
    <w:rsid w:val="00CE30A6"/>
    <w:rsid w:val="00CE42A1"/>
    <w:rsid w:val="00CE6738"/>
    <w:rsid w:val="00CE7C01"/>
    <w:rsid w:val="00CF2024"/>
    <w:rsid w:val="00CF3FBF"/>
    <w:rsid w:val="00CF4AD8"/>
    <w:rsid w:val="00CF61B6"/>
    <w:rsid w:val="00CF671F"/>
    <w:rsid w:val="00D00503"/>
    <w:rsid w:val="00D00846"/>
    <w:rsid w:val="00D01950"/>
    <w:rsid w:val="00D04919"/>
    <w:rsid w:val="00D052B4"/>
    <w:rsid w:val="00D07E33"/>
    <w:rsid w:val="00D10076"/>
    <w:rsid w:val="00D12778"/>
    <w:rsid w:val="00D13B5A"/>
    <w:rsid w:val="00D1488F"/>
    <w:rsid w:val="00D16690"/>
    <w:rsid w:val="00D20645"/>
    <w:rsid w:val="00D20D4C"/>
    <w:rsid w:val="00D22AD5"/>
    <w:rsid w:val="00D23A87"/>
    <w:rsid w:val="00D2449C"/>
    <w:rsid w:val="00D24AAD"/>
    <w:rsid w:val="00D252D1"/>
    <w:rsid w:val="00D2758D"/>
    <w:rsid w:val="00D3177D"/>
    <w:rsid w:val="00D337D1"/>
    <w:rsid w:val="00D33EFF"/>
    <w:rsid w:val="00D357D2"/>
    <w:rsid w:val="00D35822"/>
    <w:rsid w:val="00D35E5E"/>
    <w:rsid w:val="00D406B9"/>
    <w:rsid w:val="00D41FA2"/>
    <w:rsid w:val="00D420DA"/>
    <w:rsid w:val="00D425D2"/>
    <w:rsid w:val="00D43E31"/>
    <w:rsid w:val="00D478C9"/>
    <w:rsid w:val="00D50283"/>
    <w:rsid w:val="00D5127D"/>
    <w:rsid w:val="00D51C35"/>
    <w:rsid w:val="00D675F9"/>
    <w:rsid w:val="00D6772B"/>
    <w:rsid w:val="00D71F7D"/>
    <w:rsid w:val="00D71F97"/>
    <w:rsid w:val="00D7239D"/>
    <w:rsid w:val="00D73421"/>
    <w:rsid w:val="00D7450E"/>
    <w:rsid w:val="00D74A41"/>
    <w:rsid w:val="00D76907"/>
    <w:rsid w:val="00D81644"/>
    <w:rsid w:val="00D85D6C"/>
    <w:rsid w:val="00D9441D"/>
    <w:rsid w:val="00D95AEB"/>
    <w:rsid w:val="00D95EC3"/>
    <w:rsid w:val="00DA04ED"/>
    <w:rsid w:val="00DA166D"/>
    <w:rsid w:val="00DA35CD"/>
    <w:rsid w:val="00DA664C"/>
    <w:rsid w:val="00DA69D9"/>
    <w:rsid w:val="00DA791C"/>
    <w:rsid w:val="00DB17A2"/>
    <w:rsid w:val="00DB1D74"/>
    <w:rsid w:val="00DB25E4"/>
    <w:rsid w:val="00DB36C2"/>
    <w:rsid w:val="00DB45EC"/>
    <w:rsid w:val="00DB4917"/>
    <w:rsid w:val="00DB5F07"/>
    <w:rsid w:val="00DB6524"/>
    <w:rsid w:val="00DB6D0F"/>
    <w:rsid w:val="00DC0DDC"/>
    <w:rsid w:val="00DC14F0"/>
    <w:rsid w:val="00DC1945"/>
    <w:rsid w:val="00DC53FC"/>
    <w:rsid w:val="00DC68C9"/>
    <w:rsid w:val="00DD1505"/>
    <w:rsid w:val="00DD1B1B"/>
    <w:rsid w:val="00DD32DC"/>
    <w:rsid w:val="00DD617D"/>
    <w:rsid w:val="00DE04E0"/>
    <w:rsid w:val="00DE06E0"/>
    <w:rsid w:val="00DE39E2"/>
    <w:rsid w:val="00DE55FF"/>
    <w:rsid w:val="00DE5F6F"/>
    <w:rsid w:val="00DE7F03"/>
    <w:rsid w:val="00DF2F4B"/>
    <w:rsid w:val="00DF71A3"/>
    <w:rsid w:val="00E00448"/>
    <w:rsid w:val="00E00B23"/>
    <w:rsid w:val="00E0117D"/>
    <w:rsid w:val="00E0310F"/>
    <w:rsid w:val="00E03125"/>
    <w:rsid w:val="00E04D95"/>
    <w:rsid w:val="00E0769B"/>
    <w:rsid w:val="00E10B5C"/>
    <w:rsid w:val="00E11760"/>
    <w:rsid w:val="00E119E8"/>
    <w:rsid w:val="00E12973"/>
    <w:rsid w:val="00E141EC"/>
    <w:rsid w:val="00E14792"/>
    <w:rsid w:val="00E14DAE"/>
    <w:rsid w:val="00E155FA"/>
    <w:rsid w:val="00E16600"/>
    <w:rsid w:val="00E169CD"/>
    <w:rsid w:val="00E205A2"/>
    <w:rsid w:val="00E217A2"/>
    <w:rsid w:val="00E228DE"/>
    <w:rsid w:val="00E23208"/>
    <w:rsid w:val="00E24758"/>
    <w:rsid w:val="00E2763D"/>
    <w:rsid w:val="00E3374A"/>
    <w:rsid w:val="00E345DB"/>
    <w:rsid w:val="00E3545D"/>
    <w:rsid w:val="00E3574A"/>
    <w:rsid w:val="00E35A46"/>
    <w:rsid w:val="00E37892"/>
    <w:rsid w:val="00E40533"/>
    <w:rsid w:val="00E405B8"/>
    <w:rsid w:val="00E435D8"/>
    <w:rsid w:val="00E4448D"/>
    <w:rsid w:val="00E46F96"/>
    <w:rsid w:val="00E475AC"/>
    <w:rsid w:val="00E50D28"/>
    <w:rsid w:val="00E51807"/>
    <w:rsid w:val="00E53642"/>
    <w:rsid w:val="00E53896"/>
    <w:rsid w:val="00E5597A"/>
    <w:rsid w:val="00E55ABB"/>
    <w:rsid w:val="00E5686D"/>
    <w:rsid w:val="00E6038C"/>
    <w:rsid w:val="00E60BCA"/>
    <w:rsid w:val="00E62FEA"/>
    <w:rsid w:val="00E64602"/>
    <w:rsid w:val="00E659E5"/>
    <w:rsid w:val="00E67B60"/>
    <w:rsid w:val="00E67D90"/>
    <w:rsid w:val="00E72931"/>
    <w:rsid w:val="00E74DC5"/>
    <w:rsid w:val="00E75380"/>
    <w:rsid w:val="00E7665D"/>
    <w:rsid w:val="00E766DF"/>
    <w:rsid w:val="00E8172C"/>
    <w:rsid w:val="00E81F35"/>
    <w:rsid w:val="00E82A56"/>
    <w:rsid w:val="00E82B1A"/>
    <w:rsid w:val="00E83D8A"/>
    <w:rsid w:val="00E90731"/>
    <w:rsid w:val="00E95A84"/>
    <w:rsid w:val="00E96CB5"/>
    <w:rsid w:val="00E9789E"/>
    <w:rsid w:val="00E97BF4"/>
    <w:rsid w:val="00EA0B74"/>
    <w:rsid w:val="00EA2A88"/>
    <w:rsid w:val="00EA3AEA"/>
    <w:rsid w:val="00EA78FF"/>
    <w:rsid w:val="00EB002B"/>
    <w:rsid w:val="00EB094A"/>
    <w:rsid w:val="00EB279B"/>
    <w:rsid w:val="00EB2CA5"/>
    <w:rsid w:val="00EB43FD"/>
    <w:rsid w:val="00EB44BE"/>
    <w:rsid w:val="00EB4682"/>
    <w:rsid w:val="00EB477D"/>
    <w:rsid w:val="00EB7FCF"/>
    <w:rsid w:val="00EC28E5"/>
    <w:rsid w:val="00EC6350"/>
    <w:rsid w:val="00EC6B93"/>
    <w:rsid w:val="00EC741D"/>
    <w:rsid w:val="00ED59D6"/>
    <w:rsid w:val="00EE0868"/>
    <w:rsid w:val="00EE1372"/>
    <w:rsid w:val="00EE1BFF"/>
    <w:rsid w:val="00EE1F4E"/>
    <w:rsid w:val="00EE486A"/>
    <w:rsid w:val="00EF0B62"/>
    <w:rsid w:val="00EF1989"/>
    <w:rsid w:val="00EF3A40"/>
    <w:rsid w:val="00EF468B"/>
    <w:rsid w:val="00EF5429"/>
    <w:rsid w:val="00F02857"/>
    <w:rsid w:val="00F03424"/>
    <w:rsid w:val="00F04CDD"/>
    <w:rsid w:val="00F0606D"/>
    <w:rsid w:val="00F06858"/>
    <w:rsid w:val="00F071A7"/>
    <w:rsid w:val="00F0778D"/>
    <w:rsid w:val="00F077D3"/>
    <w:rsid w:val="00F07E0C"/>
    <w:rsid w:val="00F11032"/>
    <w:rsid w:val="00F1328C"/>
    <w:rsid w:val="00F13939"/>
    <w:rsid w:val="00F13B21"/>
    <w:rsid w:val="00F14463"/>
    <w:rsid w:val="00F1653E"/>
    <w:rsid w:val="00F17FE9"/>
    <w:rsid w:val="00F2128C"/>
    <w:rsid w:val="00F23291"/>
    <w:rsid w:val="00F25284"/>
    <w:rsid w:val="00F26CA1"/>
    <w:rsid w:val="00F31416"/>
    <w:rsid w:val="00F33190"/>
    <w:rsid w:val="00F332A2"/>
    <w:rsid w:val="00F337B2"/>
    <w:rsid w:val="00F33D36"/>
    <w:rsid w:val="00F45799"/>
    <w:rsid w:val="00F4755A"/>
    <w:rsid w:val="00F547A2"/>
    <w:rsid w:val="00F555C6"/>
    <w:rsid w:val="00F60CC6"/>
    <w:rsid w:val="00F622E8"/>
    <w:rsid w:val="00F63895"/>
    <w:rsid w:val="00F63F4E"/>
    <w:rsid w:val="00F64822"/>
    <w:rsid w:val="00F65CB3"/>
    <w:rsid w:val="00F66B4C"/>
    <w:rsid w:val="00F6759D"/>
    <w:rsid w:val="00F707E3"/>
    <w:rsid w:val="00F70A77"/>
    <w:rsid w:val="00F71CD0"/>
    <w:rsid w:val="00F71FC5"/>
    <w:rsid w:val="00F73049"/>
    <w:rsid w:val="00F7378F"/>
    <w:rsid w:val="00F73F3B"/>
    <w:rsid w:val="00F77609"/>
    <w:rsid w:val="00F77E7B"/>
    <w:rsid w:val="00F80AE5"/>
    <w:rsid w:val="00F84E50"/>
    <w:rsid w:val="00F9065F"/>
    <w:rsid w:val="00F9142F"/>
    <w:rsid w:val="00F91F5A"/>
    <w:rsid w:val="00F92F01"/>
    <w:rsid w:val="00F941C2"/>
    <w:rsid w:val="00F95B2C"/>
    <w:rsid w:val="00F9670A"/>
    <w:rsid w:val="00F971E5"/>
    <w:rsid w:val="00FA0AA2"/>
    <w:rsid w:val="00FA509B"/>
    <w:rsid w:val="00FB0F81"/>
    <w:rsid w:val="00FB17F6"/>
    <w:rsid w:val="00FB3263"/>
    <w:rsid w:val="00FB36B3"/>
    <w:rsid w:val="00FB5CFE"/>
    <w:rsid w:val="00FB6ED3"/>
    <w:rsid w:val="00FB79D5"/>
    <w:rsid w:val="00FC07D5"/>
    <w:rsid w:val="00FC0D50"/>
    <w:rsid w:val="00FC1191"/>
    <w:rsid w:val="00FC3832"/>
    <w:rsid w:val="00FC4754"/>
    <w:rsid w:val="00FC6BFA"/>
    <w:rsid w:val="00FD1F2A"/>
    <w:rsid w:val="00FD4195"/>
    <w:rsid w:val="00FD5FBF"/>
    <w:rsid w:val="00FE41CB"/>
    <w:rsid w:val="00FE574F"/>
    <w:rsid w:val="00FE610F"/>
    <w:rsid w:val="00FF029E"/>
    <w:rsid w:val="00FF0918"/>
    <w:rsid w:val="00FF0A78"/>
    <w:rsid w:val="00FF2332"/>
    <w:rsid w:val="00FF48F9"/>
    <w:rsid w:val="00FF6F4D"/>
    <w:rsid w:val="00FF7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FA1E801"/>
  <w15:chartTrackingRefBased/>
  <w15:docId w15:val="{EEF509BC-FAEC-4756-9135-787E7A57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08D9"/>
    <w:rPr>
      <w:rFonts w:ascii="Arial" w:hAnsi="Arial"/>
      <w:sz w:val="24"/>
      <w:szCs w:val="24"/>
      <w:lang w:eastAsia="en-US"/>
    </w:rPr>
  </w:style>
  <w:style w:type="paragraph" w:styleId="Heading1">
    <w:name w:val="heading 1"/>
    <w:basedOn w:val="Normal"/>
    <w:next w:val="Normal"/>
    <w:link w:val="Heading1Char"/>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qFormat/>
    <w:rsid w:val="002B7335"/>
    <w:pPr>
      <w:keepNext/>
      <w:keepLines/>
      <w:spacing w:before="480" w:after="240"/>
      <w:outlineLvl w:val="1"/>
    </w:pPr>
    <w:rPr>
      <w:rFonts w:cs="Arial"/>
      <w:bCs/>
      <w:color w:val="000000"/>
      <w:sz w:val="32"/>
      <w:szCs w:val="22"/>
      <w:lang w:eastAsia="en-GB"/>
    </w:rPr>
  </w:style>
  <w:style w:type="paragraph" w:styleId="Heading3">
    <w:name w:val="heading 3"/>
    <w:aliases w:val="EBHeading2"/>
    <w:basedOn w:val="Normal"/>
    <w:next w:val="EBBodyPara"/>
    <w:link w:val="Heading3Char"/>
    <w:qFormat/>
    <w:rsid w:val="002B7335"/>
    <w:pPr>
      <w:keepNext/>
      <w:keepLines/>
      <w:spacing w:before="360" w:after="240"/>
      <w:outlineLvl w:val="2"/>
    </w:pPr>
    <w:rPr>
      <w:rFonts w:cs="Arial"/>
      <w:b/>
      <w:bCs/>
      <w:color w:val="000000"/>
      <w:szCs w:val="22"/>
      <w:lang w:eastAsia="en-GB"/>
    </w:rPr>
  </w:style>
  <w:style w:type="paragraph" w:styleId="Heading4">
    <w:name w:val="heading 4"/>
    <w:aliases w:val="EBHeading3"/>
    <w:basedOn w:val="EBBodyPara"/>
    <w:next w:val="Normal"/>
    <w:link w:val="Heading4Char"/>
    <w:qFormat/>
    <w:rsid w:val="002B7335"/>
    <w:pPr>
      <w:spacing w:before="240"/>
      <w:outlineLvl w:val="3"/>
    </w:pPr>
    <w:rPr>
      <w:b/>
    </w:rPr>
  </w:style>
  <w:style w:type="paragraph" w:styleId="Heading5">
    <w:name w:val="heading 5"/>
    <w:aliases w:val="EBHeading4"/>
    <w:basedOn w:val="Normal"/>
    <w:next w:val="Normal"/>
    <w:link w:val="Heading5Char"/>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5EC3"/>
    <w:rPr>
      <w:rFonts w:ascii="Arial Bold" w:hAnsi="Arial Bold" w:cs="Arial"/>
      <w:b/>
      <w:bCs/>
      <w:spacing w:val="-4"/>
      <w:kern w:val="32"/>
      <w:sz w:val="32"/>
      <w:szCs w:val="32"/>
      <w:lang w:eastAsia="en-US"/>
    </w:rPr>
  </w:style>
  <w:style w:type="paragraph" w:customStyle="1" w:styleId="EBBodyPara">
    <w:name w:val="EBBodyPara"/>
    <w:basedOn w:val="BodyText"/>
    <w:rsid w:val="005A2FC0"/>
  </w:style>
  <w:style w:type="paragraph" w:styleId="BodyText">
    <w:name w:val="Body Text"/>
    <w:basedOn w:val="Normal"/>
    <w:link w:val="BodyTextChar"/>
    <w:rsid w:val="003E54B6"/>
    <w:pPr>
      <w:spacing w:after="120"/>
    </w:pPr>
    <w:rPr>
      <w:rFonts w:cs="Arial"/>
      <w:bCs/>
      <w:color w:val="000000"/>
      <w:sz w:val="22"/>
      <w:szCs w:val="22"/>
      <w:lang w:eastAsia="en-GB"/>
    </w:rPr>
  </w:style>
  <w:style w:type="character" w:customStyle="1" w:styleId="BodyTextChar">
    <w:name w:val="Body Text Char"/>
    <w:link w:val="BodyText"/>
    <w:rsid w:val="0049416F"/>
    <w:rPr>
      <w:rFonts w:ascii="Arial" w:hAnsi="Arial" w:cs="Arial"/>
      <w:bCs/>
      <w:color w:val="000000"/>
      <w:sz w:val="22"/>
      <w:szCs w:val="22"/>
      <w:lang w:val="en-GB" w:eastAsia="en-GB" w:bidi="ar-SA"/>
    </w:rPr>
  </w:style>
  <w:style w:type="character" w:customStyle="1" w:styleId="Heading2Char">
    <w:name w:val="Heading 2 Char"/>
    <w:aliases w:val="EBHeading1 Char"/>
    <w:link w:val="Heading2"/>
    <w:rsid w:val="00D95EC3"/>
    <w:rPr>
      <w:rFonts w:ascii="Arial" w:hAnsi="Arial" w:cs="Arial"/>
      <w:bCs/>
      <w:color w:val="000000"/>
      <w:sz w:val="32"/>
      <w:szCs w:val="22"/>
    </w:rPr>
  </w:style>
  <w:style w:type="character" w:customStyle="1" w:styleId="Heading3Char">
    <w:name w:val="Heading 3 Char"/>
    <w:aliases w:val="EBHeading2 Char"/>
    <w:link w:val="Heading3"/>
    <w:rsid w:val="00D95EC3"/>
    <w:rPr>
      <w:rFonts w:ascii="Arial" w:hAnsi="Arial" w:cs="Arial"/>
      <w:b/>
      <w:bCs/>
      <w:color w:val="000000"/>
      <w:sz w:val="24"/>
      <w:szCs w:val="22"/>
    </w:rPr>
  </w:style>
  <w:style w:type="character" w:customStyle="1" w:styleId="Heading4Char">
    <w:name w:val="Heading 4 Char"/>
    <w:aliases w:val="EBHeading3 Char"/>
    <w:link w:val="Heading4"/>
    <w:rsid w:val="00D95EC3"/>
    <w:rPr>
      <w:rFonts w:ascii="Arial" w:hAnsi="Arial" w:cs="Arial"/>
      <w:b/>
      <w:bCs/>
      <w:color w:val="000000"/>
      <w:sz w:val="22"/>
      <w:szCs w:val="22"/>
    </w:rPr>
  </w:style>
  <w:style w:type="character" w:customStyle="1" w:styleId="Heading5Char">
    <w:name w:val="Heading 5 Char"/>
    <w:aliases w:val="EBHeading4 Char"/>
    <w:link w:val="Heading5"/>
    <w:rsid w:val="00D95EC3"/>
    <w:rPr>
      <w:rFonts w:ascii="Arial" w:hAnsi="Arial"/>
      <w:bCs/>
      <w:i/>
      <w:iCs/>
      <w:sz w:val="22"/>
      <w:szCs w:val="26"/>
      <w:lang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szCs w:val="20"/>
      <w:lang w:eastAsia="zh-CN"/>
    </w:rPr>
  </w:style>
  <w:style w:type="character" w:customStyle="1" w:styleId="IATableLabelCharChar">
    <w:name w:val="IATableLabel Char Char"/>
    <w:link w:val="IATableLabel"/>
    <w:rsid w:val="00402E80"/>
    <w:rPr>
      <w:rFonts w:ascii="Arial" w:eastAsia="SimSun" w:hAnsi="Arial"/>
      <w:b/>
      <w:color w:val="000000"/>
      <w:spacing w:val="-5"/>
      <w:lang w:val="en-GB" w:eastAsia="zh-CN" w:bidi="ar-SA"/>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rsid w:val="00220F29"/>
    <w:rPr>
      <w:rFonts w:ascii="Arial" w:eastAsia="SimSun" w:hAnsi="Arial"/>
      <w:b/>
      <w:color w:val="000000"/>
      <w:spacing w:val="-5"/>
      <w:sz w:val="22"/>
      <w:lang w:val="en-GB" w:eastAsia="zh-CN" w:bidi="ar-SA"/>
    </w:rPr>
  </w:style>
  <w:style w:type="table" w:styleId="TableGrid">
    <w:name w:val="Table Grid"/>
    <w:basedOn w:val="TableNormal"/>
    <w:uiPriority w:val="3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F64C7"/>
    <w:pPr>
      <w:ind w:left="113"/>
      <w:outlineLvl w:val="0"/>
    </w:pPr>
    <w:rPr>
      <w:rFonts w:cs="Arial"/>
      <w:bCs/>
      <w:color w:val="FFFFFF"/>
      <w:kern w:val="28"/>
      <w:sz w:val="32"/>
      <w:szCs w:val="32"/>
    </w:rPr>
  </w:style>
  <w:style w:type="character" w:customStyle="1" w:styleId="TitleChar">
    <w:name w:val="Title Char"/>
    <w:link w:val="Title"/>
    <w:rsid w:val="00174C10"/>
    <w:rPr>
      <w:rFonts w:ascii="Arial" w:hAnsi="Arial" w:cs="Arial"/>
      <w:bCs/>
      <w:color w:val="FFFFFF"/>
      <w:kern w:val="28"/>
      <w:sz w:val="32"/>
      <w:szCs w:val="32"/>
      <w:lang w:val="en-GB" w:eastAsia="en-US" w:bidi="ar-SA"/>
    </w:rPr>
  </w:style>
  <w:style w:type="paragraph" w:customStyle="1" w:styleId="IAHeadDept">
    <w:name w:val="IAHeadDept"/>
    <w:basedOn w:val="IATableText"/>
    <w:link w:val="IAHeadDeptChar"/>
    <w:rsid w:val="00C120C0"/>
    <w:pPr>
      <w:spacing w:after="120"/>
      <w:ind w:left="0" w:right="57"/>
    </w:pPr>
    <w:rPr>
      <w:spacing w:val="-6"/>
      <w:szCs w:val="22"/>
    </w:rPr>
  </w:style>
  <w:style w:type="character" w:customStyle="1" w:styleId="IAHeadDeptChar">
    <w:name w:val="IAHeadDept Char"/>
    <w:link w:val="IAHeadDept"/>
    <w:rsid w:val="008031EC"/>
    <w:rPr>
      <w:rFonts w:ascii="Arial" w:eastAsia="SimSun" w:hAnsi="Arial"/>
      <w:b/>
      <w:color w:val="000000"/>
      <w:spacing w:val="-6"/>
      <w:sz w:val="22"/>
      <w:szCs w:val="22"/>
      <w:lang w:val="en-GB" w:eastAsia="zh-CN" w:bidi="ar-SA"/>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rsid w:val="00570F8E"/>
    <w:rPr>
      <w:rFonts w:ascii="Arial" w:eastAsia="SimSun" w:hAnsi="Arial"/>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vAlign w:val="center"/>
    </w:tcPr>
  </w:style>
  <w:style w:type="paragraph" w:customStyle="1" w:styleId="IATableNotes">
    <w:name w:val="IATableNotes"/>
    <w:basedOn w:val="Normal"/>
    <w:link w:val="IATableNotesChar"/>
    <w:rsid w:val="006A5A2E"/>
    <w:pPr>
      <w:spacing w:before="60" w:after="60"/>
      <w:ind w:left="113" w:right="113"/>
    </w:pPr>
    <w:rPr>
      <w:rFonts w:eastAsia="SimSun"/>
      <w:sz w:val="18"/>
      <w:szCs w:val="20"/>
      <w:lang w:eastAsia="zh-CN"/>
    </w:rPr>
  </w:style>
  <w:style w:type="character" w:customStyle="1" w:styleId="IATableNotesChar">
    <w:name w:val="IATableNotes Char"/>
    <w:link w:val="IATableNotes"/>
    <w:rsid w:val="006A5A2E"/>
    <w:rPr>
      <w:rFonts w:ascii="Arial" w:eastAsia="SimSun" w:hAnsi="Arial"/>
      <w:sz w:val="18"/>
      <w:lang w:val="en-GB" w:eastAsia="zh-CN" w:bidi="ar-SA"/>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rsid w:val="006A5A2E"/>
    <w:rPr>
      <w:rFonts w:ascii="Arial" w:eastAsia="SimSun" w:hAnsi="Arial"/>
      <w:b/>
      <w:bCs/>
      <w:i/>
      <w:iCs/>
      <w:sz w:val="18"/>
      <w:lang w:val="en-GB" w:eastAsia="zh-CN" w:bidi="ar-SA"/>
    </w:rPr>
  </w:style>
  <w:style w:type="paragraph" w:customStyle="1" w:styleId="IAHeadTitle">
    <w:name w:val="IAHeadTitle"/>
    <w:basedOn w:val="IAHeadDept"/>
    <w:link w:val="IAHeadTitleChar"/>
    <w:rsid w:val="008228A5"/>
    <w:pPr>
      <w:spacing w:before="0" w:after="0"/>
    </w:pPr>
    <w:rPr>
      <w:b/>
      <w:sz w:val="28"/>
      <w:szCs w:val="28"/>
    </w:rPr>
  </w:style>
  <w:style w:type="character" w:customStyle="1" w:styleId="IAHeadTitleChar">
    <w:name w:val="IAHeadTitle Char"/>
    <w:link w:val="IAHeadTitle"/>
    <w:rsid w:val="008031EC"/>
    <w:rPr>
      <w:rFonts w:ascii="Arial" w:eastAsia="SimSun" w:hAnsi="Arial"/>
      <w:b/>
      <w:color w:val="000000"/>
      <w:spacing w:val="-6"/>
      <w:sz w:val="28"/>
      <w:szCs w:val="28"/>
      <w:lang w:val="en-GB" w:eastAsia="zh-CN" w:bidi="ar-SA"/>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rsid w:val="009050B9"/>
    <w:rPr>
      <w:rFonts w:ascii="Arial" w:eastAsia="SimSun" w:hAnsi="Arial"/>
      <w:b/>
      <w:color w:val="000000"/>
      <w:spacing w:val="-5"/>
      <w:szCs w:val="22"/>
      <w:u w:val="single"/>
      <w:lang w:val="en-GB" w:eastAsia="zh-CN" w:bidi="ar-SA"/>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rsid w:val="00E96CB5"/>
    <w:pPr>
      <w:jc w:val="center"/>
    </w:pPr>
    <w:rPr>
      <w:caps/>
    </w:rPr>
  </w:style>
  <w:style w:type="character" w:customStyle="1" w:styleId="HeaderChar">
    <w:name w:val="Header Char"/>
    <w:link w:val="Header"/>
    <w:rsid w:val="00D95EC3"/>
    <w:rPr>
      <w:rFonts w:ascii="Arial" w:hAnsi="Arial"/>
      <w:caps/>
      <w:sz w:val="24"/>
      <w:szCs w:val="24"/>
      <w:lang w:eastAsia="en-US"/>
    </w:rPr>
  </w:style>
  <w:style w:type="paragraph" w:styleId="Footer">
    <w:name w:val="footer"/>
    <w:basedOn w:val="Normal"/>
    <w:link w:val="FooterChar"/>
    <w:rsid w:val="000407D8"/>
    <w:pPr>
      <w:tabs>
        <w:tab w:val="center" w:pos="5132"/>
        <w:tab w:val="right" w:pos="10260"/>
      </w:tabs>
      <w:jc w:val="center"/>
    </w:pPr>
    <w:rPr>
      <w:b/>
      <w:sz w:val="18"/>
    </w:rPr>
  </w:style>
  <w:style w:type="character" w:customStyle="1" w:styleId="FooterChar">
    <w:name w:val="Footer Char"/>
    <w:link w:val="Footer"/>
    <w:rsid w:val="00D95EC3"/>
    <w:rPr>
      <w:rFonts w:ascii="Arial" w:hAnsi="Arial"/>
      <w:b/>
      <w:sz w:val="18"/>
      <w:szCs w:val="24"/>
      <w:lang w:eastAsia="en-US"/>
    </w:rPr>
  </w:style>
  <w:style w:type="character" w:styleId="PageNumber">
    <w:name w:val="page number"/>
    <w:basedOn w:val="DefaultParagraphFont"/>
    <w:rsid w:val="00EB43FD"/>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aliases w:val="Char"/>
    <w:basedOn w:val="Normal"/>
    <w:link w:val="FootnoteTextChar"/>
    <w:uiPriority w:val="99"/>
    <w:rsid w:val="00490FF7"/>
    <w:rPr>
      <w:rFonts w:eastAsia="SimSun"/>
      <w:sz w:val="16"/>
      <w:szCs w:val="20"/>
      <w:lang w:eastAsia="zh-CN"/>
    </w:rPr>
  </w:style>
  <w:style w:type="character" w:customStyle="1" w:styleId="FootnoteTextChar">
    <w:name w:val="Footnote Text Char"/>
    <w:aliases w:val="Char Char"/>
    <w:link w:val="FootnoteText"/>
    <w:uiPriority w:val="99"/>
    <w:rsid w:val="00D95EC3"/>
    <w:rPr>
      <w:rFonts w:ascii="Arial" w:eastAsia="SimSun" w:hAnsi="Arial"/>
      <w:sz w:val="16"/>
      <w:lang w:eastAsia="zh-CN"/>
    </w:rPr>
  </w:style>
  <w:style w:type="character" w:styleId="FootnoteReference">
    <w:name w:val="footnote reference"/>
    <w:uiPriority w:val="99"/>
    <w:rsid w:val="00B84190"/>
    <w:rPr>
      <w:sz w:val="22"/>
      <w:vertAlign w:val="superscript"/>
    </w:rPr>
  </w:style>
  <w:style w:type="paragraph" w:styleId="BalloonText">
    <w:name w:val="Balloon Text"/>
    <w:basedOn w:val="Normal"/>
    <w:link w:val="BalloonTextChar"/>
    <w:semiHidden/>
    <w:rsid w:val="00300CED"/>
    <w:rPr>
      <w:rFonts w:ascii="Tahoma" w:hAnsi="Tahoma" w:cs="Tahoma"/>
      <w:sz w:val="16"/>
      <w:szCs w:val="16"/>
    </w:rPr>
  </w:style>
  <w:style w:type="character" w:customStyle="1" w:styleId="BalloonTextChar">
    <w:name w:val="Balloon Text Char"/>
    <w:link w:val="BalloonText"/>
    <w:semiHidden/>
    <w:rsid w:val="00D95EC3"/>
    <w:rPr>
      <w:rFonts w:ascii="Tahoma" w:hAnsi="Tahoma" w:cs="Tahoma"/>
      <w:sz w:val="16"/>
      <w:szCs w:val="16"/>
      <w:lang w:eastAsia="en-US"/>
    </w:rPr>
  </w:style>
  <w:style w:type="paragraph" w:customStyle="1" w:styleId="EBNumber">
    <w:name w:val="EBNumber"/>
    <w:basedOn w:val="BodyText"/>
    <w:rsid w:val="002B7335"/>
    <w:pPr>
      <w:numPr>
        <w:ilvl w:val="1"/>
        <w:numId w:val="4"/>
      </w:numPr>
    </w:pPr>
  </w:style>
  <w:style w:type="paragraph" w:customStyle="1" w:styleId="EBNumberRestart">
    <w:name w:val="EBNumberRestart"/>
    <w:basedOn w:val="BodyText"/>
    <w:next w:val="EBNumber"/>
    <w:rsid w:val="002B7335"/>
    <w:pPr>
      <w:numPr>
        <w:numId w:val="4"/>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pPr>
  </w:style>
  <w:style w:type="character" w:styleId="Hyperlink">
    <w:name w:val="Hyperlink"/>
    <w:rsid w:val="00B4136C"/>
    <w:rPr>
      <w:color w:val="auto"/>
      <w:u w:val="single"/>
    </w:rPr>
  </w:style>
  <w:style w:type="paragraph" w:customStyle="1" w:styleId="POPBY">
    <w:name w:val="POPBY"/>
    <w:basedOn w:val="IATableLabel"/>
    <w:rsid w:val="00AB574B"/>
  </w:style>
  <w:style w:type="paragraph" w:customStyle="1" w:styleId="EBBullet">
    <w:name w:val="EBBullet"/>
    <w:basedOn w:val="BodyText"/>
    <w:uiPriority w:val="99"/>
    <w:rsid w:val="002B7335"/>
    <w:pPr>
      <w:numPr>
        <w:numId w:val="3"/>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character" w:customStyle="1" w:styleId="IATableLinesChar">
    <w:name w:val="IATableLines Char"/>
    <w:basedOn w:val="IATableTextChar"/>
    <w:link w:val="IATableLines"/>
    <w:rsid w:val="00174C10"/>
    <w:rPr>
      <w:rFonts w:ascii="Arial" w:eastAsia="SimSun" w:hAnsi="Arial"/>
      <w:b/>
      <w:color w:val="000000"/>
      <w:spacing w:val="-5"/>
      <w:sz w:val="22"/>
      <w:lang w:val="en-GB" w:eastAsia="zh-CN" w:bidi="ar-SA"/>
    </w:r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rsid w:val="006D37CF"/>
    <w:rPr>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rsid w:val="00F622E8"/>
    <w:rPr>
      <w:rFonts w:ascii="Arial" w:eastAsia="SimSun" w:hAnsi="Arial"/>
      <w:b/>
      <w:color w:val="000000"/>
      <w:spacing w:val="-5"/>
      <w:szCs w:val="22"/>
      <w:lang w:val="en-GB" w:eastAsia="zh-CN" w:bidi="ar-SA"/>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rsid w:val="00F622E8"/>
    <w:rPr>
      <w:rFonts w:ascii="Arial" w:eastAsia="SimSun" w:hAnsi="Arial"/>
      <w:b/>
      <w:color w:val="000000"/>
      <w:spacing w:val="-5"/>
      <w:szCs w:val="22"/>
      <w:lang w:val="en-GB" w:eastAsia="zh-CN" w:bidi="ar-SA"/>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rsid w:val="00F622E8"/>
    <w:rPr>
      <w:rFonts w:ascii="Arial" w:eastAsia="SimSun" w:hAnsi="Arial"/>
      <w:b/>
      <w:color w:val="000000"/>
      <w:spacing w:val="-5"/>
      <w:szCs w:val="22"/>
      <w:lang w:val="en-GB" w:eastAsia="zh-CN" w:bidi="ar-SA"/>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character" w:customStyle="1" w:styleId="IAPOQ2Char">
    <w:name w:val="IAPOQ2 Char"/>
    <w:basedOn w:val="IATableLabelCharChar"/>
    <w:link w:val="IAPOQ2"/>
    <w:rsid w:val="00F1653E"/>
    <w:rPr>
      <w:rFonts w:ascii="Arial" w:eastAsia="SimSun" w:hAnsi="Arial"/>
      <w:b/>
      <w:color w:val="000000"/>
      <w:spacing w:val="-5"/>
      <w:lang w:val="en-GB" w:eastAsia="zh-CN" w:bidi="ar-SA"/>
    </w:rPr>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character" w:customStyle="1" w:styleId="IPPOQ3Char">
    <w:name w:val="IPPOQ3 Char"/>
    <w:basedOn w:val="IAPOQ2Char"/>
    <w:link w:val="IPPOQ3"/>
    <w:rsid w:val="00F1653E"/>
    <w:rPr>
      <w:rFonts w:ascii="Arial" w:eastAsia="SimSun" w:hAnsi="Arial"/>
      <w:b/>
      <w:color w:val="000000"/>
      <w:spacing w:val="-5"/>
      <w:lang w:val="en-GB" w:eastAsia="zh-CN" w:bidi="ar-SA"/>
    </w:rPr>
  </w:style>
  <w:style w:type="paragraph" w:customStyle="1" w:styleId="IAPOQ4">
    <w:name w:val="IAPOQ4"/>
    <w:basedOn w:val="IPPOQ3"/>
    <w:link w:val="IAPOQ4Char"/>
    <w:rsid w:val="00F1653E"/>
  </w:style>
  <w:style w:type="character" w:customStyle="1" w:styleId="IAPOQ4Char">
    <w:name w:val="IAPOQ4 Char"/>
    <w:basedOn w:val="IPPOQ3Char"/>
    <w:link w:val="IAPOQ4"/>
    <w:rsid w:val="00F1653E"/>
    <w:rPr>
      <w:rFonts w:ascii="Arial" w:eastAsia="SimSun" w:hAnsi="Arial"/>
      <w:b/>
      <w:color w:val="000000"/>
      <w:spacing w:val="-5"/>
      <w:lang w:val="en-GB" w:eastAsia="zh-CN" w:bidi="ar-SA"/>
    </w:rPr>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5Char">
    <w:name w:val="IAPOQ5 Char"/>
    <w:basedOn w:val="IAPOQ4Char"/>
    <w:link w:val="IAPOQ5"/>
    <w:rsid w:val="00F1653E"/>
    <w:rPr>
      <w:rFonts w:ascii="Arial" w:eastAsia="SimSun" w:hAnsi="Arial"/>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rsid w:val="000E3FD7"/>
    <w:rPr>
      <w:rFonts w:ascii="Arial" w:eastAsia="SimSun" w:hAnsi="Arial"/>
      <w:b/>
      <w:color w:val="000000"/>
      <w:spacing w:val="-5"/>
      <w:sz w:val="22"/>
      <w:szCs w:val="22"/>
      <w:lang w:val="en-GB" w:eastAsia="zh-CN" w:bidi="ar-SA"/>
    </w:rPr>
  </w:style>
  <w:style w:type="paragraph" w:customStyle="1" w:styleId="IAPODIBen">
    <w:name w:val="IAPODIBen"/>
    <w:basedOn w:val="IATableLabel"/>
    <w:link w:val="IAPODIBenChar"/>
    <w:rsid w:val="000E3FD7"/>
    <w:rPr>
      <w:b w:val="0"/>
      <w:sz w:val="22"/>
      <w:szCs w:val="22"/>
    </w:rPr>
  </w:style>
  <w:style w:type="character" w:customStyle="1" w:styleId="IAPODIBenChar">
    <w:name w:val="IAPODIBen Char"/>
    <w:link w:val="IAPODIBen"/>
    <w:rsid w:val="000E3FD7"/>
    <w:rPr>
      <w:rFonts w:ascii="Arial" w:eastAsia="SimSun" w:hAnsi="Arial"/>
      <w:b/>
      <w:color w:val="000000"/>
      <w:spacing w:val="-5"/>
      <w:sz w:val="22"/>
      <w:szCs w:val="22"/>
      <w:lang w:val="en-GB" w:eastAsia="zh-CN" w:bidi="ar-SA"/>
    </w:rPr>
  </w:style>
  <w:style w:type="paragraph" w:customStyle="1" w:styleId="IAPODINet">
    <w:name w:val="IAPODINet"/>
    <w:basedOn w:val="IATableLabel"/>
    <w:link w:val="IAPODINetChar"/>
    <w:rsid w:val="000E3FD7"/>
    <w:rPr>
      <w:b w:val="0"/>
      <w:sz w:val="22"/>
      <w:szCs w:val="22"/>
    </w:rPr>
  </w:style>
  <w:style w:type="character" w:customStyle="1" w:styleId="IAPODINetChar">
    <w:name w:val="IAPODINet Char"/>
    <w:link w:val="IAPODINet"/>
    <w:rsid w:val="000E3FD7"/>
    <w:rPr>
      <w:rFonts w:ascii="Arial" w:eastAsia="SimSun" w:hAnsi="Arial"/>
      <w:b/>
      <w:color w:val="000000"/>
      <w:spacing w:val="-5"/>
      <w:sz w:val="22"/>
      <w:szCs w:val="22"/>
      <w:lang w:val="en-GB" w:eastAsia="zh-CN" w:bidi="ar-SA"/>
    </w:rPr>
  </w:style>
  <w:style w:type="paragraph" w:customStyle="1" w:styleId="IAPODIOIOO">
    <w:name w:val="IAPODIOIOO"/>
    <w:basedOn w:val="IATableLabel"/>
    <w:rsid w:val="000E3FD7"/>
    <w:rPr>
      <w:b w:val="0"/>
      <w:sz w:val="22"/>
      <w:szCs w:val="22"/>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rPr>
      <w:rFonts w:ascii="Times New Roman" w:eastAsia="Calibri" w:hAnsi="Times New Roman"/>
      <w:lang w:eastAsia="en-GB"/>
    </w:r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NoChar">
    <w:name w:val="IANo Char"/>
    <w:link w:val="IANo"/>
    <w:rsid w:val="005F32E7"/>
    <w:rPr>
      <w:rFonts w:ascii="Arial" w:eastAsia="SimSun" w:hAnsi="Arial"/>
      <w:b/>
      <w:color w:val="000000"/>
      <w:spacing w:val="-6"/>
      <w:sz w:val="28"/>
      <w:szCs w:val="22"/>
      <w:lang w:val="en-GB" w:eastAsia="en-US" w:bidi="ar-SA"/>
    </w:rPr>
  </w:style>
  <w:style w:type="paragraph" w:customStyle="1" w:styleId="IALeadDept">
    <w:name w:val="IALeadDept"/>
    <w:basedOn w:val="Normal"/>
    <w:rsid w:val="005F32E7"/>
    <w:pPr>
      <w:ind w:left="113"/>
    </w:pPr>
    <w:rPr>
      <w:rFonts w:eastAsia="Arial Unicode M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character" w:customStyle="1" w:styleId="IADateChar">
    <w:name w:val="IADate Char"/>
    <w:link w:val="IADate"/>
    <w:rsid w:val="00174C10"/>
    <w:rPr>
      <w:rFonts w:ascii="Arial" w:eastAsia="SimSun" w:hAnsi="Arial"/>
      <w:b/>
      <w:color w:val="000000"/>
      <w:spacing w:val="-5"/>
      <w:sz w:val="22"/>
      <w:szCs w:val="22"/>
      <w:lang w:val="en-GB" w:eastAsia="zh-CN" w:bidi="ar-SA"/>
    </w:rPr>
  </w:style>
  <w:style w:type="paragraph" w:customStyle="1" w:styleId="IAStage">
    <w:name w:val="IAStage"/>
    <w:basedOn w:val="IATableLabel"/>
    <w:link w:val="IAStageChar"/>
    <w:rsid w:val="008031EC"/>
    <w:rPr>
      <w:b w:val="0"/>
      <w:sz w:val="22"/>
    </w:rPr>
  </w:style>
  <w:style w:type="character" w:customStyle="1" w:styleId="IAStageChar">
    <w:name w:val="IAStage Char"/>
    <w:link w:val="IAStage"/>
    <w:rsid w:val="00174C10"/>
    <w:rPr>
      <w:rFonts w:ascii="Arial" w:eastAsia="SimSun" w:hAnsi="Arial"/>
      <w:b/>
      <w:color w:val="000000"/>
      <w:spacing w:val="-5"/>
      <w:sz w:val="22"/>
      <w:lang w:val="en-GB" w:eastAsia="zh-CN" w:bidi="ar-SA"/>
    </w:rPr>
  </w:style>
  <w:style w:type="paragraph" w:customStyle="1" w:styleId="IASOI">
    <w:name w:val="IASOI"/>
    <w:basedOn w:val="IATableLabel"/>
    <w:link w:val="IASOIChar"/>
    <w:rsid w:val="008031EC"/>
    <w:rPr>
      <w:b w:val="0"/>
      <w:sz w:val="22"/>
    </w:rPr>
  </w:style>
  <w:style w:type="character" w:customStyle="1" w:styleId="IASOIChar">
    <w:name w:val="IASOI Char"/>
    <w:link w:val="IASOI"/>
    <w:rsid w:val="00174C10"/>
    <w:rPr>
      <w:rFonts w:ascii="Arial" w:eastAsia="SimSun" w:hAnsi="Arial"/>
      <w:b/>
      <w:color w:val="000000"/>
      <w:spacing w:val="-5"/>
      <w:sz w:val="22"/>
      <w:lang w:val="en-GB" w:eastAsia="zh-CN" w:bidi="ar-SA"/>
    </w:rPr>
  </w:style>
  <w:style w:type="paragraph" w:customStyle="1" w:styleId="IATOM">
    <w:name w:val="IATOM"/>
    <w:basedOn w:val="IATableLabel"/>
    <w:link w:val="IATOMChar"/>
    <w:rsid w:val="008031EC"/>
    <w:rPr>
      <w:b w:val="0"/>
      <w:sz w:val="22"/>
    </w:rPr>
  </w:style>
  <w:style w:type="character" w:customStyle="1" w:styleId="IATOMChar">
    <w:name w:val="IATOM Char"/>
    <w:link w:val="IATOM"/>
    <w:rsid w:val="00174C10"/>
    <w:rPr>
      <w:rFonts w:ascii="Arial" w:eastAsia="SimSun" w:hAnsi="Arial"/>
      <w:b/>
      <w:color w:val="000000"/>
      <w:spacing w:val="-5"/>
      <w:sz w:val="22"/>
      <w:lang w:val="en-GB" w:eastAsia="zh-CN" w:bidi="ar-SA"/>
    </w:rPr>
  </w:style>
  <w:style w:type="paragraph" w:customStyle="1" w:styleId="IACOE">
    <w:name w:val="IACOE"/>
    <w:basedOn w:val="Normal"/>
    <w:link w:val="IACOEChar"/>
    <w:autoRedefine/>
    <w:rsid w:val="00B225B0"/>
    <w:rPr>
      <w:rFonts w:eastAsia="SimSun"/>
      <w:spacing w:val="-5"/>
      <w:sz w:val="20"/>
      <w:lang w:eastAsia="zh-CN"/>
    </w:rPr>
  </w:style>
  <w:style w:type="character" w:customStyle="1" w:styleId="IACOEChar">
    <w:name w:val="IACOE Char"/>
    <w:link w:val="IACOE"/>
    <w:rsid w:val="00B225B0"/>
    <w:rPr>
      <w:rFonts w:ascii="Arial" w:eastAsia="SimSun" w:hAnsi="Arial"/>
      <w:b/>
      <w:color w:val="000000"/>
      <w:spacing w:val="-5"/>
      <w:sz w:val="22"/>
      <w:szCs w:val="24"/>
      <w:lang w:val="en-GB" w:eastAsia="zh-CN" w:bidi="ar-SA"/>
    </w:rPr>
  </w:style>
  <w:style w:type="paragraph" w:customStyle="1" w:styleId="IARPC">
    <w:name w:val="IARPC"/>
    <w:basedOn w:val="Title"/>
    <w:link w:val="IARPCChar"/>
    <w:rsid w:val="00174C10"/>
    <w:rPr>
      <w:rFonts w:eastAsia="SimSun"/>
      <w:color w:val="000000"/>
      <w:sz w:val="24"/>
      <w:szCs w:val="24"/>
    </w:rPr>
  </w:style>
  <w:style w:type="character" w:customStyle="1" w:styleId="IARPCChar">
    <w:name w:val="IARPC Char"/>
    <w:link w:val="IARPC"/>
    <w:rsid w:val="00174C10"/>
    <w:rPr>
      <w:rFonts w:ascii="Arial" w:eastAsia="SimSun" w:hAnsi="Arial" w:cs="Arial"/>
      <w:bCs/>
      <w:color w:val="000000"/>
      <w:kern w:val="28"/>
      <w:sz w:val="24"/>
      <w:szCs w:val="24"/>
      <w:lang w:val="en-GB" w:eastAsia="en-US" w:bidi="ar-SA"/>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rsid w:val="00F91F5A"/>
    <w:rPr>
      <w:rFonts w:ascii="Arial" w:eastAsia="SimSun" w:hAnsi="Arial"/>
      <w:b/>
      <w:color w:val="000000"/>
      <w:spacing w:val="-5"/>
      <w:sz w:val="22"/>
      <w:szCs w:val="22"/>
      <w:lang w:val="en-GB" w:eastAsia="zh-CN" w:bidi="ar-SA"/>
    </w:rPr>
  </w:style>
  <w:style w:type="paragraph" w:customStyle="1" w:styleId="IAIOReviewMonth">
    <w:name w:val="IAIOReviewMonth"/>
    <w:basedOn w:val="IATableLabel"/>
    <w:link w:val="IAIOReviewMonthChar"/>
    <w:rsid w:val="00F91F5A"/>
    <w:rPr>
      <w:b w:val="0"/>
      <w:sz w:val="22"/>
      <w:szCs w:val="22"/>
    </w:rPr>
  </w:style>
  <w:style w:type="character" w:customStyle="1" w:styleId="IAIOReviewMonthChar">
    <w:name w:val="IAIOReviewMonth Char"/>
    <w:link w:val="IAIOReviewMonth"/>
    <w:rsid w:val="00F91F5A"/>
    <w:rPr>
      <w:rFonts w:ascii="Arial" w:eastAsia="SimSun" w:hAnsi="Arial"/>
      <w:b/>
      <w:color w:val="000000"/>
      <w:spacing w:val="-5"/>
      <w:sz w:val="22"/>
      <w:szCs w:val="22"/>
      <w:lang w:val="en-GB" w:eastAsia="zh-CN" w:bidi="ar-SA"/>
    </w:rPr>
  </w:style>
  <w:style w:type="paragraph" w:customStyle="1" w:styleId="IAIOReviewYear">
    <w:name w:val="IAIOReviewYear"/>
    <w:basedOn w:val="IATableLabel"/>
    <w:link w:val="IAIOReviewYearChar"/>
    <w:rsid w:val="00F91F5A"/>
    <w:rPr>
      <w:b w:val="0"/>
      <w:sz w:val="22"/>
      <w:szCs w:val="22"/>
    </w:rPr>
  </w:style>
  <w:style w:type="character" w:customStyle="1" w:styleId="IAIOReviewYearChar">
    <w:name w:val="IAIOReviewYear Char"/>
    <w:link w:val="IAIOReviewYear"/>
    <w:rsid w:val="00F91F5A"/>
    <w:rPr>
      <w:rFonts w:ascii="Arial" w:eastAsia="SimSun" w:hAnsi="Arial"/>
      <w:b/>
      <w:color w:val="000000"/>
      <w:spacing w:val="-5"/>
      <w:sz w:val="22"/>
      <w:szCs w:val="22"/>
      <w:lang w:val="en-GB" w:eastAsia="zh-CN" w:bidi="ar-SA"/>
    </w:rPr>
  </w:style>
  <w:style w:type="paragraph" w:customStyle="1" w:styleId="IAIOCheckEU">
    <w:name w:val="IAIOCheckEU"/>
    <w:basedOn w:val="IATableText"/>
    <w:rsid w:val="00F91F5A"/>
    <w:pPr>
      <w:spacing w:before="0" w:after="0"/>
    </w:pPr>
    <w:rPr>
      <w:sz w:val="20"/>
    </w:rPr>
  </w:style>
  <w:style w:type="paragraph" w:customStyle="1" w:styleId="IAIOCheckMicro">
    <w:name w:val="IAIOCheckMicro"/>
    <w:basedOn w:val="IATableLines"/>
    <w:link w:val="IAIOCheckMicroChar"/>
    <w:rsid w:val="00F91F5A"/>
    <w:rPr>
      <w:sz w:val="20"/>
    </w:rPr>
  </w:style>
  <w:style w:type="character" w:customStyle="1" w:styleId="IAIOCheckMicroChar">
    <w:name w:val="IAIOCheckMicro Char"/>
    <w:basedOn w:val="IATableLinesChar"/>
    <w:link w:val="IAIOCheckMicro"/>
    <w:rsid w:val="00D478C9"/>
    <w:rPr>
      <w:rFonts w:ascii="Arial" w:eastAsia="SimSun" w:hAnsi="Arial"/>
      <w:b/>
      <w:color w:val="000000"/>
      <w:spacing w:val="-5"/>
      <w:sz w:val="22"/>
      <w:lang w:val="en-GB" w:eastAsia="zh-CN" w:bidi="ar-SA"/>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character" w:customStyle="1" w:styleId="IAIOCheckSmallChar">
    <w:name w:val="IAIOCheckSmall Char"/>
    <w:basedOn w:val="IATableLinesChar"/>
    <w:link w:val="IAIOCheckSmall"/>
    <w:rsid w:val="00D478C9"/>
    <w:rPr>
      <w:rFonts w:ascii="Arial" w:eastAsia="SimSun" w:hAnsi="Arial"/>
      <w:b/>
      <w:color w:val="000000"/>
      <w:spacing w:val="-5"/>
      <w:sz w:val="22"/>
      <w:lang w:val="en-GB" w:eastAsia="zh-CN" w:bidi="ar-SA"/>
    </w:rPr>
  </w:style>
  <w:style w:type="paragraph" w:customStyle="1" w:styleId="IAIOCheckMedium">
    <w:name w:val="IAIOCheckMedium"/>
    <w:basedOn w:val="IATableLines"/>
    <w:link w:val="IAIOCheckMediumChar"/>
    <w:rsid w:val="00F91F5A"/>
    <w:rPr>
      <w:sz w:val="20"/>
    </w:rPr>
  </w:style>
  <w:style w:type="character" w:customStyle="1" w:styleId="IAIOCheckMediumChar">
    <w:name w:val="IAIOCheckMedium Char"/>
    <w:basedOn w:val="IATableLinesChar"/>
    <w:link w:val="IAIOCheckMedium"/>
    <w:rsid w:val="00D478C9"/>
    <w:rPr>
      <w:rFonts w:ascii="Arial" w:eastAsia="SimSun" w:hAnsi="Arial"/>
      <w:b/>
      <w:color w:val="000000"/>
      <w:spacing w:val="-5"/>
      <w:sz w:val="22"/>
      <w:lang w:val="en-GB" w:eastAsia="zh-CN" w:bidi="ar-SA"/>
    </w:rPr>
  </w:style>
  <w:style w:type="paragraph" w:customStyle="1" w:styleId="IAIOCheckLarge">
    <w:name w:val="IAIOCheckLarge"/>
    <w:basedOn w:val="IATableLines"/>
    <w:link w:val="IAIOCheckLargeChar"/>
    <w:rsid w:val="00F91F5A"/>
    <w:rPr>
      <w:sz w:val="20"/>
    </w:rPr>
  </w:style>
  <w:style w:type="character" w:customStyle="1" w:styleId="IAIOCheckLargeChar">
    <w:name w:val="IAIOCheckLarge Char"/>
    <w:basedOn w:val="IATableLinesChar"/>
    <w:link w:val="IAIOCheckLarge"/>
    <w:rsid w:val="00D478C9"/>
    <w:rPr>
      <w:rFonts w:ascii="Arial" w:eastAsia="SimSun" w:hAnsi="Arial"/>
      <w:b/>
      <w:color w:val="000000"/>
      <w:spacing w:val="-5"/>
      <w:sz w:val="22"/>
      <w:lang w:val="en-GB" w:eastAsia="zh-CN" w:bidi="ar-SA"/>
    </w:rPr>
  </w:style>
  <w:style w:type="paragraph" w:customStyle="1" w:styleId="IAIOCO2Traded">
    <w:name w:val="IAIOCO2Traded"/>
    <w:basedOn w:val="IATableLabel"/>
    <w:link w:val="IAIOCO2TradedChar"/>
    <w:rsid w:val="00F91F5A"/>
    <w:rPr>
      <w:b w:val="0"/>
      <w:sz w:val="22"/>
    </w:rPr>
  </w:style>
  <w:style w:type="character" w:customStyle="1" w:styleId="IAIOCO2TradedChar">
    <w:name w:val="IAIOCO2Traded Char"/>
    <w:link w:val="IAIOCO2Traded"/>
    <w:rsid w:val="00D478C9"/>
    <w:rPr>
      <w:rFonts w:ascii="Arial" w:eastAsia="SimSun" w:hAnsi="Arial"/>
      <w:b/>
      <w:color w:val="000000"/>
      <w:spacing w:val="-5"/>
      <w:sz w:val="22"/>
      <w:lang w:val="en-GB" w:eastAsia="zh-CN" w:bidi="ar-SA"/>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rsid w:val="00D00846"/>
    <w:rPr>
      <w:rFonts w:ascii="Arial" w:eastAsia="SimSun" w:hAnsi="Arial"/>
      <w:b/>
      <w:color w:val="000000"/>
      <w:spacing w:val="-5"/>
      <w:lang w:val="en-GB" w:eastAsia="zh-CN" w:bidi="ar-SA"/>
    </w:rPr>
  </w:style>
  <w:style w:type="character" w:customStyle="1" w:styleId="IALabel">
    <w:name w:val="IALabel"/>
    <w:rsid w:val="009F6692"/>
    <w:rPr>
      <w:color w:val="000000"/>
      <w:sz w:val="20"/>
    </w:rPr>
  </w:style>
  <w:style w:type="paragraph" w:styleId="ListParagraph">
    <w:name w:val="List Paragraph"/>
    <w:basedOn w:val="Normal"/>
    <w:uiPriority w:val="34"/>
    <w:qFormat/>
    <w:rsid w:val="00D95EC3"/>
    <w:pPr>
      <w:ind w:left="720"/>
      <w:contextualSpacing/>
    </w:pPr>
  </w:style>
  <w:style w:type="paragraph" w:customStyle="1" w:styleId="EBBodyParaChar">
    <w:name w:val="EBBodyPara Char"/>
    <w:basedOn w:val="BodyText"/>
    <w:link w:val="EBBodyParaCharChar"/>
    <w:rsid w:val="00D95EC3"/>
  </w:style>
  <w:style w:type="character" w:customStyle="1" w:styleId="EBBodyParaCharChar">
    <w:name w:val="EBBodyPara Char Char"/>
    <w:link w:val="EBBodyParaChar"/>
    <w:rsid w:val="00D95EC3"/>
    <w:rPr>
      <w:rFonts w:ascii="Arial" w:hAnsi="Arial" w:cs="Arial"/>
      <w:bCs/>
      <w:color w:val="000000"/>
      <w:sz w:val="22"/>
      <w:szCs w:val="22"/>
    </w:rPr>
  </w:style>
  <w:style w:type="paragraph" w:styleId="NormalWeb">
    <w:name w:val="Normal (Web)"/>
    <w:basedOn w:val="Normal"/>
    <w:uiPriority w:val="99"/>
    <w:unhideWhenUsed/>
    <w:rsid w:val="00D95EC3"/>
    <w:pPr>
      <w:spacing w:before="100" w:beforeAutospacing="1" w:after="100" w:afterAutospacing="1"/>
    </w:pPr>
    <w:rPr>
      <w:rFonts w:ascii="Times New Roman" w:hAnsi="Times New Roman"/>
      <w:lang w:eastAsia="en-GB"/>
    </w:rPr>
  </w:style>
  <w:style w:type="character" w:styleId="CommentReference">
    <w:name w:val="annotation reference"/>
    <w:uiPriority w:val="99"/>
    <w:rsid w:val="00D95EC3"/>
    <w:rPr>
      <w:sz w:val="16"/>
      <w:szCs w:val="16"/>
    </w:rPr>
  </w:style>
  <w:style w:type="paragraph" w:styleId="CommentText">
    <w:name w:val="annotation text"/>
    <w:basedOn w:val="Normal"/>
    <w:link w:val="CommentTextChar"/>
    <w:uiPriority w:val="99"/>
    <w:rsid w:val="00D95EC3"/>
    <w:rPr>
      <w:sz w:val="20"/>
      <w:szCs w:val="20"/>
    </w:rPr>
  </w:style>
  <w:style w:type="character" w:customStyle="1" w:styleId="CommentTextChar">
    <w:name w:val="Comment Text Char"/>
    <w:basedOn w:val="DefaultParagraphFont"/>
    <w:link w:val="CommentText"/>
    <w:uiPriority w:val="99"/>
    <w:rsid w:val="00D95EC3"/>
    <w:rPr>
      <w:rFonts w:ascii="Arial" w:hAnsi="Arial"/>
      <w:lang w:eastAsia="en-US"/>
    </w:rPr>
  </w:style>
  <w:style w:type="paragraph" w:styleId="CommentSubject">
    <w:name w:val="annotation subject"/>
    <w:basedOn w:val="CommentText"/>
    <w:next w:val="CommentText"/>
    <w:link w:val="CommentSubjectChar"/>
    <w:rsid w:val="00D95EC3"/>
    <w:rPr>
      <w:b/>
      <w:bCs/>
    </w:rPr>
  </w:style>
  <w:style w:type="character" w:customStyle="1" w:styleId="CommentSubjectChar">
    <w:name w:val="Comment Subject Char"/>
    <w:basedOn w:val="CommentTextChar"/>
    <w:link w:val="CommentSubject"/>
    <w:rsid w:val="00D95EC3"/>
    <w:rPr>
      <w:rFonts w:ascii="Arial" w:hAnsi="Arial"/>
      <w:b/>
      <w:bCs/>
      <w:lang w:eastAsia="en-US"/>
    </w:rPr>
  </w:style>
  <w:style w:type="character" w:customStyle="1" w:styleId="st">
    <w:name w:val="st"/>
    <w:rsid w:val="00D95EC3"/>
  </w:style>
  <w:style w:type="paragraph" w:customStyle="1" w:styleId="Text2">
    <w:name w:val="Text 2"/>
    <w:basedOn w:val="Normal"/>
    <w:qFormat/>
    <w:rsid w:val="00D95EC3"/>
    <w:pPr>
      <w:tabs>
        <w:tab w:val="num" w:pos="624"/>
      </w:tabs>
      <w:spacing w:after="240" w:line="264" w:lineRule="auto"/>
      <w:ind w:left="624" w:hanging="624"/>
    </w:pPr>
    <w:rPr>
      <w:rFonts w:eastAsia="Calibri" w:cs="Arial"/>
      <w:sz w:val="22"/>
      <w:szCs w:val="22"/>
      <w:lang w:bidi="he-IL"/>
    </w:rPr>
  </w:style>
  <w:style w:type="paragraph" w:customStyle="1" w:styleId="Text3">
    <w:name w:val="Text 3"/>
    <w:basedOn w:val="Normal"/>
    <w:qFormat/>
    <w:rsid w:val="00D95EC3"/>
    <w:pPr>
      <w:tabs>
        <w:tab w:val="num" w:pos="1247"/>
      </w:tabs>
      <w:spacing w:after="240" w:line="264" w:lineRule="auto"/>
      <w:ind w:left="1247" w:hanging="623"/>
    </w:pPr>
    <w:rPr>
      <w:rFonts w:eastAsia="Calibri" w:cs="Arial"/>
      <w:sz w:val="22"/>
      <w:szCs w:val="22"/>
      <w:lang w:bidi="he-IL"/>
    </w:rPr>
  </w:style>
  <w:style w:type="paragraph" w:customStyle="1" w:styleId="Text4">
    <w:name w:val="Text 4"/>
    <w:basedOn w:val="Normal"/>
    <w:qFormat/>
    <w:rsid w:val="00D95EC3"/>
    <w:pPr>
      <w:tabs>
        <w:tab w:val="num" w:pos="1871"/>
      </w:tabs>
      <w:spacing w:after="240" w:line="264" w:lineRule="auto"/>
      <w:ind w:left="1871" w:hanging="624"/>
    </w:pPr>
    <w:rPr>
      <w:rFonts w:eastAsia="Calibri" w:cs="Arial"/>
      <w:sz w:val="22"/>
      <w:szCs w:val="22"/>
      <w:lang w:bidi="he-IL"/>
    </w:rPr>
  </w:style>
  <w:style w:type="paragraph" w:customStyle="1" w:styleId="Text5">
    <w:name w:val="Text 5"/>
    <w:basedOn w:val="Normal"/>
    <w:qFormat/>
    <w:rsid w:val="00D95EC3"/>
    <w:pPr>
      <w:tabs>
        <w:tab w:val="num" w:pos="2495"/>
      </w:tabs>
      <w:spacing w:after="240" w:line="264" w:lineRule="auto"/>
      <w:ind w:left="2495" w:hanging="624"/>
    </w:pPr>
    <w:rPr>
      <w:rFonts w:eastAsia="Calibri" w:cs="Arial"/>
      <w:sz w:val="22"/>
      <w:szCs w:val="22"/>
      <w:lang w:bidi="he-IL"/>
    </w:rPr>
  </w:style>
  <w:style w:type="paragraph" w:customStyle="1" w:styleId="Text6">
    <w:name w:val="Text 6"/>
    <w:basedOn w:val="Normal"/>
    <w:qFormat/>
    <w:rsid w:val="00D95EC3"/>
    <w:pPr>
      <w:tabs>
        <w:tab w:val="num" w:pos="3119"/>
      </w:tabs>
      <w:spacing w:after="240" w:line="264" w:lineRule="auto"/>
      <w:ind w:left="3119" w:hanging="624"/>
    </w:pPr>
    <w:rPr>
      <w:rFonts w:eastAsia="Calibri" w:cs="Arial"/>
      <w:sz w:val="22"/>
      <w:szCs w:val="22"/>
      <w:lang w:bidi="he-IL"/>
    </w:rPr>
  </w:style>
  <w:style w:type="paragraph" w:customStyle="1" w:styleId="Text7">
    <w:name w:val="Text 7"/>
    <w:basedOn w:val="Normal"/>
    <w:qFormat/>
    <w:rsid w:val="00D95EC3"/>
    <w:pPr>
      <w:tabs>
        <w:tab w:val="num" w:pos="3742"/>
      </w:tabs>
      <w:spacing w:after="240" w:line="264" w:lineRule="auto"/>
      <w:ind w:left="3742" w:hanging="623"/>
    </w:pPr>
    <w:rPr>
      <w:rFonts w:eastAsia="Calibri" w:cs="Arial"/>
      <w:sz w:val="22"/>
      <w:szCs w:val="22"/>
      <w:lang w:bidi="he-IL"/>
    </w:rPr>
  </w:style>
  <w:style w:type="paragraph" w:customStyle="1" w:styleId="Partnumber">
    <w:name w:val="Part number"/>
    <w:next w:val="Normal"/>
    <w:rsid w:val="00D95EC3"/>
    <w:pPr>
      <w:keepNext/>
      <w:keepLines/>
      <w:ind w:left="1134" w:right="567"/>
      <w:outlineLvl w:val="0"/>
    </w:pPr>
    <w:rPr>
      <w:rFonts w:ascii="Arial" w:hAnsi="Arial"/>
      <w:b/>
      <w:caps/>
      <w:sz w:val="35"/>
      <w:lang w:eastAsia="en-US"/>
    </w:rPr>
  </w:style>
  <w:style w:type="paragraph" w:customStyle="1" w:styleId="Text1">
    <w:name w:val="Text 1"/>
    <w:basedOn w:val="Partnumber"/>
    <w:link w:val="Text1Char"/>
    <w:qFormat/>
    <w:rsid w:val="00D95EC3"/>
    <w:pPr>
      <w:keepNext w:val="0"/>
      <w:tabs>
        <w:tab w:val="num" w:pos="1134"/>
      </w:tabs>
      <w:spacing w:after="240" w:line="264" w:lineRule="auto"/>
      <w:ind w:hanging="284"/>
      <w:jc w:val="both"/>
    </w:pPr>
    <w:rPr>
      <w:b w:val="0"/>
      <w:caps w:val="0"/>
      <w:sz w:val="22"/>
    </w:rPr>
  </w:style>
  <w:style w:type="character" w:customStyle="1" w:styleId="Text1Char">
    <w:name w:val="Text 1 Char"/>
    <w:link w:val="Text1"/>
    <w:rsid w:val="00D95EC3"/>
    <w:rPr>
      <w:rFonts w:ascii="Arial" w:hAnsi="Arial"/>
      <w:sz w:val="22"/>
      <w:lang w:eastAsia="en-US"/>
    </w:rPr>
  </w:style>
  <w:style w:type="character" w:styleId="UnresolvedMention">
    <w:name w:val="Unresolved Mention"/>
    <w:basedOn w:val="DefaultParagraphFont"/>
    <w:uiPriority w:val="99"/>
    <w:semiHidden/>
    <w:unhideWhenUsed/>
    <w:rsid w:val="009D4B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972132">
      <w:bodyDiv w:val="1"/>
      <w:marLeft w:val="0"/>
      <w:marRight w:val="0"/>
      <w:marTop w:val="0"/>
      <w:marBottom w:val="0"/>
      <w:divBdr>
        <w:top w:val="none" w:sz="0" w:space="0" w:color="auto"/>
        <w:left w:val="none" w:sz="0" w:space="0" w:color="auto"/>
        <w:bottom w:val="none" w:sz="0" w:space="0" w:color="auto"/>
        <w:right w:val="none" w:sz="0" w:space="0" w:color="auto"/>
      </w:divBdr>
    </w:div>
    <w:div w:id="1261641921">
      <w:bodyDiv w:val="1"/>
      <w:marLeft w:val="0"/>
      <w:marRight w:val="0"/>
      <w:marTop w:val="0"/>
      <w:marBottom w:val="0"/>
      <w:divBdr>
        <w:top w:val="none" w:sz="0" w:space="0" w:color="auto"/>
        <w:left w:val="none" w:sz="0" w:space="0" w:color="auto"/>
        <w:bottom w:val="none" w:sz="0" w:space="0" w:color="auto"/>
        <w:right w:val="none" w:sz="0" w:space="0" w:color="auto"/>
      </w:divBdr>
    </w:div>
    <w:div w:id="1432967598">
      <w:bodyDiv w:val="1"/>
      <w:marLeft w:val="0"/>
      <w:marRight w:val="0"/>
      <w:marTop w:val="0"/>
      <w:marBottom w:val="0"/>
      <w:divBdr>
        <w:top w:val="none" w:sz="0" w:space="0" w:color="auto"/>
        <w:left w:val="none" w:sz="0" w:space="0" w:color="auto"/>
        <w:bottom w:val="none" w:sz="0" w:space="0" w:color="auto"/>
        <w:right w:val="none" w:sz="0" w:space="0" w:color="auto"/>
      </w:divBdr>
    </w:div>
    <w:div w:id="212935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judiciary.uk/publications/lord-chief-justices-direction-regarding-the-transfer-of-immigration-and-asylum-judicial-" TargetMode="External"/><Relationship Id="rId7" Type="http://schemas.openxmlformats.org/officeDocument/2006/relationships/hyperlink" Target="https://www.gov.uk/government/statistics/tribunals-and-gender-recognition-certificate-statistics-quarterly-july-to-september-2018" TargetMode="External"/><Relationship Id="rId2" Type="http://schemas.openxmlformats.org/officeDocument/2006/relationships/hyperlink" Target="https://www.gov.uk/government/statistics/tribunals-and-gender-recognition-certificate-statistics-quarterly-july-to-september-2018" TargetMode="External"/><Relationship Id="rId1" Type="http://schemas.openxmlformats.org/officeDocument/2006/relationships/hyperlink" Target="https://gov.uk/government/publications/immigration-statistics-october-to-december-2017/summary-of-latest-statistics" TargetMode="External"/><Relationship Id="rId6" Type="http://schemas.openxmlformats.org/officeDocument/2006/relationships/hyperlink" Target="https://www.parliament.uk/documents/impact-assessments/IA13-24A.pdf" TargetMode="External"/><Relationship Id="rId5" Type="http://schemas.openxmlformats.org/officeDocument/2006/relationships/hyperlink" Target="https://www.gov.uk/government/statistics/tribunals-and-gender-recognition-certificate-statistics-quarterly-july-to-september-2018" TargetMode="External"/><Relationship Id="rId4" Type="http://schemas.openxmlformats.org/officeDocument/2006/relationships/hyperlink" Target="https://www.gov.uk/government/statistics/tribunals-and-gender-recognition-certificate-statistics-quarterly-july-to-september-20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mithhillman\AppData\Local\Microsoft\Windows\INetCache\Content.Outlook\TGX8RVTD\impact-assess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7EBCD73E887047BD5686049EFC8BA3" ma:contentTypeVersion="7" ma:contentTypeDescription="Create a new document." ma:contentTypeScope="" ma:versionID="b1ff15c4655753111fa7107bfbe5cb07">
  <xsd:schema xmlns:xsd="http://www.w3.org/2001/XMLSchema" xmlns:xs="http://www.w3.org/2001/XMLSchema" xmlns:p="http://schemas.microsoft.com/office/2006/metadata/properties" xmlns:ns3="fb243afc-989b-4fbe-95ee-11f6ba29951a" targetNamespace="http://schemas.microsoft.com/office/2006/metadata/properties" ma:root="true" ma:fieldsID="820bf0c19706c73ad92c13242ceaa91e" ns3:_="">
    <xsd:import namespace="fb243afc-989b-4fbe-95ee-11f6ba2995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43afc-989b-4fbe-95ee-11f6ba299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0635D-EC96-499C-8627-65A78B70D146}">
  <ds:schemaRefs>
    <ds:schemaRef ds:uri="http://schemas.microsoft.com/sharepoint/v3/contenttype/forms"/>
  </ds:schemaRefs>
</ds:datastoreItem>
</file>

<file path=customXml/itemProps2.xml><?xml version="1.0" encoding="utf-8"?>
<ds:datastoreItem xmlns:ds="http://schemas.openxmlformats.org/officeDocument/2006/customXml" ds:itemID="{82EF253E-DECA-47CB-ADCF-57ED40B79A4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b243afc-989b-4fbe-95ee-11f6ba29951a"/>
    <ds:schemaRef ds:uri="http://www.w3.org/XML/1998/namespace"/>
    <ds:schemaRef ds:uri="http://purl.org/dc/dcmitype/"/>
  </ds:schemaRefs>
</ds:datastoreItem>
</file>

<file path=customXml/itemProps3.xml><?xml version="1.0" encoding="utf-8"?>
<ds:datastoreItem xmlns:ds="http://schemas.openxmlformats.org/officeDocument/2006/customXml" ds:itemID="{8DD1D50B-B4B0-4243-93DB-9EB64037D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43afc-989b-4fbe-95ee-11f6ba299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A01D8-7CBE-4C2B-88BE-0D4D7015D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impact-assessment-template.dot</Template>
  <TotalTime>1</TotalTime>
  <Pages>22</Pages>
  <Words>7859</Words>
  <Characters>44798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Impact Assessment</vt:lpstr>
    </vt:vector>
  </TitlesOfParts>
  <Company/>
  <LinksUpToDate>false</LinksUpToDate>
  <CharactersWithSpaces>52552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subject/>
  <dc:creator>Smith-Hillman, Vindelyn</dc:creator>
  <cp:keywords/>
  <dc:description/>
  <cp:lastModifiedBy>Smith, Lisa</cp:lastModifiedBy>
  <cp:revision>4</cp:revision>
  <cp:lastPrinted>2019-01-10T10:47:00Z</cp:lastPrinted>
  <dcterms:created xsi:type="dcterms:W3CDTF">2020-01-10T14:50:00Z</dcterms:created>
  <dcterms:modified xsi:type="dcterms:W3CDTF">2020-01-10T14:51:00Z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y fmtid="{D5CDD505-2E9C-101B-9397-08002B2CF9AE}" pid="4" name="ContentTypeId">
    <vt:lpwstr>0x010100947EBCD73E887047BD5686049EFC8BA3</vt:lpwstr>
  </property>
  <property fmtid="{D5CDD505-2E9C-101B-9397-08002B2CF9AE}" pid="5" name="_dlc_DocIdItemGuid">
    <vt:lpwstr>26f1cff4-e09d-45c9-8f8c-7d3fe9a5f07e</vt:lpwstr>
  </property>
</Properties>
</file>