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FE81" w14:textId="77777777" w:rsidR="009A43D0" w:rsidRPr="00CA4237" w:rsidRDefault="009A43D0" w:rsidP="0067758B">
      <w:pPr>
        <w:pStyle w:val="StyleENBilltitleText1"/>
        <w:rPr>
          <w:color w:val="auto"/>
          <w:lang w:val="en-GB"/>
        </w:rPr>
      </w:pPr>
      <w:r>
        <w:rPr>
          <w:color w:val="auto"/>
          <w:lang w:val="en-GB"/>
        </w:rPr>
        <w:t>Intellectual Property (Unjustified Threats)</w:t>
      </w:r>
      <w:r w:rsidRPr="00B908E1">
        <w:rPr>
          <w:rFonts w:ascii="HelveticaNeue" w:hAnsi="HelveticaNeue" w:cs="HelveticaNeue"/>
          <w:bCs w:val="0"/>
          <w:lang w:val="en-GB"/>
        </w:rPr>
        <w:t xml:space="preserve"> </w:t>
      </w:r>
      <w:r>
        <w:rPr>
          <w:color w:val="auto"/>
          <w:lang w:val="en-GB"/>
        </w:rPr>
        <w:t xml:space="preserve">Bill [HL] </w:t>
      </w:r>
    </w:p>
    <w:p w14:paraId="33E85C6D" w14:textId="77777777" w:rsidR="009A43D0" w:rsidRPr="00CA4237" w:rsidRDefault="009A43D0" w:rsidP="00FD6AE0">
      <w:pPr>
        <w:pStyle w:val="ENnotestitle"/>
        <w:rPr>
          <w:lang w:val="en-GB"/>
        </w:rPr>
      </w:pPr>
      <w:r w:rsidRPr="00CA4237">
        <w:rPr>
          <w:lang w:val="en-GB"/>
        </w:rPr>
        <w:t>EXPLANATORY NOTES</w:t>
      </w:r>
    </w:p>
    <w:p w14:paraId="742E98F6" w14:textId="77777777" w:rsidR="009A43D0" w:rsidRPr="00CA4237" w:rsidRDefault="009A43D0" w:rsidP="00174D63">
      <w:pPr>
        <w:pStyle w:val="ENHeading1Unindexed"/>
        <w:rPr>
          <w:lang w:val="en-GB"/>
        </w:rPr>
      </w:pPr>
      <w:r w:rsidRPr="00CA4237">
        <w:rPr>
          <w:lang w:val="en-GB"/>
        </w:rPr>
        <w:t>What these notes do</w:t>
      </w:r>
      <w:r w:rsidRPr="00CA4237">
        <w:rPr>
          <w:lang w:val="en-GB"/>
        </w:rPr>
        <w:t> </w:t>
      </w:r>
    </w:p>
    <w:p w14:paraId="3AAF0DA1" w14:textId="77777777" w:rsidR="009A43D0" w:rsidRPr="00CA4237" w:rsidRDefault="009A43D0" w:rsidP="00933688">
      <w:pPr>
        <w:pStyle w:val="ENIntroText"/>
        <w:rPr>
          <w:lang w:val="en-GB"/>
        </w:rPr>
      </w:pPr>
      <w:r w:rsidRPr="00CA4237">
        <w:rPr>
          <w:lang w:val="en-GB"/>
        </w:rPr>
        <w:t xml:space="preserve">These Explanatory Notes relate to the </w:t>
      </w:r>
      <w:r>
        <w:t>Intellectual Property (Unjustified Threats)</w:t>
      </w:r>
      <w:r w:rsidRPr="00CA4237">
        <w:rPr>
          <w:lang w:val="en-GB"/>
        </w:rPr>
        <w:t xml:space="preserve"> </w:t>
      </w:r>
      <w:r>
        <w:rPr>
          <w:lang w:val="en-GB"/>
        </w:rPr>
        <w:t>Bill [HL] as introduced in the House of Lords</w:t>
      </w:r>
      <w:r w:rsidRPr="00CA4237">
        <w:rPr>
          <w:lang w:val="en-GB"/>
        </w:rPr>
        <w:t xml:space="preserve"> on </w:t>
      </w:r>
      <w:r w:rsidRPr="008B2DA2">
        <w:t>[Enter Publication Date Using Dropdown Menu]</w:t>
      </w:r>
      <w:r w:rsidRPr="00CA4237">
        <w:rPr>
          <w:lang w:val="en-GB"/>
        </w:rPr>
        <w:t xml:space="preserve"> (</w:t>
      </w:r>
      <w:r>
        <w:rPr>
          <w:rStyle w:val="ENIntroTextChar"/>
          <w:sz w:val="20"/>
          <w:lang w:val="en-GB"/>
        </w:rPr>
        <w:t>HL Bill</w:t>
      </w:r>
      <w:r w:rsidRPr="00CA4237">
        <w:rPr>
          <w:lang w:val="en-GB"/>
        </w:rPr>
        <w:t xml:space="preserve"> </w:t>
      </w:r>
      <w:r>
        <w:rPr>
          <w:lang w:val="en-GB"/>
        </w:rPr>
        <w:t>[AUTOGENERATED]</w:t>
      </w:r>
      <w:r w:rsidRPr="00CA4237">
        <w:rPr>
          <w:lang w:val="en-GB"/>
        </w:rPr>
        <w:t xml:space="preserve">). </w:t>
      </w:r>
    </w:p>
    <w:p w14:paraId="68AAA17E" w14:textId="77777777" w:rsidR="009A43D0" w:rsidRPr="00CA4237" w:rsidRDefault="009A43D0" w:rsidP="00E909A3">
      <w:pPr>
        <w:pStyle w:val="ENIntroTextBulleted"/>
      </w:pPr>
      <w:r w:rsidRPr="00CA4237">
        <w:t>These Explanatory Notes have been</w:t>
      </w:r>
      <w:r>
        <w:t xml:space="preserve"> produced by</w:t>
      </w:r>
      <w:r w:rsidRPr="00CA4237">
        <w:t xml:space="preserve"> </w:t>
      </w:r>
      <w:r>
        <w:t xml:space="preserve">the Department for Business, Innovation and Skills </w:t>
      </w:r>
      <w:r w:rsidRPr="00CA4237">
        <w:t xml:space="preserve">in order to assist the reader </w:t>
      </w:r>
      <w:r>
        <w:t>of the Bill and to help inform debate on it</w:t>
      </w:r>
      <w:r w:rsidRPr="00CA4237">
        <w:t xml:space="preserve">. They do not form part of the </w:t>
      </w:r>
      <w:r>
        <w:t>Bill</w:t>
      </w:r>
      <w:r w:rsidRPr="00CA4237">
        <w:t xml:space="preserve"> and have not been endorsed by Parliament.</w:t>
      </w:r>
    </w:p>
    <w:p w14:paraId="75024DF7" w14:textId="77777777" w:rsidR="009A43D0" w:rsidRPr="00E909A3" w:rsidRDefault="009A43D0" w:rsidP="00E909A3">
      <w:pPr>
        <w:pStyle w:val="ENIntroTextBulleted"/>
        <w:numPr>
          <w:ilvl w:val="0"/>
          <w:numId w:val="24"/>
        </w:numPr>
        <w:rPr>
          <w:lang w:val="en-GB"/>
        </w:rPr>
      </w:pPr>
      <w:r w:rsidRPr="00E909A3">
        <w:rPr>
          <w:lang w:val="en-GB"/>
        </w:rPr>
        <w:t xml:space="preserve">These Explanatory Notes explain what each part of the </w:t>
      </w:r>
      <w:r>
        <w:t>Bill</w:t>
      </w:r>
      <w:r w:rsidRPr="00E909A3">
        <w:rPr>
          <w:lang w:val="en-GB"/>
        </w:rPr>
        <w:t xml:space="preserve"> will mean in practice; provide background informati</w:t>
      </w:r>
      <w:r>
        <w:rPr>
          <w:lang w:val="en-GB"/>
        </w:rPr>
        <w:t xml:space="preserve">on on the development of policy </w:t>
      </w:r>
      <w:r w:rsidRPr="00E909A3">
        <w:rPr>
          <w:lang w:val="en-GB"/>
        </w:rPr>
        <w:t xml:space="preserve"> and provide additional information on how the </w:t>
      </w:r>
      <w:r>
        <w:t>Bill</w:t>
      </w:r>
      <w:r w:rsidRPr="00E909A3">
        <w:rPr>
          <w:lang w:val="en-GB"/>
        </w:rPr>
        <w:t xml:space="preserve"> will </w:t>
      </w:r>
      <w:r>
        <w:t xml:space="preserve">amend the </w:t>
      </w:r>
      <w:r w:rsidRPr="00E909A3">
        <w:rPr>
          <w:lang w:val="en-GB"/>
        </w:rPr>
        <w:t xml:space="preserve"> existing legislation. </w:t>
      </w:r>
    </w:p>
    <w:p w14:paraId="7475EBD9" w14:textId="77777777" w:rsidR="009A43D0" w:rsidRPr="00CA4237" w:rsidRDefault="009A43D0" w:rsidP="00E909A3">
      <w:pPr>
        <w:pStyle w:val="ENIntroTextBulleted"/>
      </w:pPr>
      <w:r w:rsidRPr="00CA4237">
        <w:t xml:space="preserve">These Explanatory Notes </w:t>
      </w:r>
      <w:r>
        <w:t xml:space="preserve">are </w:t>
      </w:r>
      <w:r w:rsidRPr="00CA4237">
        <w:t xml:space="preserve">best read alongside the </w:t>
      </w:r>
      <w:r>
        <w:t>Bill</w:t>
      </w:r>
      <w:r w:rsidRPr="00CA4237">
        <w:t xml:space="preserve">. They are not, and are not intended to be, a comprehensive description of the </w:t>
      </w:r>
      <w:r>
        <w:t>Bill</w:t>
      </w:r>
      <w:r w:rsidRPr="00CA4237">
        <w:t xml:space="preserve">. So where a provision of the </w:t>
      </w:r>
      <w:r>
        <w:t>Bill</w:t>
      </w:r>
      <w:r w:rsidRPr="00CA4237">
        <w:t xml:space="preserve"> does not seem to require any explanation or comment, the Notes simply say in relation to it that the provision is self-explanatory. </w:t>
      </w:r>
    </w:p>
    <w:p w14:paraId="6AE5CC0E" w14:textId="77777777" w:rsidR="009A43D0" w:rsidRPr="00CA4237" w:rsidRDefault="009A43D0" w:rsidP="00EC4FF9">
      <w:pPr>
        <w:pStyle w:val="ENHeading1Unindexed"/>
        <w:rPr>
          <w:lang w:val="en-GB"/>
        </w:rPr>
      </w:pPr>
      <w:r w:rsidRPr="00CA4237">
        <w:rPr>
          <w:lang w:val="en-GB"/>
        </w:rPr>
        <w:br w:type="page"/>
      </w:r>
      <w:r w:rsidRPr="00CA4237">
        <w:rPr>
          <w:lang w:val="en-GB"/>
        </w:rPr>
        <w:lastRenderedPageBreak/>
        <w:t>Table of Contents</w:t>
      </w:r>
    </w:p>
    <w:tbl>
      <w:tblPr>
        <w:tblW w:w="0" w:type="auto"/>
        <w:tblLook w:val="00A0" w:firstRow="1" w:lastRow="0" w:firstColumn="1" w:lastColumn="0" w:noHBand="0" w:noVBand="0"/>
      </w:tblPr>
      <w:tblGrid>
        <w:gridCol w:w="4538"/>
        <w:gridCol w:w="4533"/>
      </w:tblGrid>
      <w:tr w:rsidR="009A43D0" w:rsidRPr="00234BEC" w14:paraId="3521C0A7" w14:textId="77777777" w:rsidTr="00234BEC">
        <w:tc>
          <w:tcPr>
            <w:tcW w:w="4643" w:type="dxa"/>
          </w:tcPr>
          <w:p w14:paraId="0CD22867" w14:textId="77777777" w:rsidR="009A43D0" w:rsidRPr="00234BEC" w:rsidRDefault="009A43D0" w:rsidP="00234BEC">
            <w:pPr>
              <w:pStyle w:val="StyleTOC1Bold"/>
              <w:jc w:val="left"/>
              <w:rPr>
                <w:b/>
              </w:rPr>
            </w:pPr>
            <w:r w:rsidRPr="00234BEC">
              <w:rPr>
                <w:b/>
              </w:rPr>
              <w:t>Subject</w:t>
            </w:r>
          </w:p>
        </w:tc>
        <w:tc>
          <w:tcPr>
            <w:tcW w:w="4644" w:type="dxa"/>
          </w:tcPr>
          <w:p w14:paraId="7564BFDF" w14:textId="77777777" w:rsidR="009A43D0" w:rsidRPr="00234BEC" w:rsidRDefault="009A43D0" w:rsidP="0067758B">
            <w:pPr>
              <w:pStyle w:val="StyleTOC1BoldRight"/>
              <w:rPr>
                <w:b/>
              </w:rPr>
            </w:pPr>
            <w:r w:rsidRPr="00234BEC">
              <w:rPr>
                <w:b/>
              </w:rPr>
              <w:t>Page of these Notes</w:t>
            </w:r>
          </w:p>
        </w:tc>
      </w:tr>
    </w:tbl>
    <w:p w14:paraId="67E77559" w14:textId="77777777" w:rsidR="005100F9" w:rsidRDefault="00EC40F4">
      <w:pPr>
        <w:pStyle w:val="TOC1"/>
        <w:rPr>
          <w:rFonts w:asciiTheme="minorHAnsi" w:eastAsiaTheme="minorEastAsia" w:hAnsiTheme="minorHAnsi" w:cstheme="minorBidi"/>
          <w:b w:val="0"/>
          <w:bCs w:val="0"/>
          <w:noProof/>
          <w:sz w:val="22"/>
          <w:szCs w:val="22"/>
          <w:lang w:eastAsia="en-GB"/>
        </w:rPr>
      </w:pPr>
      <w:r>
        <w:fldChar w:fldCharType="begin"/>
      </w:r>
      <w:r w:rsidR="009A43D0">
        <w:instrText xml:space="preserve"> TOC \o "1-3" \h \z \t "Heading 4,4,Heading 5,5,H: Subheading 4,4,Section Heading,4,H: Subheading 5,5" </w:instrText>
      </w:r>
      <w:r>
        <w:fldChar w:fldCharType="separate"/>
      </w:r>
      <w:hyperlink w:anchor="_Toc451382117" w:history="1">
        <w:r w:rsidR="005100F9" w:rsidRPr="008F32DF">
          <w:rPr>
            <w:rStyle w:val="Hyperlink"/>
            <w:noProof/>
          </w:rPr>
          <w:t>Overview of the Bill</w:t>
        </w:r>
        <w:r w:rsidR="005100F9">
          <w:rPr>
            <w:noProof/>
            <w:webHidden/>
          </w:rPr>
          <w:tab/>
        </w:r>
        <w:r w:rsidR="005100F9">
          <w:rPr>
            <w:noProof/>
            <w:webHidden/>
          </w:rPr>
          <w:fldChar w:fldCharType="begin"/>
        </w:r>
        <w:r w:rsidR="005100F9">
          <w:rPr>
            <w:noProof/>
            <w:webHidden/>
          </w:rPr>
          <w:instrText xml:space="preserve"> PAGEREF _Toc451382117 \h </w:instrText>
        </w:r>
        <w:r w:rsidR="005100F9">
          <w:rPr>
            <w:noProof/>
            <w:webHidden/>
          </w:rPr>
        </w:r>
        <w:r w:rsidR="005100F9">
          <w:rPr>
            <w:noProof/>
            <w:webHidden/>
          </w:rPr>
          <w:fldChar w:fldCharType="separate"/>
        </w:r>
        <w:r w:rsidR="005100F9">
          <w:rPr>
            <w:noProof/>
            <w:webHidden/>
          </w:rPr>
          <w:t>4</w:t>
        </w:r>
        <w:r w:rsidR="005100F9">
          <w:rPr>
            <w:noProof/>
            <w:webHidden/>
          </w:rPr>
          <w:fldChar w:fldCharType="end"/>
        </w:r>
      </w:hyperlink>
    </w:p>
    <w:p w14:paraId="358DB5D1"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18" w:history="1">
        <w:r w:rsidRPr="008F32DF">
          <w:rPr>
            <w:rStyle w:val="Hyperlink"/>
            <w:noProof/>
          </w:rPr>
          <w:t>Policy background</w:t>
        </w:r>
        <w:r>
          <w:rPr>
            <w:noProof/>
            <w:webHidden/>
          </w:rPr>
          <w:tab/>
        </w:r>
        <w:r>
          <w:rPr>
            <w:noProof/>
            <w:webHidden/>
          </w:rPr>
          <w:fldChar w:fldCharType="begin"/>
        </w:r>
        <w:r>
          <w:rPr>
            <w:noProof/>
            <w:webHidden/>
          </w:rPr>
          <w:instrText xml:space="preserve"> PAGEREF _Toc451382118 \h </w:instrText>
        </w:r>
        <w:r>
          <w:rPr>
            <w:noProof/>
            <w:webHidden/>
          </w:rPr>
        </w:r>
        <w:r>
          <w:rPr>
            <w:noProof/>
            <w:webHidden/>
          </w:rPr>
          <w:fldChar w:fldCharType="separate"/>
        </w:r>
        <w:r>
          <w:rPr>
            <w:noProof/>
            <w:webHidden/>
          </w:rPr>
          <w:t>4</w:t>
        </w:r>
        <w:r>
          <w:rPr>
            <w:noProof/>
            <w:webHidden/>
          </w:rPr>
          <w:fldChar w:fldCharType="end"/>
        </w:r>
      </w:hyperlink>
    </w:p>
    <w:p w14:paraId="1884EEA4"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19" w:history="1">
        <w:r w:rsidRPr="008F32DF">
          <w:rPr>
            <w:rStyle w:val="Hyperlink"/>
            <w:noProof/>
          </w:rPr>
          <w:t>Legal background</w:t>
        </w:r>
        <w:r>
          <w:rPr>
            <w:noProof/>
            <w:webHidden/>
          </w:rPr>
          <w:tab/>
        </w:r>
        <w:r>
          <w:rPr>
            <w:noProof/>
            <w:webHidden/>
          </w:rPr>
          <w:fldChar w:fldCharType="begin"/>
        </w:r>
        <w:r>
          <w:rPr>
            <w:noProof/>
            <w:webHidden/>
          </w:rPr>
          <w:instrText xml:space="preserve"> PAGEREF _Toc451382119 \h </w:instrText>
        </w:r>
        <w:r>
          <w:rPr>
            <w:noProof/>
            <w:webHidden/>
          </w:rPr>
        </w:r>
        <w:r>
          <w:rPr>
            <w:noProof/>
            <w:webHidden/>
          </w:rPr>
          <w:fldChar w:fldCharType="separate"/>
        </w:r>
        <w:r>
          <w:rPr>
            <w:noProof/>
            <w:webHidden/>
          </w:rPr>
          <w:t>5</w:t>
        </w:r>
        <w:r>
          <w:rPr>
            <w:noProof/>
            <w:webHidden/>
          </w:rPr>
          <w:fldChar w:fldCharType="end"/>
        </w:r>
      </w:hyperlink>
    </w:p>
    <w:p w14:paraId="3EC3C9A4"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20" w:history="1">
        <w:r w:rsidRPr="008F32DF">
          <w:rPr>
            <w:rStyle w:val="Hyperlink"/>
            <w:noProof/>
          </w:rPr>
          <w:t>Territorial extent and application</w:t>
        </w:r>
        <w:r>
          <w:rPr>
            <w:noProof/>
            <w:webHidden/>
          </w:rPr>
          <w:tab/>
        </w:r>
        <w:r>
          <w:rPr>
            <w:noProof/>
            <w:webHidden/>
          </w:rPr>
          <w:fldChar w:fldCharType="begin"/>
        </w:r>
        <w:r>
          <w:rPr>
            <w:noProof/>
            <w:webHidden/>
          </w:rPr>
          <w:instrText xml:space="preserve"> PAGEREF _Toc451382120 \h </w:instrText>
        </w:r>
        <w:r>
          <w:rPr>
            <w:noProof/>
            <w:webHidden/>
          </w:rPr>
        </w:r>
        <w:r>
          <w:rPr>
            <w:noProof/>
            <w:webHidden/>
          </w:rPr>
          <w:fldChar w:fldCharType="separate"/>
        </w:r>
        <w:r>
          <w:rPr>
            <w:noProof/>
            <w:webHidden/>
          </w:rPr>
          <w:t>5</w:t>
        </w:r>
        <w:r>
          <w:rPr>
            <w:noProof/>
            <w:webHidden/>
          </w:rPr>
          <w:fldChar w:fldCharType="end"/>
        </w:r>
      </w:hyperlink>
    </w:p>
    <w:p w14:paraId="781B7E07"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21" w:history="1">
        <w:r w:rsidRPr="008F32DF">
          <w:rPr>
            <w:rStyle w:val="Hyperlink"/>
            <w:noProof/>
          </w:rPr>
          <w:t>Commentary on provisions of the Bill</w:t>
        </w:r>
        <w:r>
          <w:rPr>
            <w:noProof/>
            <w:webHidden/>
          </w:rPr>
          <w:tab/>
        </w:r>
        <w:r>
          <w:rPr>
            <w:noProof/>
            <w:webHidden/>
          </w:rPr>
          <w:fldChar w:fldCharType="begin"/>
        </w:r>
        <w:r>
          <w:rPr>
            <w:noProof/>
            <w:webHidden/>
          </w:rPr>
          <w:instrText xml:space="preserve"> PAGEREF _Toc451382121 \h </w:instrText>
        </w:r>
        <w:r>
          <w:rPr>
            <w:noProof/>
            <w:webHidden/>
          </w:rPr>
        </w:r>
        <w:r>
          <w:rPr>
            <w:noProof/>
            <w:webHidden/>
          </w:rPr>
          <w:fldChar w:fldCharType="separate"/>
        </w:r>
        <w:r>
          <w:rPr>
            <w:noProof/>
            <w:webHidden/>
          </w:rPr>
          <w:t>5</w:t>
        </w:r>
        <w:r>
          <w:rPr>
            <w:noProof/>
            <w:webHidden/>
          </w:rPr>
          <w:fldChar w:fldCharType="end"/>
        </w:r>
      </w:hyperlink>
    </w:p>
    <w:p w14:paraId="51BED07F"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22" w:history="1">
        <w:r w:rsidRPr="008F32DF">
          <w:rPr>
            <w:rStyle w:val="Hyperlink"/>
            <w:noProof/>
          </w:rPr>
          <w:t>Definitions</w:t>
        </w:r>
        <w:r>
          <w:rPr>
            <w:noProof/>
            <w:webHidden/>
          </w:rPr>
          <w:tab/>
        </w:r>
        <w:r>
          <w:rPr>
            <w:noProof/>
            <w:webHidden/>
          </w:rPr>
          <w:fldChar w:fldCharType="begin"/>
        </w:r>
        <w:r>
          <w:rPr>
            <w:noProof/>
            <w:webHidden/>
          </w:rPr>
          <w:instrText xml:space="preserve"> PAGEREF _Toc451382122 \h </w:instrText>
        </w:r>
        <w:r>
          <w:rPr>
            <w:noProof/>
            <w:webHidden/>
          </w:rPr>
        </w:r>
        <w:r>
          <w:rPr>
            <w:noProof/>
            <w:webHidden/>
          </w:rPr>
          <w:fldChar w:fldCharType="separate"/>
        </w:r>
        <w:r>
          <w:rPr>
            <w:noProof/>
            <w:webHidden/>
          </w:rPr>
          <w:t>6</w:t>
        </w:r>
        <w:r>
          <w:rPr>
            <w:noProof/>
            <w:webHidden/>
          </w:rPr>
          <w:fldChar w:fldCharType="end"/>
        </w:r>
      </w:hyperlink>
    </w:p>
    <w:p w14:paraId="20517F04"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23" w:history="1">
        <w:r w:rsidRPr="008F32DF">
          <w:rPr>
            <w:rStyle w:val="Hyperlink"/>
            <w:noProof/>
          </w:rPr>
          <w:t>Amendments to the Patents Act 1977</w:t>
        </w:r>
        <w:r>
          <w:rPr>
            <w:noProof/>
            <w:webHidden/>
          </w:rPr>
          <w:tab/>
        </w:r>
        <w:r>
          <w:rPr>
            <w:noProof/>
            <w:webHidden/>
          </w:rPr>
          <w:fldChar w:fldCharType="begin"/>
        </w:r>
        <w:r>
          <w:rPr>
            <w:noProof/>
            <w:webHidden/>
          </w:rPr>
          <w:instrText xml:space="preserve"> PAGEREF _Toc451382123 \h </w:instrText>
        </w:r>
        <w:r>
          <w:rPr>
            <w:noProof/>
            <w:webHidden/>
          </w:rPr>
        </w:r>
        <w:r>
          <w:rPr>
            <w:noProof/>
            <w:webHidden/>
          </w:rPr>
          <w:fldChar w:fldCharType="separate"/>
        </w:r>
        <w:r>
          <w:rPr>
            <w:noProof/>
            <w:webHidden/>
          </w:rPr>
          <w:t>7</w:t>
        </w:r>
        <w:r>
          <w:rPr>
            <w:noProof/>
            <w:webHidden/>
          </w:rPr>
          <w:fldChar w:fldCharType="end"/>
        </w:r>
      </w:hyperlink>
    </w:p>
    <w:p w14:paraId="71827EFD"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24" w:history="1">
        <w:r w:rsidRPr="008F32DF">
          <w:rPr>
            <w:rStyle w:val="Hyperlink"/>
            <w:noProof/>
          </w:rPr>
          <w:t>Section 70: the threat</w:t>
        </w:r>
        <w:r>
          <w:rPr>
            <w:noProof/>
            <w:webHidden/>
          </w:rPr>
          <w:tab/>
        </w:r>
        <w:r>
          <w:rPr>
            <w:noProof/>
            <w:webHidden/>
          </w:rPr>
          <w:fldChar w:fldCharType="begin"/>
        </w:r>
        <w:r>
          <w:rPr>
            <w:noProof/>
            <w:webHidden/>
          </w:rPr>
          <w:instrText xml:space="preserve"> PAGEREF _Toc451382124 \h </w:instrText>
        </w:r>
        <w:r>
          <w:rPr>
            <w:noProof/>
            <w:webHidden/>
          </w:rPr>
        </w:r>
        <w:r>
          <w:rPr>
            <w:noProof/>
            <w:webHidden/>
          </w:rPr>
          <w:fldChar w:fldCharType="separate"/>
        </w:r>
        <w:r>
          <w:rPr>
            <w:noProof/>
            <w:webHidden/>
          </w:rPr>
          <w:t>7</w:t>
        </w:r>
        <w:r>
          <w:rPr>
            <w:noProof/>
            <w:webHidden/>
          </w:rPr>
          <w:fldChar w:fldCharType="end"/>
        </w:r>
      </w:hyperlink>
    </w:p>
    <w:p w14:paraId="364E9524"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25" w:history="1">
        <w:r w:rsidRPr="008F32DF">
          <w:rPr>
            <w:rStyle w:val="Hyperlink"/>
            <w:noProof/>
          </w:rPr>
          <w:t>The test for a threat</w:t>
        </w:r>
        <w:r>
          <w:rPr>
            <w:noProof/>
            <w:webHidden/>
          </w:rPr>
          <w:tab/>
        </w:r>
        <w:r>
          <w:rPr>
            <w:noProof/>
            <w:webHidden/>
          </w:rPr>
          <w:fldChar w:fldCharType="begin"/>
        </w:r>
        <w:r>
          <w:rPr>
            <w:noProof/>
            <w:webHidden/>
          </w:rPr>
          <w:instrText xml:space="preserve"> PAGEREF _Toc451382125 \h </w:instrText>
        </w:r>
        <w:r>
          <w:rPr>
            <w:noProof/>
            <w:webHidden/>
          </w:rPr>
        </w:r>
        <w:r>
          <w:rPr>
            <w:noProof/>
            <w:webHidden/>
          </w:rPr>
          <w:fldChar w:fldCharType="separate"/>
        </w:r>
        <w:r>
          <w:rPr>
            <w:noProof/>
            <w:webHidden/>
          </w:rPr>
          <w:t>7</w:t>
        </w:r>
        <w:r>
          <w:rPr>
            <w:noProof/>
            <w:webHidden/>
          </w:rPr>
          <w:fldChar w:fldCharType="end"/>
        </w:r>
      </w:hyperlink>
    </w:p>
    <w:p w14:paraId="7FBC48D6"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26" w:history="1">
        <w:r w:rsidRPr="008F32DF">
          <w:rPr>
            <w:rStyle w:val="Hyperlink"/>
            <w:noProof/>
          </w:rPr>
          <w:t>Mass communications</w:t>
        </w:r>
        <w:r>
          <w:rPr>
            <w:noProof/>
            <w:webHidden/>
          </w:rPr>
          <w:tab/>
        </w:r>
        <w:r>
          <w:rPr>
            <w:noProof/>
            <w:webHidden/>
          </w:rPr>
          <w:fldChar w:fldCharType="begin"/>
        </w:r>
        <w:r>
          <w:rPr>
            <w:noProof/>
            <w:webHidden/>
          </w:rPr>
          <w:instrText xml:space="preserve"> PAGEREF _Toc451382126 \h </w:instrText>
        </w:r>
        <w:r>
          <w:rPr>
            <w:noProof/>
            <w:webHidden/>
          </w:rPr>
        </w:r>
        <w:r>
          <w:rPr>
            <w:noProof/>
            <w:webHidden/>
          </w:rPr>
          <w:fldChar w:fldCharType="separate"/>
        </w:r>
        <w:r>
          <w:rPr>
            <w:noProof/>
            <w:webHidden/>
          </w:rPr>
          <w:t>7</w:t>
        </w:r>
        <w:r>
          <w:rPr>
            <w:noProof/>
            <w:webHidden/>
          </w:rPr>
          <w:fldChar w:fldCharType="end"/>
        </w:r>
      </w:hyperlink>
    </w:p>
    <w:p w14:paraId="754333DF"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27" w:history="1">
        <w:r w:rsidRPr="008F32DF">
          <w:rPr>
            <w:rStyle w:val="Hyperlink"/>
            <w:noProof/>
          </w:rPr>
          <w:t>Section 70A: an actionable threat</w:t>
        </w:r>
        <w:r>
          <w:rPr>
            <w:noProof/>
            <w:webHidden/>
          </w:rPr>
          <w:tab/>
        </w:r>
        <w:r>
          <w:rPr>
            <w:noProof/>
            <w:webHidden/>
          </w:rPr>
          <w:fldChar w:fldCharType="begin"/>
        </w:r>
        <w:r>
          <w:rPr>
            <w:noProof/>
            <w:webHidden/>
          </w:rPr>
          <w:instrText xml:space="preserve"> PAGEREF _Toc451382127 \h </w:instrText>
        </w:r>
        <w:r>
          <w:rPr>
            <w:noProof/>
            <w:webHidden/>
          </w:rPr>
        </w:r>
        <w:r>
          <w:rPr>
            <w:noProof/>
            <w:webHidden/>
          </w:rPr>
          <w:fldChar w:fldCharType="separate"/>
        </w:r>
        <w:r>
          <w:rPr>
            <w:noProof/>
            <w:webHidden/>
          </w:rPr>
          <w:t>8</w:t>
        </w:r>
        <w:r>
          <w:rPr>
            <w:noProof/>
            <w:webHidden/>
          </w:rPr>
          <w:fldChar w:fldCharType="end"/>
        </w:r>
      </w:hyperlink>
    </w:p>
    <w:p w14:paraId="2E29F536"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28" w:history="1">
        <w:r w:rsidRPr="008F32DF">
          <w:rPr>
            <w:rStyle w:val="Hyperlink"/>
            <w:noProof/>
          </w:rPr>
          <w:t>The exceptions</w:t>
        </w:r>
        <w:r>
          <w:rPr>
            <w:noProof/>
            <w:webHidden/>
          </w:rPr>
          <w:tab/>
        </w:r>
        <w:r>
          <w:rPr>
            <w:noProof/>
            <w:webHidden/>
          </w:rPr>
          <w:fldChar w:fldCharType="begin"/>
        </w:r>
        <w:r>
          <w:rPr>
            <w:noProof/>
            <w:webHidden/>
          </w:rPr>
          <w:instrText xml:space="preserve"> PAGEREF _Toc451382128 \h </w:instrText>
        </w:r>
        <w:r>
          <w:rPr>
            <w:noProof/>
            <w:webHidden/>
          </w:rPr>
        </w:r>
        <w:r>
          <w:rPr>
            <w:noProof/>
            <w:webHidden/>
          </w:rPr>
          <w:fldChar w:fldCharType="separate"/>
        </w:r>
        <w:r>
          <w:rPr>
            <w:noProof/>
            <w:webHidden/>
          </w:rPr>
          <w:t>8</w:t>
        </w:r>
        <w:r>
          <w:rPr>
            <w:noProof/>
            <w:webHidden/>
          </w:rPr>
          <w:fldChar w:fldCharType="end"/>
        </w:r>
      </w:hyperlink>
    </w:p>
    <w:p w14:paraId="1AB0F48F"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29" w:history="1">
        <w:r w:rsidRPr="008F32DF">
          <w:rPr>
            <w:rStyle w:val="Hyperlink"/>
            <w:noProof/>
          </w:rPr>
          <w:t>Not actionable because of the subject matter of the threat</w:t>
        </w:r>
        <w:r>
          <w:rPr>
            <w:noProof/>
            <w:webHidden/>
          </w:rPr>
          <w:tab/>
        </w:r>
        <w:r>
          <w:rPr>
            <w:noProof/>
            <w:webHidden/>
          </w:rPr>
          <w:fldChar w:fldCharType="begin"/>
        </w:r>
        <w:r>
          <w:rPr>
            <w:noProof/>
            <w:webHidden/>
          </w:rPr>
          <w:instrText xml:space="preserve"> PAGEREF _Toc451382129 \h </w:instrText>
        </w:r>
        <w:r>
          <w:rPr>
            <w:noProof/>
            <w:webHidden/>
          </w:rPr>
        </w:r>
        <w:r>
          <w:rPr>
            <w:noProof/>
            <w:webHidden/>
          </w:rPr>
          <w:fldChar w:fldCharType="separate"/>
        </w:r>
        <w:r>
          <w:rPr>
            <w:noProof/>
            <w:webHidden/>
          </w:rPr>
          <w:t>9</w:t>
        </w:r>
        <w:r>
          <w:rPr>
            <w:noProof/>
            <w:webHidden/>
          </w:rPr>
          <w:fldChar w:fldCharType="end"/>
        </w:r>
      </w:hyperlink>
    </w:p>
    <w:p w14:paraId="11A2C08F"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0" w:history="1">
        <w:r w:rsidRPr="008F32DF">
          <w:rPr>
            <w:rStyle w:val="Hyperlink"/>
            <w:noProof/>
          </w:rPr>
          <w:t>Not actionable because of person to whom the threat is made</w:t>
        </w:r>
        <w:r>
          <w:rPr>
            <w:noProof/>
            <w:webHidden/>
          </w:rPr>
          <w:tab/>
        </w:r>
        <w:r>
          <w:rPr>
            <w:noProof/>
            <w:webHidden/>
          </w:rPr>
          <w:fldChar w:fldCharType="begin"/>
        </w:r>
        <w:r>
          <w:rPr>
            <w:noProof/>
            <w:webHidden/>
          </w:rPr>
          <w:instrText xml:space="preserve"> PAGEREF _Toc451382130 \h </w:instrText>
        </w:r>
        <w:r>
          <w:rPr>
            <w:noProof/>
            <w:webHidden/>
          </w:rPr>
        </w:r>
        <w:r>
          <w:rPr>
            <w:noProof/>
            <w:webHidden/>
          </w:rPr>
          <w:fldChar w:fldCharType="separate"/>
        </w:r>
        <w:r>
          <w:rPr>
            <w:noProof/>
            <w:webHidden/>
          </w:rPr>
          <w:t>9</w:t>
        </w:r>
        <w:r>
          <w:rPr>
            <w:noProof/>
            <w:webHidden/>
          </w:rPr>
          <w:fldChar w:fldCharType="end"/>
        </w:r>
      </w:hyperlink>
    </w:p>
    <w:p w14:paraId="2BC1E0AD"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1" w:history="1">
        <w:r w:rsidRPr="008F32DF">
          <w:rPr>
            <w:rStyle w:val="Hyperlink"/>
            <w:noProof/>
          </w:rPr>
          <w:t>Not actionable because it is contained in a permitted communication</w:t>
        </w:r>
        <w:r>
          <w:rPr>
            <w:noProof/>
            <w:webHidden/>
          </w:rPr>
          <w:tab/>
        </w:r>
        <w:r>
          <w:rPr>
            <w:noProof/>
            <w:webHidden/>
          </w:rPr>
          <w:fldChar w:fldCharType="begin"/>
        </w:r>
        <w:r>
          <w:rPr>
            <w:noProof/>
            <w:webHidden/>
          </w:rPr>
          <w:instrText xml:space="preserve"> PAGEREF _Toc451382131 \h </w:instrText>
        </w:r>
        <w:r>
          <w:rPr>
            <w:noProof/>
            <w:webHidden/>
          </w:rPr>
        </w:r>
        <w:r>
          <w:rPr>
            <w:noProof/>
            <w:webHidden/>
          </w:rPr>
          <w:fldChar w:fldCharType="separate"/>
        </w:r>
        <w:r>
          <w:rPr>
            <w:noProof/>
            <w:webHidden/>
          </w:rPr>
          <w:t>10</w:t>
        </w:r>
        <w:r>
          <w:rPr>
            <w:noProof/>
            <w:webHidden/>
          </w:rPr>
          <w:fldChar w:fldCharType="end"/>
        </w:r>
      </w:hyperlink>
    </w:p>
    <w:p w14:paraId="47D52590"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32" w:history="1">
        <w:r w:rsidRPr="008F32DF">
          <w:rPr>
            <w:rStyle w:val="Hyperlink"/>
            <w:noProof/>
          </w:rPr>
          <w:t>Section 70B: permitted communications</w:t>
        </w:r>
        <w:r>
          <w:rPr>
            <w:noProof/>
            <w:webHidden/>
          </w:rPr>
          <w:tab/>
        </w:r>
        <w:r>
          <w:rPr>
            <w:noProof/>
            <w:webHidden/>
          </w:rPr>
          <w:fldChar w:fldCharType="begin"/>
        </w:r>
        <w:r>
          <w:rPr>
            <w:noProof/>
            <w:webHidden/>
          </w:rPr>
          <w:instrText xml:space="preserve"> PAGEREF _Toc451382132 \h </w:instrText>
        </w:r>
        <w:r>
          <w:rPr>
            <w:noProof/>
            <w:webHidden/>
          </w:rPr>
        </w:r>
        <w:r>
          <w:rPr>
            <w:noProof/>
            <w:webHidden/>
          </w:rPr>
          <w:fldChar w:fldCharType="separate"/>
        </w:r>
        <w:r>
          <w:rPr>
            <w:noProof/>
            <w:webHidden/>
          </w:rPr>
          <w:t>10</w:t>
        </w:r>
        <w:r>
          <w:rPr>
            <w:noProof/>
            <w:webHidden/>
          </w:rPr>
          <w:fldChar w:fldCharType="end"/>
        </w:r>
      </w:hyperlink>
    </w:p>
    <w:p w14:paraId="570EE18C"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33" w:history="1">
        <w:r w:rsidRPr="008F32DF">
          <w:rPr>
            <w:rStyle w:val="Hyperlink"/>
            <w:noProof/>
          </w:rPr>
          <w:t>Safe harbour</w:t>
        </w:r>
        <w:r>
          <w:rPr>
            <w:noProof/>
            <w:webHidden/>
          </w:rPr>
          <w:tab/>
        </w:r>
        <w:r>
          <w:rPr>
            <w:noProof/>
            <w:webHidden/>
          </w:rPr>
          <w:fldChar w:fldCharType="begin"/>
        </w:r>
        <w:r>
          <w:rPr>
            <w:noProof/>
            <w:webHidden/>
          </w:rPr>
          <w:instrText xml:space="preserve"> PAGEREF _Toc451382133 \h </w:instrText>
        </w:r>
        <w:r>
          <w:rPr>
            <w:noProof/>
            <w:webHidden/>
          </w:rPr>
        </w:r>
        <w:r>
          <w:rPr>
            <w:noProof/>
            <w:webHidden/>
          </w:rPr>
          <w:fldChar w:fldCharType="separate"/>
        </w:r>
        <w:r>
          <w:rPr>
            <w:noProof/>
            <w:webHidden/>
          </w:rPr>
          <w:t>10</w:t>
        </w:r>
        <w:r>
          <w:rPr>
            <w:noProof/>
            <w:webHidden/>
          </w:rPr>
          <w:fldChar w:fldCharType="end"/>
        </w:r>
      </w:hyperlink>
    </w:p>
    <w:p w14:paraId="70EFA8B3"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4" w:history="1">
        <w:r w:rsidRPr="008F32DF">
          <w:rPr>
            <w:rStyle w:val="Hyperlink"/>
            <w:noProof/>
          </w:rPr>
          <w:t>No express threats</w:t>
        </w:r>
        <w:r>
          <w:rPr>
            <w:noProof/>
            <w:webHidden/>
          </w:rPr>
          <w:tab/>
        </w:r>
        <w:r>
          <w:rPr>
            <w:noProof/>
            <w:webHidden/>
          </w:rPr>
          <w:fldChar w:fldCharType="begin"/>
        </w:r>
        <w:r>
          <w:rPr>
            <w:noProof/>
            <w:webHidden/>
          </w:rPr>
          <w:instrText xml:space="preserve"> PAGEREF _Toc451382134 \h </w:instrText>
        </w:r>
        <w:r>
          <w:rPr>
            <w:noProof/>
            <w:webHidden/>
          </w:rPr>
        </w:r>
        <w:r>
          <w:rPr>
            <w:noProof/>
            <w:webHidden/>
          </w:rPr>
          <w:fldChar w:fldCharType="separate"/>
        </w:r>
        <w:r>
          <w:rPr>
            <w:noProof/>
            <w:webHidden/>
          </w:rPr>
          <w:t>10</w:t>
        </w:r>
        <w:r>
          <w:rPr>
            <w:noProof/>
            <w:webHidden/>
          </w:rPr>
          <w:fldChar w:fldCharType="end"/>
        </w:r>
      </w:hyperlink>
    </w:p>
    <w:p w14:paraId="3527C9FF"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5" w:history="1">
        <w:r w:rsidRPr="008F32DF">
          <w:rPr>
            <w:rStyle w:val="Hyperlink"/>
            <w:noProof/>
          </w:rPr>
          <w:t>The conditions</w:t>
        </w:r>
        <w:r>
          <w:rPr>
            <w:noProof/>
            <w:webHidden/>
          </w:rPr>
          <w:tab/>
        </w:r>
        <w:r>
          <w:rPr>
            <w:noProof/>
            <w:webHidden/>
          </w:rPr>
          <w:fldChar w:fldCharType="begin"/>
        </w:r>
        <w:r>
          <w:rPr>
            <w:noProof/>
            <w:webHidden/>
          </w:rPr>
          <w:instrText xml:space="preserve"> PAGEREF _Toc451382135 \h </w:instrText>
        </w:r>
        <w:r>
          <w:rPr>
            <w:noProof/>
            <w:webHidden/>
          </w:rPr>
        </w:r>
        <w:r>
          <w:rPr>
            <w:noProof/>
            <w:webHidden/>
          </w:rPr>
          <w:fldChar w:fldCharType="separate"/>
        </w:r>
        <w:r>
          <w:rPr>
            <w:noProof/>
            <w:webHidden/>
          </w:rPr>
          <w:t>10</w:t>
        </w:r>
        <w:r>
          <w:rPr>
            <w:noProof/>
            <w:webHidden/>
          </w:rPr>
          <w:fldChar w:fldCharType="end"/>
        </w:r>
      </w:hyperlink>
    </w:p>
    <w:p w14:paraId="527D15ED"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6" w:history="1">
        <w:r w:rsidRPr="008F32DF">
          <w:rPr>
            <w:rStyle w:val="Hyperlink"/>
            <w:noProof/>
          </w:rPr>
          <w:t>Guidance</w:t>
        </w:r>
        <w:r>
          <w:rPr>
            <w:noProof/>
            <w:webHidden/>
          </w:rPr>
          <w:tab/>
        </w:r>
        <w:r>
          <w:rPr>
            <w:noProof/>
            <w:webHidden/>
          </w:rPr>
          <w:fldChar w:fldCharType="begin"/>
        </w:r>
        <w:r>
          <w:rPr>
            <w:noProof/>
            <w:webHidden/>
          </w:rPr>
          <w:instrText xml:space="preserve"> PAGEREF _Toc451382136 \h </w:instrText>
        </w:r>
        <w:r>
          <w:rPr>
            <w:noProof/>
            <w:webHidden/>
          </w:rPr>
        </w:r>
        <w:r>
          <w:rPr>
            <w:noProof/>
            <w:webHidden/>
          </w:rPr>
          <w:fldChar w:fldCharType="separate"/>
        </w:r>
        <w:r>
          <w:rPr>
            <w:noProof/>
            <w:webHidden/>
          </w:rPr>
          <w:t>11</w:t>
        </w:r>
        <w:r>
          <w:rPr>
            <w:noProof/>
            <w:webHidden/>
          </w:rPr>
          <w:fldChar w:fldCharType="end"/>
        </w:r>
      </w:hyperlink>
    </w:p>
    <w:p w14:paraId="23BEFA38"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37" w:history="1">
        <w:r w:rsidRPr="008F32DF">
          <w:rPr>
            <w:rStyle w:val="Hyperlink"/>
            <w:noProof/>
          </w:rPr>
          <w:t>New permitted purposes</w:t>
        </w:r>
        <w:r>
          <w:rPr>
            <w:noProof/>
            <w:webHidden/>
          </w:rPr>
          <w:tab/>
        </w:r>
        <w:r>
          <w:rPr>
            <w:noProof/>
            <w:webHidden/>
          </w:rPr>
          <w:fldChar w:fldCharType="begin"/>
        </w:r>
        <w:r>
          <w:rPr>
            <w:noProof/>
            <w:webHidden/>
          </w:rPr>
          <w:instrText xml:space="preserve"> PAGEREF _Toc451382137 \h </w:instrText>
        </w:r>
        <w:r>
          <w:rPr>
            <w:noProof/>
            <w:webHidden/>
          </w:rPr>
        </w:r>
        <w:r>
          <w:rPr>
            <w:noProof/>
            <w:webHidden/>
          </w:rPr>
          <w:fldChar w:fldCharType="separate"/>
        </w:r>
        <w:r>
          <w:rPr>
            <w:noProof/>
            <w:webHidden/>
          </w:rPr>
          <w:t>11</w:t>
        </w:r>
        <w:r>
          <w:rPr>
            <w:noProof/>
            <w:webHidden/>
          </w:rPr>
          <w:fldChar w:fldCharType="end"/>
        </w:r>
      </w:hyperlink>
    </w:p>
    <w:p w14:paraId="7091F701"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38" w:history="1">
        <w:r w:rsidRPr="008F32DF">
          <w:rPr>
            <w:rStyle w:val="Hyperlink"/>
            <w:noProof/>
          </w:rPr>
          <w:t>Section 70C: remedies and defences</w:t>
        </w:r>
        <w:r>
          <w:rPr>
            <w:noProof/>
            <w:webHidden/>
          </w:rPr>
          <w:tab/>
        </w:r>
        <w:r>
          <w:rPr>
            <w:noProof/>
            <w:webHidden/>
          </w:rPr>
          <w:fldChar w:fldCharType="begin"/>
        </w:r>
        <w:r>
          <w:rPr>
            <w:noProof/>
            <w:webHidden/>
          </w:rPr>
          <w:instrText xml:space="preserve"> PAGEREF _Toc451382138 \h </w:instrText>
        </w:r>
        <w:r>
          <w:rPr>
            <w:noProof/>
            <w:webHidden/>
          </w:rPr>
        </w:r>
        <w:r>
          <w:rPr>
            <w:noProof/>
            <w:webHidden/>
          </w:rPr>
          <w:fldChar w:fldCharType="separate"/>
        </w:r>
        <w:r>
          <w:rPr>
            <w:noProof/>
            <w:webHidden/>
          </w:rPr>
          <w:t>11</w:t>
        </w:r>
        <w:r>
          <w:rPr>
            <w:noProof/>
            <w:webHidden/>
          </w:rPr>
          <w:fldChar w:fldCharType="end"/>
        </w:r>
      </w:hyperlink>
    </w:p>
    <w:p w14:paraId="2ABDD834"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39" w:history="1">
        <w:r w:rsidRPr="008F32DF">
          <w:rPr>
            <w:rStyle w:val="Hyperlink"/>
            <w:noProof/>
          </w:rPr>
          <w:t>Remedies</w:t>
        </w:r>
        <w:r>
          <w:rPr>
            <w:noProof/>
            <w:webHidden/>
          </w:rPr>
          <w:tab/>
        </w:r>
        <w:r>
          <w:rPr>
            <w:noProof/>
            <w:webHidden/>
          </w:rPr>
          <w:fldChar w:fldCharType="begin"/>
        </w:r>
        <w:r>
          <w:rPr>
            <w:noProof/>
            <w:webHidden/>
          </w:rPr>
          <w:instrText xml:space="preserve"> PAGEREF _Toc451382139 \h </w:instrText>
        </w:r>
        <w:r>
          <w:rPr>
            <w:noProof/>
            <w:webHidden/>
          </w:rPr>
        </w:r>
        <w:r>
          <w:rPr>
            <w:noProof/>
            <w:webHidden/>
          </w:rPr>
          <w:fldChar w:fldCharType="separate"/>
        </w:r>
        <w:r>
          <w:rPr>
            <w:noProof/>
            <w:webHidden/>
          </w:rPr>
          <w:t>11</w:t>
        </w:r>
        <w:r>
          <w:rPr>
            <w:noProof/>
            <w:webHidden/>
          </w:rPr>
          <w:fldChar w:fldCharType="end"/>
        </w:r>
      </w:hyperlink>
    </w:p>
    <w:p w14:paraId="501BF9AA"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40" w:history="1">
        <w:r w:rsidRPr="008F32DF">
          <w:rPr>
            <w:rStyle w:val="Hyperlink"/>
            <w:noProof/>
          </w:rPr>
          <w:t>Defences</w:t>
        </w:r>
        <w:r>
          <w:rPr>
            <w:noProof/>
            <w:webHidden/>
          </w:rPr>
          <w:tab/>
        </w:r>
        <w:r>
          <w:rPr>
            <w:noProof/>
            <w:webHidden/>
          </w:rPr>
          <w:fldChar w:fldCharType="begin"/>
        </w:r>
        <w:r>
          <w:rPr>
            <w:noProof/>
            <w:webHidden/>
          </w:rPr>
          <w:instrText xml:space="preserve"> PAGEREF _Toc451382140 \h </w:instrText>
        </w:r>
        <w:r>
          <w:rPr>
            <w:noProof/>
            <w:webHidden/>
          </w:rPr>
        </w:r>
        <w:r>
          <w:rPr>
            <w:noProof/>
            <w:webHidden/>
          </w:rPr>
          <w:fldChar w:fldCharType="separate"/>
        </w:r>
        <w:r>
          <w:rPr>
            <w:noProof/>
            <w:webHidden/>
          </w:rPr>
          <w:t>12</w:t>
        </w:r>
        <w:r>
          <w:rPr>
            <w:noProof/>
            <w:webHidden/>
          </w:rPr>
          <w:fldChar w:fldCharType="end"/>
        </w:r>
      </w:hyperlink>
    </w:p>
    <w:p w14:paraId="5C45C021"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41" w:history="1">
        <w:r w:rsidRPr="008F32DF">
          <w:rPr>
            <w:rStyle w:val="Hyperlink"/>
            <w:noProof/>
          </w:rPr>
          <w:t>The justification defence</w:t>
        </w:r>
        <w:r>
          <w:rPr>
            <w:noProof/>
            <w:webHidden/>
          </w:rPr>
          <w:tab/>
        </w:r>
        <w:r>
          <w:rPr>
            <w:noProof/>
            <w:webHidden/>
          </w:rPr>
          <w:fldChar w:fldCharType="begin"/>
        </w:r>
        <w:r>
          <w:rPr>
            <w:noProof/>
            <w:webHidden/>
          </w:rPr>
          <w:instrText xml:space="preserve"> PAGEREF _Toc451382141 \h </w:instrText>
        </w:r>
        <w:r>
          <w:rPr>
            <w:noProof/>
            <w:webHidden/>
          </w:rPr>
        </w:r>
        <w:r>
          <w:rPr>
            <w:noProof/>
            <w:webHidden/>
          </w:rPr>
          <w:fldChar w:fldCharType="separate"/>
        </w:r>
        <w:r>
          <w:rPr>
            <w:noProof/>
            <w:webHidden/>
          </w:rPr>
          <w:t>12</w:t>
        </w:r>
        <w:r>
          <w:rPr>
            <w:noProof/>
            <w:webHidden/>
          </w:rPr>
          <w:fldChar w:fldCharType="end"/>
        </w:r>
      </w:hyperlink>
    </w:p>
    <w:p w14:paraId="7AE895DD"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42" w:history="1">
        <w:r w:rsidRPr="008F32DF">
          <w:rPr>
            <w:rStyle w:val="Hyperlink"/>
            <w:noProof/>
          </w:rPr>
          <w:t>Defence where no primary actor can be found</w:t>
        </w:r>
        <w:r>
          <w:rPr>
            <w:noProof/>
            <w:webHidden/>
          </w:rPr>
          <w:tab/>
        </w:r>
        <w:r>
          <w:rPr>
            <w:noProof/>
            <w:webHidden/>
          </w:rPr>
          <w:fldChar w:fldCharType="begin"/>
        </w:r>
        <w:r>
          <w:rPr>
            <w:noProof/>
            <w:webHidden/>
          </w:rPr>
          <w:instrText xml:space="preserve"> PAGEREF _Toc451382142 \h </w:instrText>
        </w:r>
        <w:r>
          <w:rPr>
            <w:noProof/>
            <w:webHidden/>
          </w:rPr>
        </w:r>
        <w:r>
          <w:rPr>
            <w:noProof/>
            <w:webHidden/>
          </w:rPr>
          <w:fldChar w:fldCharType="separate"/>
        </w:r>
        <w:r>
          <w:rPr>
            <w:noProof/>
            <w:webHidden/>
          </w:rPr>
          <w:t>12</w:t>
        </w:r>
        <w:r>
          <w:rPr>
            <w:noProof/>
            <w:webHidden/>
          </w:rPr>
          <w:fldChar w:fldCharType="end"/>
        </w:r>
      </w:hyperlink>
    </w:p>
    <w:p w14:paraId="47CA445C"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43" w:history="1">
        <w:r w:rsidRPr="008F32DF">
          <w:rPr>
            <w:rStyle w:val="Hyperlink"/>
            <w:noProof/>
          </w:rPr>
          <w:t>Section 70D: professional advisers</w:t>
        </w:r>
        <w:r>
          <w:rPr>
            <w:noProof/>
            <w:webHidden/>
          </w:rPr>
          <w:tab/>
        </w:r>
        <w:r>
          <w:rPr>
            <w:noProof/>
            <w:webHidden/>
          </w:rPr>
          <w:fldChar w:fldCharType="begin"/>
        </w:r>
        <w:r>
          <w:rPr>
            <w:noProof/>
            <w:webHidden/>
          </w:rPr>
          <w:instrText xml:space="preserve"> PAGEREF _Toc451382143 \h </w:instrText>
        </w:r>
        <w:r>
          <w:rPr>
            <w:noProof/>
            <w:webHidden/>
          </w:rPr>
        </w:r>
        <w:r>
          <w:rPr>
            <w:noProof/>
            <w:webHidden/>
          </w:rPr>
          <w:fldChar w:fldCharType="separate"/>
        </w:r>
        <w:r>
          <w:rPr>
            <w:noProof/>
            <w:webHidden/>
          </w:rPr>
          <w:t>13</w:t>
        </w:r>
        <w:r>
          <w:rPr>
            <w:noProof/>
            <w:webHidden/>
          </w:rPr>
          <w:fldChar w:fldCharType="end"/>
        </w:r>
      </w:hyperlink>
    </w:p>
    <w:p w14:paraId="35AD47AD"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44" w:history="1">
        <w:r w:rsidRPr="008F32DF">
          <w:rPr>
            <w:rStyle w:val="Hyperlink"/>
            <w:noProof/>
          </w:rPr>
          <w:t>Protection</w:t>
        </w:r>
        <w:r>
          <w:rPr>
            <w:noProof/>
            <w:webHidden/>
          </w:rPr>
          <w:tab/>
        </w:r>
        <w:r>
          <w:rPr>
            <w:noProof/>
            <w:webHidden/>
          </w:rPr>
          <w:fldChar w:fldCharType="begin"/>
        </w:r>
        <w:r>
          <w:rPr>
            <w:noProof/>
            <w:webHidden/>
          </w:rPr>
          <w:instrText xml:space="preserve"> PAGEREF _Toc451382144 \h </w:instrText>
        </w:r>
        <w:r>
          <w:rPr>
            <w:noProof/>
            <w:webHidden/>
          </w:rPr>
        </w:r>
        <w:r>
          <w:rPr>
            <w:noProof/>
            <w:webHidden/>
          </w:rPr>
          <w:fldChar w:fldCharType="separate"/>
        </w:r>
        <w:r>
          <w:rPr>
            <w:noProof/>
            <w:webHidden/>
          </w:rPr>
          <w:t>13</w:t>
        </w:r>
        <w:r>
          <w:rPr>
            <w:noProof/>
            <w:webHidden/>
          </w:rPr>
          <w:fldChar w:fldCharType="end"/>
        </w:r>
      </w:hyperlink>
    </w:p>
    <w:p w14:paraId="53A391E9" w14:textId="77777777" w:rsidR="005100F9" w:rsidRDefault="005100F9">
      <w:pPr>
        <w:pStyle w:val="TOC4"/>
        <w:tabs>
          <w:tab w:val="right" w:pos="9061"/>
        </w:tabs>
        <w:rPr>
          <w:rFonts w:asciiTheme="minorHAnsi" w:eastAsiaTheme="minorEastAsia" w:hAnsiTheme="minorHAnsi" w:cstheme="minorBidi"/>
          <w:noProof/>
          <w:sz w:val="22"/>
          <w:szCs w:val="22"/>
          <w:lang w:eastAsia="en-GB"/>
        </w:rPr>
      </w:pPr>
      <w:hyperlink w:anchor="_Toc451382145" w:history="1">
        <w:r w:rsidRPr="008F32DF">
          <w:rPr>
            <w:rStyle w:val="Hyperlink"/>
            <w:noProof/>
          </w:rPr>
          <w:t>Not limited to UK advisers</w:t>
        </w:r>
        <w:r>
          <w:rPr>
            <w:noProof/>
            <w:webHidden/>
          </w:rPr>
          <w:tab/>
        </w:r>
        <w:r>
          <w:rPr>
            <w:noProof/>
            <w:webHidden/>
          </w:rPr>
          <w:fldChar w:fldCharType="begin"/>
        </w:r>
        <w:r>
          <w:rPr>
            <w:noProof/>
            <w:webHidden/>
          </w:rPr>
          <w:instrText xml:space="preserve"> PAGEREF _Toc451382145 \h </w:instrText>
        </w:r>
        <w:r>
          <w:rPr>
            <w:noProof/>
            <w:webHidden/>
          </w:rPr>
        </w:r>
        <w:r>
          <w:rPr>
            <w:noProof/>
            <w:webHidden/>
          </w:rPr>
          <w:fldChar w:fldCharType="separate"/>
        </w:r>
        <w:r>
          <w:rPr>
            <w:noProof/>
            <w:webHidden/>
          </w:rPr>
          <w:t>13</w:t>
        </w:r>
        <w:r>
          <w:rPr>
            <w:noProof/>
            <w:webHidden/>
          </w:rPr>
          <w:fldChar w:fldCharType="end"/>
        </w:r>
      </w:hyperlink>
    </w:p>
    <w:p w14:paraId="45217E39" w14:textId="77777777" w:rsidR="005100F9" w:rsidRDefault="005100F9">
      <w:pPr>
        <w:pStyle w:val="TOC2"/>
        <w:tabs>
          <w:tab w:val="right" w:pos="9061"/>
        </w:tabs>
        <w:rPr>
          <w:rFonts w:asciiTheme="minorHAnsi" w:eastAsiaTheme="minorEastAsia" w:hAnsiTheme="minorHAnsi" w:cstheme="minorBidi"/>
          <w:noProof/>
          <w:sz w:val="22"/>
          <w:szCs w:val="22"/>
          <w:lang w:eastAsia="en-GB"/>
        </w:rPr>
      </w:pPr>
      <w:hyperlink w:anchor="_Toc451382146" w:history="1">
        <w:r w:rsidRPr="008F32DF">
          <w:rPr>
            <w:rStyle w:val="Hyperlink"/>
            <w:noProof/>
          </w:rPr>
          <w:t>Sections 70E and 70F: supplementary</w:t>
        </w:r>
        <w:r>
          <w:rPr>
            <w:noProof/>
            <w:webHidden/>
          </w:rPr>
          <w:tab/>
        </w:r>
        <w:r>
          <w:rPr>
            <w:noProof/>
            <w:webHidden/>
          </w:rPr>
          <w:fldChar w:fldCharType="begin"/>
        </w:r>
        <w:r>
          <w:rPr>
            <w:noProof/>
            <w:webHidden/>
          </w:rPr>
          <w:instrText xml:space="preserve"> PAGEREF _Toc451382146 \h </w:instrText>
        </w:r>
        <w:r>
          <w:rPr>
            <w:noProof/>
            <w:webHidden/>
          </w:rPr>
        </w:r>
        <w:r>
          <w:rPr>
            <w:noProof/>
            <w:webHidden/>
          </w:rPr>
          <w:fldChar w:fldCharType="separate"/>
        </w:r>
        <w:r>
          <w:rPr>
            <w:noProof/>
            <w:webHidden/>
          </w:rPr>
          <w:t>13</w:t>
        </w:r>
        <w:r>
          <w:rPr>
            <w:noProof/>
            <w:webHidden/>
          </w:rPr>
          <w:fldChar w:fldCharType="end"/>
        </w:r>
      </w:hyperlink>
    </w:p>
    <w:p w14:paraId="30F41DBC"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47" w:history="1">
        <w:r w:rsidRPr="008F32DF">
          <w:rPr>
            <w:rStyle w:val="Hyperlink"/>
            <w:noProof/>
          </w:rPr>
          <w:t>Registered rights pending grant</w:t>
        </w:r>
        <w:r>
          <w:rPr>
            <w:noProof/>
            <w:webHidden/>
          </w:rPr>
          <w:tab/>
        </w:r>
        <w:r>
          <w:rPr>
            <w:noProof/>
            <w:webHidden/>
          </w:rPr>
          <w:fldChar w:fldCharType="begin"/>
        </w:r>
        <w:r>
          <w:rPr>
            <w:noProof/>
            <w:webHidden/>
          </w:rPr>
          <w:instrText xml:space="preserve"> PAGEREF _Toc451382147 \h </w:instrText>
        </w:r>
        <w:r>
          <w:rPr>
            <w:noProof/>
            <w:webHidden/>
          </w:rPr>
        </w:r>
        <w:r>
          <w:rPr>
            <w:noProof/>
            <w:webHidden/>
          </w:rPr>
          <w:fldChar w:fldCharType="separate"/>
        </w:r>
        <w:r>
          <w:rPr>
            <w:noProof/>
            <w:webHidden/>
          </w:rPr>
          <w:t>13</w:t>
        </w:r>
        <w:r>
          <w:rPr>
            <w:noProof/>
            <w:webHidden/>
          </w:rPr>
          <w:fldChar w:fldCharType="end"/>
        </w:r>
      </w:hyperlink>
    </w:p>
    <w:p w14:paraId="202584A6"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48" w:history="1">
        <w:r w:rsidRPr="008F32DF">
          <w:rPr>
            <w:rStyle w:val="Hyperlink"/>
            <w:noProof/>
          </w:rPr>
          <w:t>Delivery up and orders for disposal</w:t>
        </w:r>
        <w:r>
          <w:rPr>
            <w:noProof/>
            <w:webHidden/>
          </w:rPr>
          <w:tab/>
        </w:r>
        <w:r>
          <w:rPr>
            <w:noProof/>
            <w:webHidden/>
          </w:rPr>
          <w:fldChar w:fldCharType="begin"/>
        </w:r>
        <w:r>
          <w:rPr>
            <w:noProof/>
            <w:webHidden/>
          </w:rPr>
          <w:instrText xml:space="preserve"> PAGEREF _Toc451382148 \h </w:instrText>
        </w:r>
        <w:r>
          <w:rPr>
            <w:noProof/>
            <w:webHidden/>
          </w:rPr>
        </w:r>
        <w:r>
          <w:rPr>
            <w:noProof/>
            <w:webHidden/>
          </w:rPr>
          <w:fldChar w:fldCharType="separate"/>
        </w:r>
        <w:r>
          <w:rPr>
            <w:noProof/>
            <w:webHidden/>
          </w:rPr>
          <w:t>13</w:t>
        </w:r>
        <w:r>
          <w:rPr>
            <w:noProof/>
            <w:webHidden/>
          </w:rPr>
          <w:fldChar w:fldCharType="end"/>
        </w:r>
      </w:hyperlink>
    </w:p>
    <w:p w14:paraId="5A5E957E" w14:textId="77777777" w:rsidR="005100F9" w:rsidRDefault="005100F9">
      <w:pPr>
        <w:pStyle w:val="TOC3"/>
        <w:tabs>
          <w:tab w:val="right" w:pos="9061"/>
        </w:tabs>
        <w:rPr>
          <w:rFonts w:asciiTheme="minorHAnsi" w:eastAsiaTheme="minorEastAsia" w:hAnsiTheme="minorHAnsi" w:cstheme="minorBidi"/>
          <w:iCs w:val="0"/>
          <w:noProof/>
          <w:sz w:val="22"/>
          <w:szCs w:val="22"/>
          <w:lang w:eastAsia="en-GB"/>
        </w:rPr>
      </w:pPr>
      <w:hyperlink w:anchor="_Toc451382149" w:history="1">
        <w:r w:rsidRPr="008F32DF">
          <w:rPr>
            <w:rStyle w:val="Hyperlink"/>
            <w:noProof/>
          </w:rPr>
          <w:t>Amendments to Schedule A3 to the Patents Act 1977</w:t>
        </w:r>
        <w:r>
          <w:rPr>
            <w:noProof/>
            <w:webHidden/>
          </w:rPr>
          <w:tab/>
        </w:r>
        <w:r>
          <w:rPr>
            <w:noProof/>
            <w:webHidden/>
          </w:rPr>
          <w:fldChar w:fldCharType="begin"/>
        </w:r>
        <w:r>
          <w:rPr>
            <w:noProof/>
            <w:webHidden/>
          </w:rPr>
          <w:instrText xml:space="preserve"> PAGEREF _Toc451382149 \h </w:instrText>
        </w:r>
        <w:r>
          <w:rPr>
            <w:noProof/>
            <w:webHidden/>
          </w:rPr>
        </w:r>
        <w:r>
          <w:rPr>
            <w:noProof/>
            <w:webHidden/>
          </w:rPr>
          <w:fldChar w:fldCharType="separate"/>
        </w:r>
        <w:r>
          <w:rPr>
            <w:noProof/>
            <w:webHidden/>
          </w:rPr>
          <w:t>14</w:t>
        </w:r>
        <w:r>
          <w:rPr>
            <w:noProof/>
            <w:webHidden/>
          </w:rPr>
          <w:fldChar w:fldCharType="end"/>
        </w:r>
      </w:hyperlink>
    </w:p>
    <w:p w14:paraId="7999DDA9"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50" w:history="1">
        <w:r w:rsidRPr="008F32DF">
          <w:rPr>
            <w:rStyle w:val="Hyperlink"/>
            <w:noProof/>
          </w:rPr>
          <w:t>Commencement</w:t>
        </w:r>
        <w:r>
          <w:rPr>
            <w:noProof/>
            <w:webHidden/>
          </w:rPr>
          <w:tab/>
        </w:r>
        <w:r>
          <w:rPr>
            <w:noProof/>
            <w:webHidden/>
          </w:rPr>
          <w:fldChar w:fldCharType="begin"/>
        </w:r>
        <w:r>
          <w:rPr>
            <w:noProof/>
            <w:webHidden/>
          </w:rPr>
          <w:instrText xml:space="preserve"> PAGEREF _Toc451382150 \h </w:instrText>
        </w:r>
        <w:r>
          <w:rPr>
            <w:noProof/>
            <w:webHidden/>
          </w:rPr>
        </w:r>
        <w:r>
          <w:rPr>
            <w:noProof/>
            <w:webHidden/>
          </w:rPr>
          <w:fldChar w:fldCharType="separate"/>
        </w:r>
        <w:r>
          <w:rPr>
            <w:noProof/>
            <w:webHidden/>
          </w:rPr>
          <w:t>14</w:t>
        </w:r>
        <w:r>
          <w:rPr>
            <w:noProof/>
            <w:webHidden/>
          </w:rPr>
          <w:fldChar w:fldCharType="end"/>
        </w:r>
      </w:hyperlink>
    </w:p>
    <w:p w14:paraId="1ED982E6"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51" w:history="1">
        <w:r w:rsidRPr="008F32DF">
          <w:rPr>
            <w:rStyle w:val="Hyperlink"/>
            <w:noProof/>
          </w:rPr>
          <w:t>Financial implications of the Bill</w:t>
        </w:r>
        <w:r>
          <w:rPr>
            <w:noProof/>
            <w:webHidden/>
          </w:rPr>
          <w:tab/>
        </w:r>
        <w:r>
          <w:rPr>
            <w:noProof/>
            <w:webHidden/>
          </w:rPr>
          <w:fldChar w:fldCharType="begin"/>
        </w:r>
        <w:r>
          <w:rPr>
            <w:noProof/>
            <w:webHidden/>
          </w:rPr>
          <w:instrText xml:space="preserve"> PAGEREF _Toc451382151 \h </w:instrText>
        </w:r>
        <w:r>
          <w:rPr>
            <w:noProof/>
            <w:webHidden/>
          </w:rPr>
        </w:r>
        <w:r>
          <w:rPr>
            <w:noProof/>
            <w:webHidden/>
          </w:rPr>
          <w:fldChar w:fldCharType="separate"/>
        </w:r>
        <w:r>
          <w:rPr>
            <w:noProof/>
            <w:webHidden/>
          </w:rPr>
          <w:t>14</w:t>
        </w:r>
        <w:r>
          <w:rPr>
            <w:noProof/>
            <w:webHidden/>
          </w:rPr>
          <w:fldChar w:fldCharType="end"/>
        </w:r>
      </w:hyperlink>
    </w:p>
    <w:p w14:paraId="197F779E"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52" w:history="1">
        <w:r w:rsidRPr="008F32DF">
          <w:rPr>
            <w:rStyle w:val="Hyperlink"/>
            <w:noProof/>
          </w:rPr>
          <w:t>Compatibility with the European Convention on Human Rights</w:t>
        </w:r>
        <w:r>
          <w:rPr>
            <w:noProof/>
            <w:webHidden/>
          </w:rPr>
          <w:tab/>
        </w:r>
        <w:r>
          <w:rPr>
            <w:noProof/>
            <w:webHidden/>
          </w:rPr>
          <w:fldChar w:fldCharType="begin"/>
        </w:r>
        <w:r>
          <w:rPr>
            <w:noProof/>
            <w:webHidden/>
          </w:rPr>
          <w:instrText xml:space="preserve"> PAGEREF _Toc451382152 \h </w:instrText>
        </w:r>
        <w:r>
          <w:rPr>
            <w:noProof/>
            <w:webHidden/>
          </w:rPr>
        </w:r>
        <w:r>
          <w:rPr>
            <w:noProof/>
            <w:webHidden/>
          </w:rPr>
          <w:fldChar w:fldCharType="separate"/>
        </w:r>
        <w:r>
          <w:rPr>
            <w:noProof/>
            <w:webHidden/>
          </w:rPr>
          <w:t>14</w:t>
        </w:r>
        <w:r>
          <w:rPr>
            <w:noProof/>
            <w:webHidden/>
          </w:rPr>
          <w:fldChar w:fldCharType="end"/>
        </w:r>
      </w:hyperlink>
    </w:p>
    <w:p w14:paraId="4A1C9581" w14:textId="77777777" w:rsidR="005100F9" w:rsidRDefault="005100F9">
      <w:pPr>
        <w:pStyle w:val="TOC1"/>
        <w:rPr>
          <w:rFonts w:asciiTheme="minorHAnsi" w:eastAsiaTheme="minorEastAsia" w:hAnsiTheme="minorHAnsi" w:cstheme="minorBidi"/>
          <w:b w:val="0"/>
          <w:bCs w:val="0"/>
          <w:noProof/>
          <w:sz w:val="22"/>
          <w:szCs w:val="22"/>
          <w:lang w:eastAsia="en-GB"/>
        </w:rPr>
      </w:pPr>
      <w:hyperlink w:anchor="_Toc451382153" w:history="1">
        <w:r w:rsidRPr="008F32DF">
          <w:rPr>
            <w:rStyle w:val="Hyperlink"/>
            <w:noProof/>
          </w:rPr>
          <w:t>Related documents</w:t>
        </w:r>
        <w:r>
          <w:rPr>
            <w:noProof/>
            <w:webHidden/>
          </w:rPr>
          <w:tab/>
        </w:r>
        <w:r>
          <w:rPr>
            <w:noProof/>
            <w:webHidden/>
          </w:rPr>
          <w:fldChar w:fldCharType="begin"/>
        </w:r>
        <w:r>
          <w:rPr>
            <w:noProof/>
            <w:webHidden/>
          </w:rPr>
          <w:instrText xml:space="preserve"> PAGEREF _Toc451382153 \h </w:instrText>
        </w:r>
        <w:r>
          <w:rPr>
            <w:noProof/>
            <w:webHidden/>
          </w:rPr>
        </w:r>
        <w:r>
          <w:rPr>
            <w:noProof/>
            <w:webHidden/>
          </w:rPr>
          <w:fldChar w:fldCharType="separate"/>
        </w:r>
        <w:r>
          <w:rPr>
            <w:noProof/>
            <w:webHidden/>
          </w:rPr>
          <w:t>14</w:t>
        </w:r>
        <w:r>
          <w:rPr>
            <w:noProof/>
            <w:webHidden/>
          </w:rPr>
          <w:fldChar w:fldCharType="end"/>
        </w:r>
      </w:hyperlink>
    </w:p>
    <w:p w14:paraId="3ED067FD" w14:textId="77777777" w:rsidR="009A43D0" w:rsidRPr="00CA4237" w:rsidRDefault="00EC40F4" w:rsidP="005D5C40">
      <w:pPr>
        <w:pStyle w:val="Heading1"/>
      </w:pPr>
      <w:r>
        <w:fldChar w:fldCharType="end"/>
      </w:r>
      <w:r w:rsidR="009A43D0" w:rsidRPr="00CA4237">
        <w:br w:type="page"/>
      </w:r>
      <w:bookmarkStart w:id="0" w:name="_Toc410653883"/>
      <w:bookmarkStart w:id="1" w:name="_Toc416612126"/>
      <w:bookmarkStart w:id="2" w:name="_Toc417648111"/>
      <w:bookmarkStart w:id="3" w:name="_Toc418587917"/>
      <w:bookmarkStart w:id="4" w:name="_Toc451382117"/>
      <w:r w:rsidR="009A43D0" w:rsidRPr="00CA4237">
        <w:lastRenderedPageBreak/>
        <w:t xml:space="preserve">Overview of the </w:t>
      </w:r>
      <w:bookmarkEnd w:id="0"/>
      <w:r w:rsidR="009A43D0">
        <w:t>Bill</w:t>
      </w:r>
      <w:bookmarkEnd w:id="1"/>
      <w:bookmarkEnd w:id="2"/>
      <w:bookmarkEnd w:id="3"/>
      <w:bookmarkEnd w:id="4"/>
    </w:p>
    <w:p w14:paraId="5C3234AB" w14:textId="77777777" w:rsidR="009A43D0" w:rsidRPr="009E4C04" w:rsidRDefault="009A43D0" w:rsidP="00DB573D">
      <w:pPr>
        <w:pStyle w:val="ParaNumbered"/>
        <w:rPr>
          <w:lang w:val="en-GB"/>
        </w:rPr>
      </w:pPr>
      <w:r>
        <w:rPr>
          <w:lang w:val="en-GB"/>
        </w:rPr>
        <w:t xml:space="preserve">The Intellectual Property (Unjustified Threats) Bill </w:t>
      </w:r>
      <w:r>
        <w:t>(the Bill) sets out</w:t>
      </w:r>
      <w:r>
        <w:rPr>
          <w:lang w:val="en-GB"/>
        </w:rPr>
        <w:t xml:space="preserve"> reform</w:t>
      </w:r>
      <w:r>
        <w:t>s to</w:t>
      </w:r>
      <w:r>
        <w:rPr>
          <w:lang w:val="en-GB"/>
        </w:rPr>
        <w:t xml:space="preserve"> </w:t>
      </w:r>
      <w:r>
        <w:t xml:space="preserve">the law of unjustified, or groundless, threats as it applies to patents, trade marks and designs. The law in this area provides a remedy for those who are affected by unjustified threats. </w:t>
      </w:r>
      <w:r w:rsidRPr="004A448F">
        <w:t>Threats to sue for infringement are unjustified where they are made in respect of an invalid right or where there has been no infringement.</w:t>
      </w:r>
      <w:r>
        <w:t xml:space="preserve"> </w:t>
      </w:r>
    </w:p>
    <w:p w14:paraId="0D1B6335" w14:textId="77777777" w:rsidR="009A43D0" w:rsidRPr="00A71286" w:rsidRDefault="009A43D0" w:rsidP="00A71286">
      <w:pPr>
        <w:pStyle w:val="ParaNumbered"/>
        <w:rPr>
          <w:lang w:val="en-GB"/>
        </w:rPr>
      </w:pPr>
      <w:r>
        <w:t>Intellectual property (IP) litigation is commonly perceived as being expensive, complicated and commercially disruptive. There is some basis to this belief as IP disputes may involve specialist courts, judges, advisers and experts. Therefore, the risk of becoming embroiled in IP litigation is a formidable prospect. As a result, a mere threat to sue for infringement of a patent, trade mark or design can be enough to damage a trade rival. This tactic is particularly effective where the threat is made to the rival</w:t>
      </w:r>
      <w:r w:rsidR="00CA4315">
        <w:t>’</w:t>
      </w:r>
      <w:r>
        <w:t xml:space="preserve">s suppliers or customers who may take their custom elsewhere as a result. </w:t>
      </w:r>
    </w:p>
    <w:p w14:paraId="6EB9AEFC" w14:textId="77777777" w:rsidR="009A43D0" w:rsidRPr="00A71286" w:rsidRDefault="009A43D0" w:rsidP="00A71286">
      <w:pPr>
        <w:pStyle w:val="ParaNumbered"/>
        <w:rPr>
          <w:lang w:val="en-GB"/>
        </w:rPr>
      </w:pPr>
      <w:r>
        <w:t>If enacted, this Bill would</w:t>
      </w:r>
      <w:r w:rsidR="001D1AF0">
        <w:t>, in the Government’s view</w:t>
      </w:r>
      <w:r>
        <w:t>:</w:t>
      </w:r>
    </w:p>
    <w:p w14:paraId="647AE55E" w14:textId="77777777" w:rsidR="009A43D0" w:rsidRPr="00C60CFD" w:rsidRDefault="009A43D0" w:rsidP="0035622C">
      <w:pPr>
        <w:pStyle w:val="ParaBulleted"/>
        <w:rPr>
          <w:lang w:val="en-GB"/>
        </w:rPr>
      </w:pPr>
      <w:r>
        <w:rPr>
          <w:lang w:val="en-GB"/>
        </w:rPr>
        <w:t xml:space="preserve">Produce </w:t>
      </w:r>
      <w:r>
        <w:t>a clearer law of unjustified threats, in particular by introducing consistency between the threats provisions for patents, trade marks and designs.</w:t>
      </w:r>
    </w:p>
    <w:p w14:paraId="59BE2FAC" w14:textId="77777777" w:rsidR="009A43D0" w:rsidRPr="00BB4B72" w:rsidRDefault="009A43D0" w:rsidP="0035622C">
      <w:pPr>
        <w:pStyle w:val="ParaBulleted"/>
        <w:rPr>
          <w:lang w:val="en-GB"/>
        </w:rPr>
      </w:pPr>
      <w:r>
        <w:t xml:space="preserve">Strike an appropriate balance which allows rights holders to protect their valuable </w:t>
      </w:r>
      <w:r w:rsidR="00627E68">
        <w:t>IP</w:t>
      </w:r>
      <w:r>
        <w:t xml:space="preserve"> assets but not to misuse threats in order to distort competition or stifle innovation. </w:t>
      </w:r>
    </w:p>
    <w:p w14:paraId="7037C23B" w14:textId="77777777" w:rsidR="009A43D0" w:rsidRPr="00BB4B72" w:rsidRDefault="009A43D0" w:rsidP="0035622C">
      <w:pPr>
        <w:pStyle w:val="ParaBulleted"/>
        <w:rPr>
          <w:lang w:val="en-GB"/>
        </w:rPr>
      </w:pPr>
      <w:r>
        <w:t xml:space="preserve">Distinguish clearly those threats made legitimately and those used to damage a commercial rival. </w:t>
      </w:r>
    </w:p>
    <w:p w14:paraId="26234F17" w14:textId="77777777" w:rsidR="009A43D0" w:rsidRPr="00284909" w:rsidRDefault="009A43D0" w:rsidP="009E4C04">
      <w:pPr>
        <w:pStyle w:val="ParaBulleted"/>
      </w:pPr>
      <w:r>
        <w:t xml:space="preserve">Support disputing parties in reaching a negotiated settlement, thereby avoiding litigation. </w:t>
      </w:r>
    </w:p>
    <w:p w14:paraId="339DF05C" w14:textId="77777777" w:rsidR="009A43D0" w:rsidRPr="00B57916" w:rsidRDefault="009A43D0" w:rsidP="009E4C04">
      <w:pPr>
        <w:pStyle w:val="ParaBulleted"/>
        <w:rPr>
          <w:lang w:val="en-GB"/>
        </w:rPr>
      </w:pPr>
      <w:r>
        <w:t>Prevent threats being brought against professional advisers where the adviser is acting in a professional capacity and on the instructions of their client.</w:t>
      </w:r>
    </w:p>
    <w:p w14:paraId="4D1ACC71" w14:textId="77777777" w:rsidR="009A43D0" w:rsidRPr="009E4C04" w:rsidRDefault="009A43D0" w:rsidP="009E4C04">
      <w:pPr>
        <w:pStyle w:val="ParaBulleted"/>
        <w:rPr>
          <w:lang w:val="en-GB"/>
        </w:rPr>
      </w:pPr>
      <w:r>
        <w:t xml:space="preserve">Make necessary changes to the law so that the protection against unjustified threats can apply to European patents that will come within the jurisdiction of the </w:t>
      </w:r>
      <w:smartTag w:uri="urn:schemas-microsoft-com:office:smarttags" w:element="Street">
        <w:smartTag w:uri="urn:schemas-microsoft-com:office:smarttags" w:element="address">
          <w:r>
            <w:t>Unified Patent Court</w:t>
          </w:r>
        </w:smartTag>
      </w:smartTag>
      <w:r>
        <w:t>.</w:t>
      </w:r>
    </w:p>
    <w:p w14:paraId="1821EEC8" w14:textId="77777777" w:rsidR="009A43D0" w:rsidRPr="00CA4237" w:rsidRDefault="009A43D0" w:rsidP="005D5C40">
      <w:pPr>
        <w:pStyle w:val="Heading1"/>
      </w:pPr>
      <w:bookmarkStart w:id="5" w:name="_Toc410653884"/>
      <w:bookmarkStart w:id="6" w:name="_Toc416612127"/>
      <w:bookmarkStart w:id="7" w:name="_Toc417648112"/>
      <w:bookmarkStart w:id="8" w:name="_Toc418587918"/>
      <w:bookmarkStart w:id="9" w:name="_Toc451382118"/>
      <w:r w:rsidRPr="00CA4237">
        <w:t>Policy background</w:t>
      </w:r>
      <w:bookmarkEnd w:id="5"/>
      <w:bookmarkEnd w:id="6"/>
      <w:bookmarkEnd w:id="7"/>
      <w:bookmarkEnd w:id="8"/>
      <w:bookmarkEnd w:id="9"/>
    </w:p>
    <w:p w14:paraId="68D23F6D" w14:textId="77777777" w:rsidR="009A43D0" w:rsidRPr="00A71286" w:rsidRDefault="009A43D0" w:rsidP="00A71286">
      <w:pPr>
        <w:pStyle w:val="ParaNumbered"/>
        <w:rPr>
          <w:lang w:val="en-GB"/>
        </w:rPr>
      </w:pPr>
      <w:r w:rsidRPr="00A71286">
        <w:t xml:space="preserve">In 2012 the </w:t>
      </w:r>
      <w:r>
        <w:t>D</w:t>
      </w:r>
      <w:r w:rsidRPr="00A71286">
        <w:t>epartment for Business</w:t>
      </w:r>
      <w:r>
        <w:t>,</w:t>
      </w:r>
      <w:r w:rsidRPr="00A71286">
        <w:t xml:space="preserve"> Innovation and Skills and the Intellectual Property Office asked the Law Commission to review the law </w:t>
      </w:r>
      <w:r>
        <w:t>of unjustified threats</w:t>
      </w:r>
      <w:r w:rsidRPr="00A71286">
        <w:t xml:space="preserve">. The Law Commission consulted in 2013 and made recommendations for reform in 2014 and 2015. This Bill reflects those recommendations. </w:t>
      </w:r>
    </w:p>
    <w:p w14:paraId="64D83174" w14:textId="77777777" w:rsidR="009A43D0" w:rsidRPr="00CA4237" w:rsidRDefault="009A43D0" w:rsidP="00B76227">
      <w:pPr>
        <w:pStyle w:val="ParaNumbered"/>
        <w:rPr>
          <w:lang w:val="en-GB"/>
        </w:rPr>
      </w:pPr>
      <w:r>
        <w:t>The full policy background to this Bill can be found in the following Law Commission publications (for links</w:t>
      </w:r>
      <w:r w:rsidR="00260FF4">
        <w:t xml:space="preserve"> to these documents</w:t>
      </w:r>
      <w:r>
        <w:t xml:space="preserve"> see </w:t>
      </w:r>
      <w:r w:rsidR="00260FF4">
        <w:t>R</w:t>
      </w:r>
      <w:r>
        <w:t xml:space="preserve">elated </w:t>
      </w:r>
      <w:r w:rsidR="00260FF4">
        <w:t>D</w:t>
      </w:r>
      <w:r>
        <w:t>ocuments</w:t>
      </w:r>
      <w:r w:rsidR="00260FF4">
        <w:t xml:space="preserve"> at paragraph 7</w:t>
      </w:r>
      <w:r w:rsidR="001D1AF0">
        <w:t>0</w:t>
      </w:r>
      <w:r>
        <w:t xml:space="preserve"> below): </w:t>
      </w:r>
    </w:p>
    <w:p w14:paraId="54EE2ED1" w14:textId="77777777" w:rsidR="009A43D0" w:rsidRPr="00A71286" w:rsidRDefault="009A43D0" w:rsidP="008E66A1">
      <w:pPr>
        <w:pStyle w:val="ParaBulleted"/>
        <w:rPr>
          <w:lang w:val="en-GB"/>
        </w:rPr>
      </w:pPr>
      <w:r>
        <w:t>Patents, Trade Marks and Design Rights: Groundless Threats (2013) Law Commission Consultation Paper No 212.</w:t>
      </w:r>
    </w:p>
    <w:p w14:paraId="5086F58C" w14:textId="77777777" w:rsidR="009A43D0" w:rsidRPr="00A71286" w:rsidRDefault="009A43D0" w:rsidP="008E66A1">
      <w:pPr>
        <w:pStyle w:val="ParaBulleted"/>
        <w:rPr>
          <w:lang w:val="en-GB"/>
        </w:rPr>
      </w:pPr>
      <w:r>
        <w:t>P</w:t>
      </w:r>
      <w:r w:rsidRPr="00A71286">
        <w:t>atents, Trade Marks and Design Rights: Groundless Threats (2014) Law Com</w:t>
      </w:r>
      <w:r>
        <w:t>mission Report</w:t>
      </w:r>
      <w:r w:rsidRPr="00A71286">
        <w:t xml:space="preserve"> N</w:t>
      </w:r>
      <w:r>
        <w:t>o 346.</w:t>
      </w:r>
    </w:p>
    <w:p w14:paraId="6486CBBB" w14:textId="77777777" w:rsidR="009A43D0" w:rsidRPr="00CA4237" w:rsidRDefault="009A43D0" w:rsidP="008E66A1">
      <w:pPr>
        <w:pStyle w:val="ParaBulleted"/>
        <w:rPr>
          <w:lang w:val="en-GB"/>
        </w:rPr>
      </w:pPr>
      <w:r>
        <w:lastRenderedPageBreak/>
        <w:t>Patents, Trade Marks and Designs: Unjustified Threats (2015) Law Commission Report No 360.</w:t>
      </w:r>
      <w:r w:rsidRPr="00CA4237">
        <w:rPr>
          <w:lang w:val="en-GB"/>
        </w:rPr>
        <w:tab/>
      </w:r>
    </w:p>
    <w:p w14:paraId="2242B6E7" w14:textId="77777777" w:rsidR="009A43D0" w:rsidRPr="00CA4237" w:rsidRDefault="009A43D0" w:rsidP="005D5C40">
      <w:pPr>
        <w:pStyle w:val="Heading1"/>
      </w:pPr>
      <w:bookmarkStart w:id="10" w:name="_Toc410653885"/>
      <w:bookmarkStart w:id="11" w:name="_Toc416612128"/>
      <w:bookmarkStart w:id="12" w:name="_Toc417648113"/>
      <w:bookmarkStart w:id="13" w:name="_Toc418587922"/>
      <w:bookmarkStart w:id="14" w:name="_Toc451382119"/>
      <w:r w:rsidRPr="00CA4237">
        <w:t>Legal background</w:t>
      </w:r>
      <w:bookmarkEnd w:id="10"/>
      <w:bookmarkEnd w:id="11"/>
      <w:bookmarkEnd w:id="12"/>
      <w:bookmarkEnd w:id="13"/>
      <w:bookmarkEnd w:id="14"/>
    </w:p>
    <w:p w14:paraId="746F79F5" w14:textId="77777777" w:rsidR="009A43D0" w:rsidRPr="00A71286" w:rsidRDefault="009A43D0" w:rsidP="00A71286">
      <w:pPr>
        <w:pStyle w:val="ParaNumbered"/>
      </w:pPr>
      <w:r w:rsidRPr="00A71286">
        <w:t>The first threats provisions were introduced for patents in 1883.</w:t>
      </w:r>
      <w:r w:rsidRPr="00F12788">
        <w:rPr>
          <w:rStyle w:val="FootnoteReference"/>
          <w:rFonts w:cs="PalatinoLinotype-Roman"/>
          <w:vertAlign w:val="superscript"/>
        </w:rPr>
        <w:footnoteReference w:id="1"/>
      </w:r>
      <w:r w:rsidRPr="00A71286">
        <w:t xml:space="preserve"> Similar provisions were eventually enacted for trade marks and designs, and the protection was </w:t>
      </w:r>
      <w:r w:rsidR="00C36BB8">
        <w:t xml:space="preserve">ultimately </w:t>
      </w:r>
      <w:r w:rsidRPr="00A71286">
        <w:t xml:space="preserve">extended to Community </w:t>
      </w:r>
      <w:r>
        <w:t>trade marks and designs and to European patents (UK)</w:t>
      </w:r>
      <w:r w:rsidRPr="00A71286">
        <w:t xml:space="preserve">. </w:t>
      </w:r>
    </w:p>
    <w:p w14:paraId="73A69520" w14:textId="77777777" w:rsidR="009A43D0" w:rsidRDefault="009A43D0" w:rsidP="00A71286">
      <w:pPr>
        <w:pStyle w:val="ParaNumbered"/>
      </w:pPr>
      <w:r>
        <w:t>The current threats provisions are:</w:t>
      </w:r>
    </w:p>
    <w:p w14:paraId="58B3E6D5" w14:textId="77777777" w:rsidR="009A43D0" w:rsidRDefault="009A43D0" w:rsidP="00DC754B">
      <w:pPr>
        <w:pStyle w:val="ParaBulleted"/>
      </w:pPr>
      <w:r>
        <w:t>The Patents Act 1977, section 70, which also applies to European patents (</w:t>
      </w:r>
      <w:smartTag w:uri="urn:schemas-microsoft-com:office:smarttags" w:element="place">
        <w:smartTag w:uri="urn:schemas-microsoft-com:office:smarttags" w:element="country-region">
          <w:r>
            <w:t>UK</w:t>
          </w:r>
        </w:smartTag>
      </w:smartTag>
      <w:r>
        <w:t>).</w:t>
      </w:r>
      <w:r w:rsidRPr="00F12788">
        <w:rPr>
          <w:rStyle w:val="FootnoteReference"/>
          <w:vertAlign w:val="superscript"/>
        </w:rPr>
        <w:footnoteReference w:id="2"/>
      </w:r>
      <w:r>
        <w:t xml:space="preserve"> </w:t>
      </w:r>
    </w:p>
    <w:p w14:paraId="08AB5D1D" w14:textId="77777777" w:rsidR="009A43D0" w:rsidRDefault="009A43D0" w:rsidP="00DC754B">
      <w:pPr>
        <w:pStyle w:val="ParaBulleted"/>
      </w:pPr>
      <w:r>
        <w:t>T</w:t>
      </w:r>
      <w:r w:rsidRPr="00DB573D">
        <w:t xml:space="preserve">he </w:t>
      </w:r>
      <w:r>
        <w:t>Trade Marks Act 1994, section 21, which also applies to European Union Trade Marks.</w:t>
      </w:r>
      <w:r w:rsidRPr="00F12788">
        <w:rPr>
          <w:rStyle w:val="FootnoteReference"/>
          <w:vertAlign w:val="superscript"/>
        </w:rPr>
        <w:footnoteReference w:id="3"/>
      </w:r>
    </w:p>
    <w:p w14:paraId="311FCBF2" w14:textId="77777777" w:rsidR="009A43D0" w:rsidRDefault="009A43D0" w:rsidP="00DC754B">
      <w:pPr>
        <w:pStyle w:val="ParaBulleted"/>
      </w:pPr>
      <w:r>
        <w:t>The Registered Designs Act 1949, section 26.</w:t>
      </w:r>
    </w:p>
    <w:p w14:paraId="2BDFD569" w14:textId="77777777" w:rsidR="009A43D0" w:rsidRDefault="009A43D0" w:rsidP="00343FD3">
      <w:pPr>
        <w:pStyle w:val="ParaBulleted"/>
      </w:pPr>
      <w:r>
        <w:t xml:space="preserve">The </w:t>
      </w:r>
      <w:r w:rsidRPr="00967558">
        <w:t>Copyright, Designs and Patents Act 1988</w:t>
      </w:r>
      <w:r>
        <w:t>, section 253.</w:t>
      </w:r>
    </w:p>
    <w:p w14:paraId="450AF676" w14:textId="77777777" w:rsidR="009A43D0" w:rsidRDefault="009A43D0" w:rsidP="00DC754B">
      <w:pPr>
        <w:pStyle w:val="ParaBulleted"/>
      </w:pPr>
      <w:r>
        <w:t>T</w:t>
      </w:r>
      <w:r w:rsidRPr="00DC754B">
        <w:t>he Community Designs Regulations 2005</w:t>
      </w:r>
      <w:r>
        <w:t>,</w:t>
      </w:r>
      <w:r w:rsidRPr="00C73A3E">
        <w:t xml:space="preserve"> </w:t>
      </w:r>
      <w:r>
        <w:t>r</w:t>
      </w:r>
      <w:r w:rsidRPr="00DC754B">
        <w:t>egulation 2</w:t>
      </w:r>
      <w:r>
        <w:t xml:space="preserve">. </w:t>
      </w:r>
      <w:r w:rsidRPr="00F12788">
        <w:rPr>
          <w:rStyle w:val="FootnoteReference"/>
          <w:vertAlign w:val="superscript"/>
        </w:rPr>
        <w:footnoteReference w:id="4"/>
      </w:r>
    </w:p>
    <w:p w14:paraId="509DD420" w14:textId="77777777" w:rsidR="009A43D0" w:rsidRPr="00225AD7" w:rsidRDefault="009A43D0" w:rsidP="00967558">
      <w:pPr>
        <w:pStyle w:val="Heading1"/>
      </w:pPr>
      <w:bookmarkStart w:id="15" w:name="_Toc410653886"/>
      <w:bookmarkStart w:id="16" w:name="_Toc416612130"/>
      <w:bookmarkStart w:id="17" w:name="_Toc417648115"/>
      <w:bookmarkStart w:id="18" w:name="_Toc418587924"/>
      <w:bookmarkStart w:id="19" w:name="_Toc451382120"/>
      <w:r w:rsidRPr="00CA4237">
        <w:t>Territorial extent and application</w:t>
      </w:r>
      <w:bookmarkEnd w:id="15"/>
      <w:bookmarkEnd w:id="16"/>
      <w:bookmarkEnd w:id="17"/>
      <w:bookmarkEnd w:id="18"/>
      <w:bookmarkEnd w:id="19"/>
    </w:p>
    <w:p w14:paraId="51DF9F7F" w14:textId="77777777" w:rsidR="009A43D0" w:rsidRPr="00B57916" w:rsidRDefault="009A43D0" w:rsidP="00967558">
      <w:pPr>
        <w:pStyle w:val="ParaNumbered"/>
        <w:rPr>
          <w:lang w:val="en-GB"/>
        </w:rPr>
      </w:pPr>
      <w:r>
        <w:t xml:space="preserve">This </w:t>
      </w:r>
      <w:r w:rsidR="00BA4C39">
        <w:t>Bill</w:t>
      </w:r>
      <w:r>
        <w:t xml:space="preserve"> extends to England and Wales, Scotland and Northern Ireland.</w:t>
      </w:r>
    </w:p>
    <w:p w14:paraId="0AF6BD1B" w14:textId="77777777" w:rsidR="009A43D0" w:rsidRPr="00646432" w:rsidRDefault="009A43D0" w:rsidP="00967558">
      <w:pPr>
        <w:pStyle w:val="ParaNumbered"/>
        <w:rPr>
          <w:lang w:val="en-GB"/>
        </w:rPr>
      </w:pPr>
      <w:r w:rsidRPr="00646432">
        <w:rPr>
          <w:lang w:val="en-GB"/>
        </w:rPr>
        <w:t>Clause</w:t>
      </w:r>
      <w:r w:rsidR="00BC1FB3" w:rsidRPr="00646432">
        <w:rPr>
          <w:lang w:val="en-GB"/>
        </w:rPr>
        <w:t>s</w:t>
      </w:r>
      <w:r w:rsidRPr="00646432">
        <w:rPr>
          <w:lang w:val="en-GB"/>
        </w:rPr>
        <w:t xml:space="preserve"> </w:t>
      </w:r>
      <w:r w:rsidRPr="00646432">
        <w:t>1 (patents)</w:t>
      </w:r>
      <w:r w:rsidR="004F7414" w:rsidRPr="00646432">
        <w:t xml:space="preserve"> other than subsections (3) and (8)</w:t>
      </w:r>
      <w:r w:rsidR="00B42FAC" w:rsidRPr="00646432">
        <w:t>, 2</w:t>
      </w:r>
      <w:r w:rsidRPr="00646432">
        <w:t xml:space="preserve"> (trade marks) and 4 (registered designs) also extend to the Isle of Man.</w:t>
      </w:r>
      <w:r w:rsidR="0098128F" w:rsidRPr="00646432">
        <w:t xml:space="preserve"> </w:t>
      </w:r>
      <w:r w:rsidR="00B42FAC" w:rsidRPr="00646432">
        <w:t>By virtue of c</w:t>
      </w:r>
      <w:r w:rsidR="0098128F" w:rsidRPr="00646432">
        <w:t>lause 7(3)</w:t>
      </w:r>
      <w:r w:rsidR="00EB5B35" w:rsidRPr="00646432">
        <w:t xml:space="preserve"> (extent)</w:t>
      </w:r>
      <w:r w:rsidR="00B42FAC" w:rsidRPr="00646432">
        <w:t xml:space="preserve">, </w:t>
      </w:r>
      <w:r w:rsidR="00646432">
        <w:t>subsections (3) and (8) of clause 1</w:t>
      </w:r>
      <w:r w:rsidR="00B42FAC" w:rsidRPr="00646432">
        <w:t xml:space="preserve"> may be extended </w:t>
      </w:r>
      <w:r w:rsidR="00ED31CB">
        <w:t xml:space="preserve">by </w:t>
      </w:r>
      <w:r w:rsidR="00432968" w:rsidRPr="00646432">
        <w:t xml:space="preserve">Order in Council </w:t>
      </w:r>
      <w:r w:rsidR="00EB5B35" w:rsidRPr="00646432">
        <w:t xml:space="preserve">to the Isle of Man </w:t>
      </w:r>
      <w:r w:rsidR="00432968" w:rsidRPr="00646432">
        <w:t>(</w:t>
      </w:r>
      <w:r w:rsidR="00E80594">
        <w:t>see paragraphs 64 and 65</w:t>
      </w:r>
      <w:r w:rsidR="00B42FAC" w:rsidRPr="00646432">
        <w:t xml:space="preserve"> below for what these subsections do).</w:t>
      </w:r>
      <w:r w:rsidR="0098128F" w:rsidRPr="00646432">
        <w:t xml:space="preserve"> </w:t>
      </w:r>
      <w:r w:rsidRPr="00646432">
        <w:t xml:space="preserve"> </w:t>
      </w:r>
    </w:p>
    <w:p w14:paraId="36C172DA" w14:textId="77777777" w:rsidR="009A43D0" w:rsidRPr="00FC2811" w:rsidRDefault="009A43D0" w:rsidP="00FC2811">
      <w:pPr>
        <w:pStyle w:val="ParaNumbered"/>
        <w:rPr>
          <w:lang w:val="en-GB"/>
        </w:rPr>
      </w:pPr>
      <w:r>
        <w:t>Clause 5 (</w:t>
      </w:r>
      <w:r w:rsidR="008B20DD">
        <w:t>design right</w:t>
      </w:r>
      <w:r>
        <w:t xml:space="preserve">) may, by virtue of clause 7 (extent) and </w:t>
      </w:r>
      <w:r w:rsidRPr="00225AD7">
        <w:t>section 255 of the Copyright, Designs and Patents Act 1988</w:t>
      </w:r>
      <w:r>
        <w:t xml:space="preserve">, be extended </w:t>
      </w:r>
      <w:r w:rsidRPr="00225AD7">
        <w:t>by Order in Council</w:t>
      </w:r>
      <w:r>
        <w:t xml:space="preserve"> to the Isle of Man, the Channel Islands and British overseas territories.  </w:t>
      </w:r>
    </w:p>
    <w:p w14:paraId="365FD7F5" w14:textId="5BDE460B" w:rsidR="009A43D0" w:rsidRPr="00CA4237" w:rsidRDefault="009A43D0" w:rsidP="005D5C40">
      <w:pPr>
        <w:pStyle w:val="Heading1"/>
      </w:pPr>
      <w:bookmarkStart w:id="20" w:name="_Toc410653887"/>
      <w:bookmarkStart w:id="21" w:name="_Toc416612131"/>
      <w:bookmarkStart w:id="22" w:name="_Toc417648116"/>
      <w:bookmarkStart w:id="23" w:name="_Toc418587925"/>
      <w:bookmarkStart w:id="24" w:name="_Toc451382121"/>
      <w:r w:rsidRPr="00CA4237">
        <w:t>Commentary on provisions of</w:t>
      </w:r>
      <w:r w:rsidR="005100F9">
        <w:t xml:space="preserve"> the</w:t>
      </w:r>
      <w:r w:rsidRPr="00CA4237">
        <w:t xml:space="preserve"> </w:t>
      </w:r>
      <w:r>
        <w:t>Bill</w:t>
      </w:r>
      <w:r w:rsidRPr="00CA4237">
        <w:t> </w:t>
      </w:r>
      <w:bookmarkEnd w:id="20"/>
      <w:bookmarkEnd w:id="21"/>
      <w:bookmarkEnd w:id="22"/>
      <w:bookmarkEnd w:id="23"/>
      <w:bookmarkEnd w:id="24"/>
    </w:p>
    <w:p w14:paraId="15ECA5C7" w14:textId="77777777" w:rsidR="009A43D0" w:rsidRDefault="009A43D0" w:rsidP="003A5D4B">
      <w:pPr>
        <w:pStyle w:val="ParaNumbered"/>
      </w:pPr>
      <w:bookmarkStart w:id="25" w:name="_Toc422402228"/>
      <w:bookmarkStart w:id="26" w:name="_Toc418587926"/>
      <w:bookmarkStart w:id="27" w:name="_Toc417648117"/>
      <w:bookmarkStart w:id="28" w:name="_Toc416612132"/>
      <w:r w:rsidRPr="003A5D4B">
        <w:t>The Bill is made up of nine clauses of which</w:t>
      </w:r>
      <w:r w:rsidR="0064050A">
        <w:t xml:space="preserve"> t</w:t>
      </w:r>
      <w:r w:rsidRPr="003A5D4B">
        <w:t>he first six set out the substance of the threats provisions for each of the national</w:t>
      </w:r>
      <w:r>
        <w:t>,</w:t>
      </w:r>
      <w:r w:rsidRPr="003A5D4B">
        <w:t xml:space="preserve"> Community </w:t>
      </w:r>
      <w:r>
        <w:t xml:space="preserve">or European </w:t>
      </w:r>
      <w:r w:rsidRPr="003A5D4B">
        <w:t xml:space="preserve">rights concerned. </w:t>
      </w:r>
      <w:r w:rsidR="0064050A">
        <w:t>Each of the substantive clauses follows the same structure and uses the same language in almost all material respects. For that reason, the commentary that follows focuses on clause 1 which will make the changes to the law for patents.</w:t>
      </w:r>
      <w:r w:rsidR="0064050A" w:rsidRPr="00DB573D">
        <w:t xml:space="preserve"> The equivalent </w:t>
      </w:r>
      <w:r w:rsidR="0064050A">
        <w:t>provisions</w:t>
      </w:r>
      <w:r w:rsidR="0064050A" w:rsidRPr="00DB573D">
        <w:t xml:space="preserve"> for trade marks and designs are cited</w:t>
      </w:r>
      <w:r w:rsidR="0064050A">
        <w:t xml:space="preserve"> in footnotes and t</w:t>
      </w:r>
      <w:r w:rsidR="0064050A" w:rsidRPr="00DB573D">
        <w:t xml:space="preserve">he small number of differences </w:t>
      </w:r>
      <w:r w:rsidR="0064050A">
        <w:t xml:space="preserve">between the various provisions are dealt with </w:t>
      </w:r>
      <w:r w:rsidR="0064050A" w:rsidRPr="00DB573D">
        <w:t>as they arise.</w:t>
      </w:r>
    </w:p>
    <w:p w14:paraId="32A0799E" w14:textId="77777777" w:rsidR="0064050A" w:rsidRPr="003A5D4B" w:rsidRDefault="0064050A" w:rsidP="0064050A">
      <w:pPr>
        <w:pStyle w:val="ParaNumbered"/>
      </w:pPr>
      <w:r w:rsidRPr="003A5D4B">
        <w:t xml:space="preserve">The substantive clauses of the Bill </w:t>
      </w:r>
      <w:r>
        <w:t xml:space="preserve">substitute or amend </w:t>
      </w:r>
      <w:r w:rsidRPr="003A5D4B">
        <w:t xml:space="preserve">the </w:t>
      </w:r>
      <w:r>
        <w:t>current</w:t>
      </w:r>
      <w:r w:rsidRPr="003A5D4B">
        <w:t xml:space="preserve"> provisions</w:t>
      </w:r>
      <w:r>
        <w:t xml:space="preserve"> as follows:</w:t>
      </w:r>
      <w:r w:rsidRPr="003A5D4B">
        <w:t xml:space="preserve"> </w:t>
      </w:r>
    </w:p>
    <w:p w14:paraId="51667053" w14:textId="4E32F4BC" w:rsidR="0064050A" w:rsidRPr="003A5D4B" w:rsidRDefault="0064050A" w:rsidP="0064050A">
      <w:pPr>
        <w:pStyle w:val="ParaBulleted"/>
      </w:pPr>
      <w:r w:rsidRPr="003A5D4B">
        <w:t xml:space="preserve">Clause 1 </w:t>
      </w:r>
      <w:r w:rsidR="00097181">
        <w:t xml:space="preserve">concerns </w:t>
      </w:r>
      <w:r w:rsidR="00591510">
        <w:t xml:space="preserve">UK and European </w:t>
      </w:r>
      <w:r w:rsidR="00097181">
        <w:t>patents</w:t>
      </w:r>
      <w:r w:rsidR="00591510">
        <w:t xml:space="preserve">.  It </w:t>
      </w:r>
      <w:r w:rsidRPr="003A5D4B">
        <w:t>substitutes sections 70 to 70F for section 70, Patents Act 1977</w:t>
      </w:r>
      <w:r>
        <w:t>.</w:t>
      </w:r>
      <w:r w:rsidRPr="004B40BF">
        <w:t xml:space="preserve"> </w:t>
      </w:r>
      <w:r>
        <w:t xml:space="preserve">The </w:t>
      </w:r>
      <w:r w:rsidR="001D1AF0">
        <w:t>c</w:t>
      </w:r>
      <w:r>
        <w:t>lause will also (</w:t>
      </w:r>
      <w:r w:rsidR="00DD206E">
        <w:t xml:space="preserve">at a </w:t>
      </w:r>
      <w:r>
        <w:t>later</w:t>
      </w:r>
      <w:r w:rsidR="00DD206E">
        <w:t xml:space="preserve"> date</w:t>
      </w:r>
      <w:r>
        <w:t xml:space="preserve">) amend section 70F and Schedule A3 </w:t>
      </w:r>
      <w:r w:rsidR="00DD206E">
        <w:t>(</w:t>
      </w:r>
      <w:r>
        <w:t xml:space="preserve">once </w:t>
      </w:r>
      <w:r w:rsidR="002A4F6B">
        <w:t>S</w:t>
      </w:r>
      <w:r w:rsidR="000732B8">
        <w:t xml:space="preserve">chedule A3 </w:t>
      </w:r>
      <w:r>
        <w:t>has been inserted into the 1977 Act by the Patents (European patent with Unitary Effect and Unified Patent Court) Order 2016</w:t>
      </w:r>
      <w:r w:rsidR="00DD206E">
        <w:t>)</w:t>
      </w:r>
      <w:r>
        <w:t>.</w:t>
      </w:r>
      <w:r w:rsidRPr="00F12788">
        <w:rPr>
          <w:rStyle w:val="FootnoteReference"/>
          <w:vertAlign w:val="superscript"/>
        </w:rPr>
        <w:footnoteReference w:id="5"/>
      </w:r>
    </w:p>
    <w:p w14:paraId="61EFF665" w14:textId="77777777" w:rsidR="0064050A" w:rsidRPr="003A5D4B" w:rsidRDefault="0064050A" w:rsidP="0064050A">
      <w:pPr>
        <w:pStyle w:val="ParaBulleted"/>
      </w:pPr>
      <w:r w:rsidRPr="003A5D4B">
        <w:t xml:space="preserve">Clause 2 </w:t>
      </w:r>
      <w:r w:rsidR="00097181">
        <w:t>concerns UK trade marks</w:t>
      </w:r>
      <w:r w:rsidR="00591510">
        <w:t xml:space="preserve">.  It </w:t>
      </w:r>
      <w:r w:rsidRPr="003A5D4B">
        <w:t>substitutes sections 21 to 21F for section 21, Trade Marks Act 1994.</w:t>
      </w:r>
    </w:p>
    <w:p w14:paraId="4DCC5D27" w14:textId="77777777" w:rsidR="0064050A" w:rsidRPr="003A5D4B" w:rsidRDefault="0064050A" w:rsidP="0064050A">
      <w:pPr>
        <w:pStyle w:val="ParaBulleted"/>
      </w:pPr>
      <w:r w:rsidRPr="003A5D4B">
        <w:t xml:space="preserve">Clause 3 </w:t>
      </w:r>
      <w:r w:rsidR="00097181">
        <w:t>concerns European Union trade marks</w:t>
      </w:r>
      <w:r w:rsidR="00591510">
        <w:t xml:space="preserve">.  It </w:t>
      </w:r>
      <w:r w:rsidRPr="003A5D4B">
        <w:t>amends Regulation 6, Community Trade Mark Regulations 2006.</w:t>
      </w:r>
      <w:r w:rsidRPr="00F12788">
        <w:rPr>
          <w:vertAlign w:val="superscript"/>
        </w:rPr>
        <w:footnoteReference w:id="6"/>
      </w:r>
    </w:p>
    <w:p w14:paraId="341E808E" w14:textId="77777777" w:rsidR="0064050A" w:rsidRPr="003A5D4B" w:rsidRDefault="0064050A" w:rsidP="0064050A">
      <w:pPr>
        <w:pStyle w:val="ParaBulleted"/>
      </w:pPr>
      <w:r w:rsidRPr="003A5D4B">
        <w:t xml:space="preserve">Clause 4 </w:t>
      </w:r>
      <w:r w:rsidR="00097181">
        <w:t xml:space="preserve">concerns </w:t>
      </w:r>
      <w:r w:rsidR="00591510">
        <w:t xml:space="preserve">UK </w:t>
      </w:r>
      <w:r w:rsidR="00097181">
        <w:t>registered designs</w:t>
      </w:r>
      <w:r w:rsidR="00591510">
        <w:t xml:space="preserve">.  It </w:t>
      </w:r>
      <w:r w:rsidRPr="003A5D4B">
        <w:t>substitutes sections 26 to 26F for section 26, Registered Designs Act 1949.</w:t>
      </w:r>
    </w:p>
    <w:p w14:paraId="113683D5" w14:textId="77777777" w:rsidR="0064050A" w:rsidRPr="003A5D4B" w:rsidRDefault="0064050A" w:rsidP="0064050A">
      <w:pPr>
        <w:pStyle w:val="ParaBulleted"/>
      </w:pPr>
      <w:r w:rsidRPr="003A5D4B">
        <w:t xml:space="preserve">Clause 5 </w:t>
      </w:r>
      <w:r w:rsidR="00097181">
        <w:t xml:space="preserve">concerns </w:t>
      </w:r>
      <w:r w:rsidR="00591510">
        <w:t xml:space="preserve">UK </w:t>
      </w:r>
      <w:r w:rsidR="00097181">
        <w:t>design right</w:t>
      </w:r>
      <w:r w:rsidR="00591510">
        <w:t xml:space="preserve">.  It </w:t>
      </w:r>
      <w:r w:rsidRPr="003A5D4B">
        <w:t>substitutes section</w:t>
      </w:r>
      <w:r w:rsidR="00CA4315">
        <w:t>s</w:t>
      </w:r>
      <w:r w:rsidRPr="003A5D4B">
        <w:t xml:space="preserve"> 253 to 253E for section 253, Copyright, Designs and Patents Act 1988.</w:t>
      </w:r>
      <w:r w:rsidRPr="00F12788">
        <w:rPr>
          <w:vertAlign w:val="superscript"/>
        </w:rPr>
        <w:footnoteReference w:id="7"/>
      </w:r>
    </w:p>
    <w:p w14:paraId="736C375A" w14:textId="77777777" w:rsidR="0064050A" w:rsidRPr="003A5D4B" w:rsidRDefault="0064050A" w:rsidP="0064050A">
      <w:pPr>
        <w:pStyle w:val="ParaBulleted"/>
      </w:pPr>
      <w:r w:rsidRPr="003A5D4B">
        <w:t xml:space="preserve">Clause 6 </w:t>
      </w:r>
      <w:r w:rsidR="00591510">
        <w:t xml:space="preserve">concerns Community designs.  It </w:t>
      </w:r>
      <w:r w:rsidRPr="003A5D4B">
        <w:t>substitutes Regulations 2 to 2F for Regulation 2, Community Design Regulations 2005.</w:t>
      </w:r>
      <w:r w:rsidRPr="00F12788">
        <w:rPr>
          <w:vertAlign w:val="superscript"/>
        </w:rPr>
        <w:footnoteReference w:id="8"/>
      </w:r>
      <w:r w:rsidRPr="003A5D4B">
        <w:t xml:space="preserve"> </w:t>
      </w:r>
    </w:p>
    <w:p w14:paraId="199461A6" w14:textId="77777777" w:rsidR="009A43D0" w:rsidRPr="003A5D4B" w:rsidRDefault="009A43D0" w:rsidP="003A5D4B">
      <w:pPr>
        <w:pStyle w:val="ParaNumbered"/>
      </w:pPr>
      <w:r w:rsidRPr="003A5D4B">
        <w:t xml:space="preserve">The </w:t>
      </w:r>
      <w:r>
        <w:t>final</w:t>
      </w:r>
      <w:r w:rsidRPr="003A5D4B">
        <w:t xml:space="preserve"> </w:t>
      </w:r>
      <w:r>
        <w:t xml:space="preserve">three </w:t>
      </w:r>
      <w:r w:rsidRPr="003A5D4B">
        <w:t xml:space="preserve">clauses </w:t>
      </w:r>
      <w:r w:rsidR="00F07EB2">
        <w:t xml:space="preserve">of the Bill </w:t>
      </w:r>
      <w:r w:rsidRPr="003A5D4B">
        <w:t>deal with technical matters such as territorial extent and commencement</w:t>
      </w:r>
      <w:r>
        <w:t xml:space="preserve"> - their meaning is self-explanatory</w:t>
      </w:r>
      <w:r w:rsidRPr="003A5D4B">
        <w:t>.</w:t>
      </w:r>
    </w:p>
    <w:p w14:paraId="6C72CAC9" w14:textId="77777777" w:rsidR="009A43D0" w:rsidRDefault="009A43D0" w:rsidP="00E80594">
      <w:pPr>
        <w:pStyle w:val="ParaNumbered"/>
        <w:numPr>
          <w:ilvl w:val="0"/>
          <w:numId w:val="0"/>
        </w:numPr>
        <w:ind w:left="357"/>
      </w:pPr>
    </w:p>
    <w:p w14:paraId="0ADA64AE" w14:textId="77777777" w:rsidR="009A43D0" w:rsidRDefault="009A43D0" w:rsidP="00AE6054">
      <w:pPr>
        <w:pStyle w:val="Heading2"/>
      </w:pPr>
      <w:bookmarkStart w:id="29" w:name="_Toc451382122"/>
      <w:r>
        <w:t>Definitions</w:t>
      </w:r>
      <w:bookmarkEnd w:id="29"/>
    </w:p>
    <w:p w14:paraId="77550ACD" w14:textId="77777777" w:rsidR="009A43D0" w:rsidRPr="00AE6054" w:rsidRDefault="009A43D0" w:rsidP="00AE6054">
      <w:pPr>
        <w:pStyle w:val="ParaNumbered"/>
        <w:rPr>
          <w:lang w:val="en-GB"/>
        </w:rPr>
      </w:pPr>
      <w:r>
        <w:t xml:space="preserve">Some terms are used throughout this commentary; their meaning is explained below. </w:t>
      </w:r>
    </w:p>
    <w:p w14:paraId="148C3F08" w14:textId="77777777" w:rsidR="009A43D0" w:rsidRDefault="009A43D0" w:rsidP="00F51502">
      <w:pPr>
        <w:pStyle w:val="ReferenceExample"/>
      </w:pPr>
      <w:r>
        <w:t xml:space="preserve">Primary </w:t>
      </w:r>
      <w:r w:rsidRPr="00AE6054">
        <w:t>act</w:t>
      </w:r>
      <w:r>
        <w:t>s and primary actors</w:t>
      </w:r>
    </w:p>
    <w:p w14:paraId="635AC064" w14:textId="7D8B759A" w:rsidR="009A43D0" w:rsidRPr="008B7453" w:rsidRDefault="009A43D0" w:rsidP="006549E2">
      <w:pPr>
        <w:pStyle w:val="ParaNumbered"/>
        <w:rPr>
          <w:lang w:val="en-GB"/>
        </w:rPr>
      </w:pPr>
      <w:r>
        <w:t>Primary acts</w:t>
      </w:r>
      <w:r w:rsidRPr="00623791">
        <w:t xml:space="preserve"> </w:t>
      </w:r>
      <w:r>
        <w:t>tend to be those that can cause the greatest commercial damage. F</w:t>
      </w:r>
      <w:r w:rsidRPr="00F76AE8">
        <w:t>o</w:t>
      </w:r>
      <w:r>
        <w:t xml:space="preserve">r example, (for patents) the primary acts are the </w:t>
      </w:r>
      <w:r w:rsidRPr="00F76AE8">
        <w:t>importation</w:t>
      </w:r>
      <w:r>
        <w:t xml:space="preserve"> or</w:t>
      </w:r>
      <w:r w:rsidRPr="00F76AE8">
        <w:t xml:space="preserve"> manufacture</w:t>
      </w:r>
      <w:r>
        <w:t xml:space="preserve"> of a patented product</w:t>
      </w:r>
      <w:r w:rsidRPr="00F76AE8">
        <w:t xml:space="preserve"> or the use of a</w:t>
      </w:r>
      <w:r>
        <w:t xml:space="preserve"> patented</w:t>
      </w:r>
      <w:r w:rsidRPr="00F76AE8">
        <w:t xml:space="preserve"> process.</w:t>
      </w:r>
      <w:r>
        <w:t xml:space="preserve"> </w:t>
      </w:r>
      <w:r w:rsidR="007D05D0">
        <w:t>A</w:t>
      </w:r>
      <w:r w:rsidR="000B6C3B">
        <w:t xml:space="preserve"> claim </w:t>
      </w:r>
      <w:r w:rsidR="007D05D0">
        <w:t xml:space="preserve">under these provisions </w:t>
      </w:r>
      <w:r w:rsidRPr="00F76AE8">
        <w:t xml:space="preserve">may not be brought where a threat refers </w:t>
      </w:r>
      <w:r>
        <w:t>to any of the primary acts or where the threat is made to a primary actor (a person who has carried out these acts or intends to</w:t>
      </w:r>
      <w:r w:rsidR="00665F7C">
        <w:t xml:space="preserve"> do so</w:t>
      </w:r>
      <w:r>
        <w:t>)</w:t>
      </w:r>
      <w:r w:rsidRPr="00F76AE8">
        <w:t xml:space="preserve">. </w:t>
      </w:r>
      <w:r>
        <w:t>This is because primary actors</w:t>
      </w:r>
      <w:r w:rsidRPr="00F76AE8">
        <w:t xml:space="preserve"> </w:t>
      </w:r>
      <w:r>
        <w:t xml:space="preserve">are usually the source of the infringement and are more likely to be in a position to challenge a threat if it appears to be unjustified. </w:t>
      </w:r>
    </w:p>
    <w:p w14:paraId="2B9395CB" w14:textId="77777777" w:rsidR="009A43D0" w:rsidRPr="005126F1" w:rsidRDefault="009A43D0" w:rsidP="008B7453">
      <w:pPr>
        <w:pStyle w:val="ReferenceExample"/>
      </w:pPr>
      <w:r>
        <w:t>Secondary acts and secondary actors</w:t>
      </w:r>
    </w:p>
    <w:p w14:paraId="57E661F0" w14:textId="77777777" w:rsidR="009A43D0" w:rsidRDefault="009A43D0" w:rsidP="005126F1">
      <w:pPr>
        <w:pStyle w:val="ParaNumbered"/>
      </w:pPr>
      <w:r>
        <w:t xml:space="preserve">Any act of infringement other than a primary act is referred to as a secondary act. Secondary acts are those less likely to cause serious commercial damage. For example, where someone supplies or retails an infringing product made or imported by someone else. An aim of the threats provisions is to direct threats away from secondary actors. Communication with secondary actors about issues of infringement should only take place in exceptional circumstances. This is because they may be unaware that they are infringing or may have little incentive to continue supplying or selling a product when threatened. </w:t>
      </w:r>
    </w:p>
    <w:p w14:paraId="3C48222F" w14:textId="77777777" w:rsidR="009A43D0" w:rsidRPr="00DB573D" w:rsidRDefault="009A43D0" w:rsidP="005126F1">
      <w:pPr>
        <w:pStyle w:val="ReferenceExample"/>
      </w:pPr>
      <w:r w:rsidRPr="005126F1">
        <w:t>T</w:t>
      </w:r>
      <w:r>
        <w:t>he Unified Patent Court</w:t>
      </w:r>
    </w:p>
    <w:p w14:paraId="3654316D" w14:textId="2E2B6C27" w:rsidR="009A43D0" w:rsidRPr="005126F1" w:rsidRDefault="009A43D0" w:rsidP="005126F1">
      <w:pPr>
        <w:pStyle w:val="ParaNumbered"/>
      </w:pPr>
      <w:r>
        <w:t>The UK</w:t>
      </w:r>
      <w:r w:rsidRPr="00286630">
        <w:t xml:space="preserve"> </w:t>
      </w:r>
      <w:r>
        <w:t>is a signatory to the</w:t>
      </w:r>
      <w:r w:rsidRPr="00286630">
        <w:t xml:space="preserve"> Unified Patent Court Agreement. This Agreement establishes </w:t>
      </w:r>
      <w:r>
        <w:t xml:space="preserve">the Unified Patent Court, </w:t>
      </w:r>
      <w:r w:rsidRPr="00286630">
        <w:t xml:space="preserve">a court common to the participating states </w:t>
      </w:r>
      <w:r>
        <w:t xml:space="preserve">which will deal with </w:t>
      </w:r>
      <w:r w:rsidRPr="00286630">
        <w:t>disputes relating to European Patents and</w:t>
      </w:r>
      <w:r>
        <w:t xml:space="preserve"> European patents with unitary effect</w:t>
      </w:r>
      <w:r w:rsidR="00AF7902">
        <w:t xml:space="preserve"> – </w:t>
      </w:r>
      <w:r w:rsidR="002A4F6B">
        <w:t xml:space="preserve">the latter being </w:t>
      </w:r>
      <w:r w:rsidR="00AF7902">
        <w:t xml:space="preserve">a new </w:t>
      </w:r>
      <w:r w:rsidR="002A4F6B">
        <w:t>single patent</w:t>
      </w:r>
      <w:r w:rsidR="00DD206E">
        <w:t xml:space="preserve"> right</w:t>
      </w:r>
      <w:r w:rsidR="000B6C3B">
        <w:t xml:space="preserve"> that protects an invention </w:t>
      </w:r>
      <w:r w:rsidR="000732B8">
        <w:t>across all states</w:t>
      </w:r>
      <w:r w:rsidR="002A4F6B">
        <w:t xml:space="preserve"> which have signed the Unified P</w:t>
      </w:r>
      <w:r w:rsidR="000732B8">
        <w:t>atent Court Agreement</w:t>
      </w:r>
      <w:r w:rsidR="002A4F6B">
        <w:t>.</w:t>
      </w:r>
      <w:r w:rsidR="000732B8">
        <w:t xml:space="preserve"> </w:t>
      </w:r>
    </w:p>
    <w:p w14:paraId="56F8FFF5" w14:textId="77777777" w:rsidR="009A43D0" w:rsidRDefault="009A43D0" w:rsidP="00C978BE">
      <w:pPr>
        <w:pStyle w:val="Heading2"/>
      </w:pPr>
      <w:bookmarkStart w:id="30" w:name="_Toc451382123"/>
      <w:r>
        <w:t>Amendments to the Patents Act 1977</w:t>
      </w:r>
      <w:bookmarkEnd w:id="30"/>
    </w:p>
    <w:p w14:paraId="29804048" w14:textId="77777777" w:rsidR="009A43D0" w:rsidRDefault="009A43D0" w:rsidP="00C978BE">
      <w:pPr>
        <w:pStyle w:val="Heading2"/>
      </w:pPr>
      <w:bookmarkStart w:id="31" w:name="_Toc451382124"/>
      <w:r>
        <w:t>Section 70: the threat</w:t>
      </w:r>
      <w:bookmarkEnd w:id="31"/>
    </w:p>
    <w:p w14:paraId="382EE1AC" w14:textId="77777777" w:rsidR="009A43D0" w:rsidRPr="00623791" w:rsidRDefault="009A43D0" w:rsidP="00C978BE">
      <w:pPr>
        <w:pStyle w:val="Heading3"/>
      </w:pPr>
      <w:bookmarkStart w:id="32" w:name="_Toc451382125"/>
      <w:r>
        <w:t>The test for a threat</w:t>
      </w:r>
      <w:bookmarkEnd w:id="32"/>
    </w:p>
    <w:p w14:paraId="79946351" w14:textId="79320908" w:rsidR="009A43D0" w:rsidRPr="00623791" w:rsidRDefault="009A43D0" w:rsidP="00476F11">
      <w:pPr>
        <w:pStyle w:val="ParaNumbered"/>
      </w:pPr>
      <w:r>
        <w:t xml:space="preserve">New </w:t>
      </w:r>
      <w:r w:rsidR="00CA4315">
        <w:t>s</w:t>
      </w:r>
      <w:r w:rsidRPr="00623791">
        <w:t>ection 70 sets out the test for whether a communication contains a threat</w:t>
      </w:r>
      <w:r>
        <w:t xml:space="preserve"> to sue for infringement of a patent</w:t>
      </w:r>
      <w:r w:rsidRPr="00623791">
        <w:t xml:space="preserve">.  There are equivalent sections for </w:t>
      </w:r>
      <w:r w:rsidR="005100F9">
        <w:t xml:space="preserve">the </w:t>
      </w:r>
      <w:r w:rsidRPr="00623791">
        <w:t>other rights.</w:t>
      </w:r>
      <w:r w:rsidRPr="00F12788">
        <w:rPr>
          <w:vertAlign w:val="superscript"/>
        </w:rPr>
        <w:footnoteReference w:id="9"/>
      </w:r>
    </w:p>
    <w:p w14:paraId="4CB3007A" w14:textId="77777777" w:rsidR="009A43D0" w:rsidRDefault="009A43D0" w:rsidP="00476F11">
      <w:pPr>
        <w:pStyle w:val="ParaNumbered"/>
      </w:pPr>
      <w:r w:rsidRPr="00623791">
        <w:t>The</w:t>
      </w:r>
      <w:r>
        <w:t xml:space="preserve"> new test has two parts</w:t>
      </w:r>
      <w:r w:rsidRPr="00623791">
        <w:t>.  The first part</w:t>
      </w:r>
      <w:r>
        <w:t>,</w:t>
      </w:r>
      <w:r w:rsidRPr="00623791">
        <w:t xml:space="preserve"> </w:t>
      </w:r>
      <w:r>
        <w:t xml:space="preserve">taken from the common law, is </w:t>
      </w:r>
      <w:r w:rsidRPr="00623791">
        <w:t>whether the communication would be understood</w:t>
      </w:r>
      <w:r>
        <w:t xml:space="preserve"> by a reasonable person in the position of a recipient</w:t>
      </w:r>
      <w:r w:rsidRPr="00623791">
        <w:t xml:space="preserve"> to mean that a right exists. The second part</w:t>
      </w:r>
      <w:r>
        <w:t xml:space="preserve"> is </w:t>
      </w:r>
      <w:r w:rsidRPr="00623791">
        <w:t xml:space="preserve">whether the communication would be understood </w:t>
      </w:r>
      <w:r>
        <w:t xml:space="preserve">by such a person </w:t>
      </w:r>
      <w:r w:rsidRPr="00623791">
        <w:t xml:space="preserve">to mean that someone intends to </w:t>
      </w:r>
      <w:r>
        <w:t xml:space="preserve">bring infringement proceedings in respect of </w:t>
      </w:r>
      <w:r w:rsidRPr="00623791">
        <w:t>that right</w:t>
      </w:r>
      <w:r>
        <w:t xml:space="preserve"> for an act done in the UK.  This is </w:t>
      </w:r>
      <w:r w:rsidR="004070EE">
        <w:t xml:space="preserve">also based on the current common law </w:t>
      </w:r>
      <w:r>
        <w:t>but has been modified so that the test can apply to European patents with unitary effect.</w:t>
      </w:r>
    </w:p>
    <w:p w14:paraId="0A263173" w14:textId="77777777" w:rsidR="009A43D0" w:rsidRDefault="009A43D0" w:rsidP="00A4235C">
      <w:pPr>
        <w:pStyle w:val="ParaNumbered"/>
      </w:pPr>
      <w:r w:rsidRPr="00623791">
        <w:t xml:space="preserve">The </w:t>
      </w:r>
      <w:r w:rsidR="004070EE">
        <w:t xml:space="preserve">second part of the test had to be modified because of the </w:t>
      </w:r>
      <w:r>
        <w:t xml:space="preserve">decision of the </w:t>
      </w:r>
      <w:r w:rsidRPr="00623791">
        <w:t>Court of Appeal in Best Buy Co Inc v Worldwide Sales Corp España SL</w:t>
      </w:r>
      <w:r>
        <w:t xml:space="preserve"> (Best Buy), a case </w:t>
      </w:r>
      <w:r w:rsidR="004070EE">
        <w:t>about</w:t>
      </w:r>
      <w:r>
        <w:t xml:space="preserve"> Community Trade Marks.</w:t>
      </w:r>
      <w:r w:rsidRPr="00F12788">
        <w:rPr>
          <w:vertAlign w:val="superscript"/>
        </w:rPr>
        <w:footnoteReference w:id="10"/>
      </w:r>
      <w:r>
        <w:t xml:space="preserve"> </w:t>
      </w:r>
      <w:r w:rsidRPr="00623791">
        <w:t xml:space="preserve"> In Best Buy </w:t>
      </w:r>
      <w:r>
        <w:t>the court interpreted the second part of the test to mean that - in cases where</w:t>
      </w:r>
      <w:r w:rsidRPr="00623791">
        <w:t xml:space="preserve"> it is possible to sue for infringement in the UK national courts and</w:t>
      </w:r>
      <w:r>
        <w:t xml:space="preserve"> </w:t>
      </w:r>
      <w:r w:rsidR="004070EE">
        <w:t>other states</w:t>
      </w:r>
      <w:r w:rsidR="00CA4315">
        <w:t>’</w:t>
      </w:r>
      <w:r w:rsidR="004070EE">
        <w:t xml:space="preserve"> courts</w:t>
      </w:r>
      <w:r>
        <w:t xml:space="preserve"> -</w:t>
      </w:r>
      <w:r w:rsidRPr="00623791">
        <w:t xml:space="preserve"> </w:t>
      </w:r>
      <w:r>
        <w:t xml:space="preserve">the </w:t>
      </w:r>
      <w:r w:rsidRPr="00623791">
        <w:t xml:space="preserve">threat </w:t>
      </w:r>
      <w:r>
        <w:t>should include a reference to suing in a UK court.</w:t>
      </w:r>
      <w:r w:rsidRPr="00F12788">
        <w:rPr>
          <w:vertAlign w:val="superscript"/>
        </w:rPr>
        <w:footnoteReference w:id="11"/>
      </w:r>
      <w:r>
        <w:t xml:space="preserve"> The court was concerned that there must be some link to the UK in order to avoid the </w:t>
      </w:r>
      <w:r w:rsidR="004070EE">
        <w:t>effect of the t</w:t>
      </w:r>
      <w:r>
        <w:t>hreats provisions being exported abroad. This interpretation has subsequently been applied for patents and designs.</w:t>
      </w:r>
    </w:p>
    <w:p w14:paraId="7643B62E" w14:textId="77777777" w:rsidR="009A43D0" w:rsidRPr="00623791" w:rsidRDefault="009A43D0" w:rsidP="00A4235C">
      <w:pPr>
        <w:pStyle w:val="ParaNumbered"/>
      </w:pPr>
      <w:r>
        <w:t>European patents with unitary effect</w:t>
      </w:r>
      <w:r w:rsidR="00BB0989">
        <w:t xml:space="preserve"> </w:t>
      </w:r>
      <w:r>
        <w:t xml:space="preserve">will come within the jurisdiction of the </w:t>
      </w:r>
      <w:r w:rsidRPr="00623791">
        <w:t>Unified Patent Court</w:t>
      </w:r>
      <w:r w:rsidR="00BB0989">
        <w:t xml:space="preserve">, as will European Patents (UK) that have not opted out of the jurisdiction of the </w:t>
      </w:r>
      <w:r w:rsidR="00651509">
        <w:t xml:space="preserve">Unified Patent </w:t>
      </w:r>
      <w:r w:rsidR="00BB0989">
        <w:t>Court, together with supplementary protection certificates based on either of those rights</w:t>
      </w:r>
      <w:r>
        <w:t>.</w:t>
      </w:r>
      <w:r w:rsidRPr="00623791">
        <w:t xml:space="preserve"> </w:t>
      </w:r>
      <w:r>
        <w:t xml:space="preserve"> Although part of th</w:t>
      </w:r>
      <w:r w:rsidR="00BB0989">
        <w:t>e Unified Patent Court</w:t>
      </w:r>
      <w:r>
        <w:t xml:space="preserve"> will be located in the UK, in legal terms it will not be a UK court. Therefore, the Best Buy interpretation of the test could not be satisfied in respect of these rights.  The modification of the test, so that the threat should be understood to relate to an act done in the UK (or </w:t>
      </w:r>
      <w:r w:rsidR="00E07F49">
        <w:t xml:space="preserve">which </w:t>
      </w:r>
      <w:r>
        <w:t xml:space="preserve">if done would be done in the UK) provides the necessary link to the UK </w:t>
      </w:r>
      <w:r w:rsidR="004070EE">
        <w:t>for</w:t>
      </w:r>
      <w:r>
        <w:t xml:space="preserve"> the threats provisions </w:t>
      </w:r>
      <w:r w:rsidR="004C72A4">
        <w:t>to</w:t>
      </w:r>
      <w:r>
        <w:t xml:space="preserve"> apply</w:t>
      </w:r>
      <w:r w:rsidRPr="00623791">
        <w:t xml:space="preserve">.  </w:t>
      </w:r>
    </w:p>
    <w:p w14:paraId="1EB105C3" w14:textId="77777777" w:rsidR="009A43D0" w:rsidRDefault="009A43D0" w:rsidP="00476F11">
      <w:pPr>
        <w:pStyle w:val="ParaNumbered"/>
      </w:pPr>
      <w:r w:rsidRPr="00623791">
        <w:t xml:space="preserve">Threats may take many forms; they may be written or oral, implied or express. As is currently the case, the intention of the threatener </w:t>
      </w:r>
      <w:r>
        <w:t>when making the threat does not matter</w:t>
      </w:r>
      <w:r w:rsidRPr="00623791">
        <w:t xml:space="preserve">. Whether </w:t>
      </w:r>
      <w:r>
        <w:t xml:space="preserve">a communication contains </w:t>
      </w:r>
      <w:r w:rsidRPr="00623791">
        <w:t>a threat is de</w:t>
      </w:r>
      <w:r>
        <w:t xml:space="preserve">cided </w:t>
      </w:r>
      <w:r w:rsidRPr="00623791">
        <w:t>from the point of view of a reasonable person in the position of a recipient.</w:t>
      </w:r>
    </w:p>
    <w:p w14:paraId="0836D7D8" w14:textId="77777777" w:rsidR="009A43D0" w:rsidRPr="00623791" w:rsidRDefault="009A43D0" w:rsidP="00B57916">
      <w:pPr>
        <w:pStyle w:val="Heading3"/>
      </w:pPr>
      <w:bookmarkStart w:id="35" w:name="_Toc451382126"/>
      <w:r>
        <w:t>Mass communications</w:t>
      </w:r>
      <w:bookmarkEnd w:id="35"/>
    </w:p>
    <w:p w14:paraId="3B033051" w14:textId="77777777" w:rsidR="009A43D0" w:rsidRPr="00416650" w:rsidRDefault="009A43D0" w:rsidP="00D43F7E">
      <w:pPr>
        <w:pStyle w:val="ParaNumbered"/>
      </w:pPr>
      <w:r w:rsidRPr="00623791">
        <w:t xml:space="preserve">Threats need not be made </w:t>
      </w:r>
      <w:r>
        <w:t xml:space="preserve">directly </w:t>
      </w:r>
      <w:r w:rsidRPr="00623791">
        <w:t>to a</w:t>
      </w:r>
      <w:r>
        <w:t xml:space="preserve">n identified </w:t>
      </w:r>
      <w:r w:rsidRPr="00623791">
        <w:t xml:space="preserve">individual; </w:t>
      </w:r>
      <w:r>
        <w:t xml:space="preserve">a threat </w:t>
      </w:r>
      <w:r w:rsidRPr="00623791">
        <w:t>can be made more generally</w:t>
      </w:r>
      <w:r>
        <w:t>. However, it must be more than a general warning</w:t>
      </w:r>
      <w:r w:rsidRPr="00623791">
        <w:t>.</w:t>
      </w:r>
      <w:r w:rsidRPr="00F12788">
        <w:rPr>
          <w:vertAlign w:val="superscript"/>
        </w:rPr>
        <w:footnoteReference w:id="12"/>
      </w:r>
      <w:r w:rsidRPr="00623791">
        <w:t xml:space="preserve"> Section 70(2) applies where a threat is made in a mass communication. It provides that, in such cases, the understanding of the reasonable person will be that of a recipient who is a member of the public, or a member of the section of the public to which the communication was directed. </w:t>
      </w:r>
      <w:r w:rsidRPr="00416650">
        <w:t>This replicates the current law</w:t>
      </w:r>
      <w:r>
        <w:t xml:space="preserve"> which can be explained with an example</w:t>
      </w:r>
      <w:r w:rsidR="003B0D69">
        <w:t>:</w:t>
      </w:r>
      <w:r>
        <w:t xml:space="preserve"> </w:t>
      </w:r>
    </w:p>
    <w:tbl>
      <w:tblPr>
        <w:tblW w:w="0" w:type="auto"/>
        <w:jc w:val="center"/>
        <w:tblBorders>
          <w:top w:val="single" w:sz="8" w:space="0" w:color="0070C0"/>
          <w:left w:val="single" w:sz="8" w:space="0" w:color="0070C0"/>
          <w:bottom w:val="single" w:sz="8" w:space="0" w:color="0070C0"/>
          <w:right w:val="single" w:sz="8" w:space="0" w:color="0070C0"/>
        </w:tblBorders>
        <w:tblLook w:val="00A0" w:firstRow="1" w:lastRow="0" w:firstColumn="1" w:lastColumn="0" w:noHBand="0" w:noVBand="0"/>
      </w:tblPr>
      <w:tblGrid>
        <w:gridCol w:w="7179"/>
      </w:tblGrid>
      <w:tr w:rsidR="009A43D0" w14:paraId="28701DF7" w14:textId="77777777" w:rsidTr="00B60729">
        <w:trPr>
          <w:trHeight w:val="945"/>
          <w:jc w:val="center"/>
        </w:trPr>
        <w:tc>
          <w:tcPr>
            <w:tcW w:w="7179" w:type="dxa"/>
            <w:tcBorders>
              <w:top w:val="single" w:sz="8" w:space="0" w:color="0070C0"/>
              <w:bottom w:val="single" w:sz="8" w:space="0" w:color="0070C0"/>
            </w:tcBorders>
          </w:tcPr>
          <w:p w14:paraId="04616BC5" w14:textId="77777777" w:rsidR="009A43D0" w:rsidRPr="00B60729" w:rsidRDefault="009A43D0" w:rsidP="00416650">
            <w:pPr>
              <w:pStyle w:val="ParaMainText"/>
              <w:rPr>
                <w:lang w:val="en-GB"/>
              </w:rPr>
            </w:pPr>
            <w:r w:rsidRPr="00D43F7E">
              <w:t>A notice on Y Co’s webpage is read by potential purchasers of a particular product. The notice advises that products of that type, made by X Co, infringe Y Co’s patent. It also states that Y Co will take steps to prevent any further infringement of the patent.</w:t>
            </w:r>
          </w:p>
        </w:tc>
      </w:tr>
    </w:tbl>
    <w:p w14:paraId="703A4573" w14:textId="77777777" w:rsidR="009A43D0" w:rsidRDefault="009A43D0" w:rsidP="00B57916">
      <w:pPr>
        <w:pStyle w:val="ParaNumbered"/>
        <w:numPr>
          <w:ilvl w:val="0"/>
          <w:numId w:val="0"/>
        </w:numPr>
        <w:ind w:left="714"/>
      </w:pPr>
    </w:p>
    <w:p w14:paraId="068739E0" w14:textId="77777777" w:rsidR="009A43D0" w:rsidRPr="00623791" w:rsidRDefault="009A43D0" w:rsidP="00476F11">
      <w:pPr>
        <w:pStyle w:val="ParaNumbered"/>
      </w:pPr>
      <w:r w:rsidRPr="00623791">
        <w:t>The inference is that a purchaser of X Co’s product might be committing an infringement</w:t>
      </w:r>
      <w:r>
        <w:t xml:space="preserve"> by buying it</w:t>
      </w:r>
      <w:r w:rsidRPr="00623791">
        <w:t xml:space="preserve">. The test </w:t>
      </w:r>
      <w:r w:rsidR="00DB603E">
        <w:t xml:space="preserve">for a threat </w:t>
      </w:r>
      <w:r w:rsidRPr="00623791">
        <w:t>would be whether a reasonable person in the position of a potential purchaser of that type of product would understand the webpage text to contain a threat to sue</w:t>
      </w:r>
      <w:r>
        <w:t xml:space="preserve"> them</w:t>
      </w:r>
      <w:r w:rsidRPr="00623791">
        <w:t>.</w:t>
      </w:r>
      <w:r>
        <w:t xml:space="preserve"> Recent case law </w:t>
      </w:r>
      <w:r w:rsidR="00560523">
        <w:t>indicates that i</w:t>
      </w:r>
      <w:r w:rsidR="00DB603E">
        <w:t>n the</w:t>
      </w:r>
      <w:r w:rsidR="00560523">
        <w:t xml:space="preserve"> circumstances described</w:t>
      </w:r>
      <w:r w:rsidR="00665F7C">
        <w:t>,</w:t>
      </w:r>
      <w:r w:rsidR="00560523">
        <w:t xml:space="preserve"> </w:t>
      </w:r>
      <w:r>
        <w:t>the test</w:t>
      </w:r>
      <w:r w:rsidR="00DB603E">
        <w:t xml:space="preserve"> </w:t>
      </w:r>
      <w:r>
        <w:t>would be satisfied.</w:t>
      </w:r>
      <w:r w:rsidRPr="00F12788">
        <w:rPr>
          <w:vertAlign w:val="superscript"/>
        </w:rPr>
        <w:footnoteReference w:id="13"/>
      </w:r>
      <w:r w:rsidRPr="00623791">
        <w:t xml:space="preserve">  </w:t>
      </w:r>
    </w:p>
    <w:p w14:paraId="0CC40BD6" w14:textId="77777777" w:rsidR="009A43D0" w:rsidRDefault="009A43D0" w:rsidP="00001318">
      <w:pPr>
        <w:pStyle w:val="Heading2"/>
      </w:pPr>
      <w:bookmarkStart w:id="36" w:name="_Toc451382127"/>
      <w:r>
        <w:t>Section 70A: a</w:t>
      </w:r>
      <w:r w:rsidRPr="00001318">
        <w:t>n actionable threat</w:t>
      </w:r>
      <w:bookmarkEnd w:id="36"/>
    </w:p>
    <w:p w14:paraId="5806D2D4" w14:textId="77777777" w:rsidR="009A43D0" w:rsidRPr="00623791" w:rsidRDefault="0008456A" w:rsidP="0008456A">
      <w:pPr>
        <w:pStyle w:val="Heading3"/>
      </w:pPr>
      <w:bookmarkStart w:id="37" w:name="_Toc451382128"/>
      <w:r>
        <w:t>The exceptions</w:t>
      </w:r>
      <w:bookmarkEnd w:id="37"/>
    </w:p>
    <w:p w14:paraId="18D2F0CD" w14:textId="7502DC84" w:rsidR="0008456A" w:rsidRDefault="0008456A" w:rsidP="00476F11">
      <w:pPr>
        <w:pStyle w:val="ParaNumbered"/>
      </w:pPr>
      <w:r w:rsidRPr="0008456A">
        <w:t xml:space="preserve">A communication that satisfies the test at section 70, and equivalents, will be a threat and the threats provisions will be engaged in respect of it. However, not all threats to sue for infringement will </w:t>
      </w:r>
      <w:r>
        <w:t>give rise to</w:t>
      </w:r>
      <w:r w:rsidRPr="0008456A">
        <w:t xml:space="preserve"> a </w:t>
      </w:r>
      <w:r w:rsidR="007D05D0">
        <w:t>right to sue</w:t>
      </w:r>
      <w:r w:rsidR="000B6C3B">
        <w:t xml:space="preserve"> under the</w:t>
      </w:r>
      <w:r w:rsidR="00D553FA">
        <w:t>se</w:t>
      </w:r>
      <w:r w:rsidR="000B6C3B">
        <w:t xml:space="preserve"> provisions</w:t>
      </w:r>
      <w:r w:rsidRPr="0008456A">
        <w:t>.  The next stage is to determine whether the threat is an actionable one.</w:t>
      </w:r>
    </w:p>
    <w:p w14:paraId="6F6C9D85" w14:textId="1BC91476" w:rsidR="009A43D0" w:rsidRPr="00623791" w:rsidRDefault="009A43D0" w:rsidP="00476F11">
      <w:pPr>
        <w:pStyle w:val="ParaNumbered"/>
      </w:pPr>
      <w:r w:rsidRPr="00623791">
        <w:t>Section 70A</w:t>
      </w:r>
      <w:r>
        <w:t>,</w:t>
      </w:r>
      <w:r w:rsidRPr="00623791">
        <w:t xml:space="preserve"> and equivalents</w:t>
      </w:r>
      <w:r>
        <w:t>,</w:t>
      </w:r>
      <w:r w:rsidRPr="00623791">
        <w:t xml:space="preserve"> provide that any person aggrieved </w:t>
      </w:r>
      <w:r w:rsidR="002A4F6B">
        <w:t xml:space="preserve">by a threat may sue under these provisions </w:t>
      </w:r>
      <w:r w:rsidRPr="00623791">
        <w:t>unless one or more</w:t>
      </w:r>
      <w:r w:rsidR="00ED31CB">
        <w:t xml:space="preserve"> of the</w:t>
      </w:r>
      <w:r w:rsidRPr="00623791">
        <w:t xml:space="preserve"> exception</w:t>
      </w:r>
      <w:r w:rsidR="00ED31CB">
        <w:t>s</w:t>
      </w:r>
      <w:r w:rsidRPr="00623791">
        <w:t xml:space="preserve"> contained in </w:t>
      </w:r>
      <w:r>
        <w:t>section 70A</w:t>
      </w:r>
      <w:r w:rsidRPr="00623791">
        <w:t xml:space="preserve"> applies. </w:t>
      </w:r>
      <w:r w:rsidRPr="00F12788">
        <w:rPr>
          <w:vertAlign w:val="superscript"/>
        </w:rPr>
        <w:footnoteReference w:id="14"/>
      </w:r>
    </w:p>
    <w:p w14:paraId="34E3E83C" w14:textId="7056B6BB" w:rsidR="009A43D0" w:rsidRDefault="0008456A" w:rsidP="002F3D6A">
      <w:pPr>
        <w:pStyle w:val="ParaNumbered"/>
      </w:pPr>
      <w:r>
        <w:t>It is important to note that a</w:t>
      </w:r>
      <w:r w:rsidR="009A43D0" w:rsidRPr="00623791">
        <w:t xml:space="preserve"> person aggrieved need not be the recipient of the threat. Anyone whose commercial interests have</w:t>
      </w:r>
      <w:r w:rsidR="009A43D0">
        <w:t>,</w:t>
      </w:r>
      <w:r w:rsidR="009A43D0" w:rsidRPr="00623791">
        <w:t xml:space="preserve"> or might be</w:t>
      </w:r>
      <w:r w:rsidR="009A43D0">
        <w:t>,</w:t>
      </w:r>
      <w:r w:rsidR="009A43D0" w:rsidRPr="00623791">
        <w:t xml:space="preserve"> affected by the threat in a real rather than fanciful way may </w:t>
      </w:r>
      <w:r w:rsidR="00954484">
        <w:t>sue</w:t>
      </w:r>
      <w:r w:rsidR="009A43D0" w:rsidRPr="00623791">
        <w:t>.</w:t>
      </w:r>
      <w:r w:rsidR="009A43D0" w:rsidRPr="00F12788">
        <w:rPr>
          <w:vertAlign w:val="superscript"/>
        </w:rPr>
        <w:footnoteReference w:id="15"/>
      </w:r>
      <w:r w:rsidR="009A43D0" w:rsidRPr="00623791">
        <w:t xml:space="preserve"> To return to the example above, X Co may lose business because of the threat</w:t>
      </w:r>
      <w:r w:rsidR="009A43D0">
        <w:t xml:space="preserve"> made to its customers</w:t>
      </w:r>
      <w:r w:rsidR="009A43D0" w:rsidRPr="00623791">
        <w:t xml:space="preserve">, therefore it could </w:t>
      </w:r>
      <w:r w:rsidR="007D05D0">
        <w:t>sue</w:t>
      </w:r>
      <w:r w:rsidR="009A43D0" w:rsidRPr="00623791">
        <w:t xml:space="preserve"> </w:t>
      </w:r>
      <w:r w:rsidR="000732B8">
        <w:t xml:space="preserve">under these provisions </w:t>
      </w:r>
      <w:r w:rsidR="009A43D0" w:rsidRPr="00623791">
        <w:t xml:space="preserve">as a person aggrieved. </w:t>
      </w:r>
    </w:p>
    <w:p w14:paraId="26511573" w14:textId="353C84A0" w:rsidR="0008456A" w:rsidRDefault="009A43D0" w:rsidP="0008456A">
      <w:pPr>
        <w:pStyle w:val="ParaNumbered"/>
      </w:pPr>
      <w:r>
        <w:t>It is also immaterial whether the person who made the threat is the owner, or has an interest in the right which is the subject of the threat. Returning again to the example above, Y Co might also be liable for making threats if it was alleged that the products also infringed someone else</w:t>
      </w:r>
      <w:r w:rsidR="002B44BC">
        <w:t>’</w:t>
      </w:r>
      <w:r>
        <w:t>s patent in which Y Co had no interest at all.</w:t>
      </w:r>
    </w:p>
    <w:p w14:paraId="0FB0937A" w14:textId="40992F85" w:rsidR="009A43D0" w:rsidRPr="00623791" w:rsidRDefault="0008456A" w:rsidP="0008456A">
      <w:pPr>
        <w:pStyle w:val="ParaNumbered"/>
      </w:pPr>
      <w:r w:rsidRPr="0008456A">
        <w:t xml:space="preserve">There are three exceptions which, if applicable, prevent a person aggrieved from </w:t>
      </w:r>
      <w:r w:rsidR="007D05D0">
        <w:t>suing</w:t>
      </w:r>
      <w:r w:rsidRPr="0008456A">
        <w:t xml:space="preserve"> the threatener. </w:t>
      </w:r>
    </w:p>
    <w:p w14:paraId="041679BA" w14:textId="77777777" w:rsidR="009A43D0" w:rsidRPr="00623791" w:rsidRDefault="009A43D0" w:rsidP="00C978BE">
      <w:pPr>
        <w:pStyle w:val="Heading4"/>
      </w:pPr>
      <w:bookmarkStart w:id="38" w:name="_Toc451382129"/>
      <w:r w:rsidRPr="00623791">
        <w:t>Not actionable because of the subject matter of the threat</w:t>
      </w:r>
      <w:bookmarkEnd w:id="38"/>
    </w:p>
    <w:p w14:paraId="6D489634" w14:textId="4FC0DE9A" w:rsidR="009A43D0" w:rsidRPr="00623791" w:rsidRDefault="009A43D0" w:rsidP="00476F11">
      <w:pPr>
        <w:pStyle w:val="ParaNumbered"/>
      </w:pPr>
      <w:r w:rsidRPr="00623791">
        <w:t xml:space="preserve">Section 70A(2) and equivalents replicate the existing exception for patents, trade marks and designs whereby a </w:t>
      </w:r>
      <w:r w:rsidR="007D05D0">
        <w:t>person aggrieved cannot sue</w:t>
      </w:r>
      <w:r w:rsidRPr="00623791">
        <w:t xml:space="preserve"> if the threat refers to the </w:t>
      </w:r>
      <w:r>
        <w:t>specified pri</w:t>
      </w:r>
      <w:r w:rsidRPr="00623791">
        <w:t>mary acts for the particular right.</w:t>
      </w:r>
      <w:r w:rsidRPr="00F12788">
        <w:rPr>
          <w:vertAlign w:val="superscript"/>
        </w:rPr>
        <w:footnoteReference w:id="16"/>
      </w:r>
      <w:r w:rsidRPr="00623791">
        <w:t xml:space="preserve"> The </w:t>
      </w:r>
      <w:r>
        <w:t>Bill does</w:t>
      </w:r>
      <w:r w:rsidRPr="00623791">
        <w:t xml:space="preserve"> not alter the existing law save in one respect. Section 70A(3) and equivalents extend the exception to threats that refer to intended primary acts.</w:t>
      </w:r>
    </w:p>
    <w:p w14:paraId="14B74D97" w14:textId="632CF3CD" w:rsidR="009A43D0" w:rsidRPr="00623791" w:rsidRDefault="009A43D0" w:rsidP="00D43F7E">
      <w:pPr>
        <w:pStyle w:val="ParaNumbered"/>
      </w:pPr>
      <w:r w:rsidRPr="00623791">
        <w:t xml:space="preserve">There is one other change made for trade marks only. Section 21A(2)(a)  refers to the primary act of applying or causing another person to apply, a sign to goods or their packaging. The words </w:t>
      </w:r>
      <w:r w:rsidR="00913013">
        <w:t>“</w:t>
      </w:r>
      <w:r>
        <w:t>or causing another person to apply</w:t>
      </w:r>
      <w:r w:rsidR="00913013">
        <w:t>”</w:t>
      </w:r>
      <w:r w:rsidRPr="00623791">
        <w:t xml:space="preserve"> enact the recommendation that it should also be a primary act to commission</w:t>
      </w:r>
      <w:r>
        <w:t xml:space="preserve"> </w:t>
      </w:r>
      <w:r w:rsidRPr="00623791">
        <w:t xml:space="preserve">that work to be done. </w:t>
      </w:r>
    </w:p>
    <w:p w14:paraId="572867B4" w14:textId="77777777" w:rsidR="009A43D0" w:rsidRPr="00623791" w:rsidRDefault="009A43D0" w:rsidP="00C978BE">
      <w:pPr>
        <w:pStyle w:val="Heading4"/>
      </w:pPr>
      <w:bookmarkStart w:id="39" w:name="_Toc451382130"/>
      <w:r w:rsidRPr="00623791">
        <w:t>Not actionable because of person to whom the threat is made</w:t>
      </w:r>
      <w:bookmarkEnd w:id="39"/>
      <w:r w:rsidRPr="00623791">
        <w:t xml:space="preserve"> </w:t>
      </w:r>
    </w:p>
    <w:p w14:paraId="441F5A07" w14:textId="77777777" w:rsidR="009A43D0" w:rsidRDefault="009A43D0" w:rsidP="00996067">
      <w:pPr>
        <w:pStyle w:val="ParaNumbered"/>
      </w:pPr>
      <w:r w:rsidRPr="00623791">
        <w:t>Section 70A(4)  replicate</w:t>
      </w:r>
      <w:r>
        <w:t>s</w:t>
      </w:r>
      <w:r w:rsidRPr="00623791">
        <w:t xml:space="preserve"> the current primary actor exclusion introduced for patents in 2004.  </w:t>
      </w:r>
      <w:r w:rsidRPr="00996067">
        <w:t>The equivalent sections for trade marks and designs extend the exclusion to those rights.</w:t>
      </w:r>
    </w:p>
    <w:p w14:paraId="01CD9F21" w14:textId="77777777" w:rsidR="009A43D0" w:rsidRDefault="009A43D0" w:rsidP="00996067">
      <w:pPr>
        <w:pStyle w:val="ParaNumbered"/>
      </w:pPr>
      <w:r w:rsidRPr="00623791">
        <w:t>Th</w:t>
      </w:r>
      <w:r>
        <w:t>e primary actor exclusion was introduced</w:t>
      </w:r>
      <w:r w:rsidRPr="00623791">
        <w:t xml:space="preserve"> </w:t>
      </w:r>
      <w:r>
        <w:t xml:space="preserve">in 2004 </w:t>
      </w:r>
      <w:r w:rsidRPr="00623791">
        <w:t>to deal with a problem highlighted in the case of Cavity Trays Ltd v RMC Panel Products Ltd.</w:t>
      </w:r>
      <w:r w:rsidRPr="00F12788">
        <w:rPr>
          <w:vertAlign w:val="superscript"/>
        </w:rPr>
        <w:footnoteReference w:id="17"/>
      </w:r>
      <w:r w:rsidRPr="00623791">
        <w:t xml:space="preserve"> </w:t>
      </w:r>
      <w:r>
        <w:t xml:space="preserve"> </w:t>
      </w:r>
      <w:r w:rsidRPr="00623791">
        <w:t>In Cavity Trays a threat</w:t>
      </w:r>
      <w:r>
        <w:t xml:space="preserve"> that</w:t>
      </w:r>
      <w:r w:rsidR="00F12788">
        <w:t xml:space="preserve"> referred to the manufacture of</w:t>
      </w:r>
      <w:r>
        <w:t xml:space="preserve"> a product, a primary act,</w:t>
      </w:r>
      <w:r w:rsidRPr="00623791">
        <w:t xml:space="preserve"> also referred to </w:t>
      </w:r>
      <w:r>
        <w:t xml:space="preserve">secondary </w:t>
      </w:r>
      <w:r w:rsidRPr="00623791">
        <w:t xml:space="preserve">acts </w:t>
      </w:r>
      <w:r>
        <w:t xml:space="preserve">such as the promotion and sale of </w:t>
      </w:r>
      <w:r w:rsidRPr="00623791">
        <w:t>th</w:t>
      </w:r>
      <w:r>
        <w:t>at</w:t>
      </w:r>
      <w:r w:rsidRPr="00623791">
        <w:t xml:space="preserve"> product. The court </w:t>
      </w:r>
      <w:r>
        <w:t>held</w:t>
      </w:r>
      <w:r w:rsidRPr="00623791">
        <w:t xml:space="preserve"> that the </w:t>
      </w:r>
      <w:r>
        <w:t>threat was actionable</w:t>
      </w:r>
      <w:r w:rsidRPr="00623791">
        <w:t xml:space="preserve"> because </w:t>
      </w:r>
      <w:r>
        <w:t>of the reference</w:t>
      </w:r>
      <w:r w:rsidRPr="00623791">
        <w:t xml:space="preserve"> to those other </w:t>
      </w:r>
      <w:r>
        <w:t xml:space="preserve">secondary </w:t>
      </w:r>
      <w:r w:rsidRPr="00623791">
        <w:t xml:space="preserve">acts. </w:t>
      </w:r>
      <w:r w:rsidRPr="00996067">
        <w:t xml:space="preserve">The primary actor exclusion </w:t>
      </w:r>
      <w:r>
        <w:t>deals with this by excluding a threat according to the person to whom it is made</w:t>
      </w:r>
      <w:r w:rsidRPr="00996067">
        <w:t>, rather than the acts</w:t>
      </w:r>
      <w:r>
        <w:t xml:space="preserve"> to which it refers</w:t>
      </w:r>
      <w:r w:rsidRPr="00996067">
        <w:t xml:space="preserve">. So, for example, where the threat is made to a manufacturer of a product (a primary actor) it does not matter if it also refers to secondary acts </w:t>
      </w:r>
      <w:r>
        <w:t>done by that primary actor.</w:t>
      </w:r>
    </w:p>
    <w:p w14:paraId="485E6DA2" w14:textId="77777777" w:rsidR="009A43D0" w:rsidRDefault="009A43D0" w:rsidP="000112DC">
      <w:pPr>
        <w:pStyle w:val="ParaNumbered"/>
      </w:pPr>
      <w:r>
        <w:t xml:space="preserve">Section 70A(4) and equivalents provide that a threat made to a primary actor will not be actionable, even where the threat refers to anything else done in relation to the patented invention and the products for which they are a primary actor.  </w:t>
      </w:r>
    </w:p>
    <w:p w14:paraId="69A0C5FB" w14:textId="77777777" w:rsidR="009A43D0" w:rsidRPr="000112DC" w:rsidRDefault="009A43D0" w:rsidP="000112DC">
      <w:pPr>
        <w:pStyle w:val="ParaNumbered"/>
      </w:pPr>
      <w:r>
        <w:t xml:space="preserve">The primary actor does not lose all protection where they are only a secondary actor in respect of a patent, for example, where someone else used the process and they merely sell the product that is produced. This is a subtle but important distinction. The following example demonstrates the point: </w:t>
      </w:r>
    </w:p>
    <w:tbl>
      <w:tblPr>
        <w:tblW w:w="0" w:type="auto"/>
        <w:jc w:val="center"/>
        <w:tblBorders>
          <w:top w:val="single" w:sz="8" w:space="0" w:color="0070C0"/>
          <w:left w:val="single" w:sz="8" w:space="0" w:color="0070C0"/>
          <w:bottom w:val="single" w:sz="8" w:space="0" w:color="0070C0"/>
          <w:right w:val="single" w:sz="8" w:space="0" w:color="0070C0"/>
        </w:tblBorders>
        <w:tblLook w:val="00A0" w:firstRow="1" w:lastRow="0" w:firstColumn="1" w:lastColumn="0" w:noHBand="0" w:noVBand="0"/>
      </w:tblPr>
      <w:tblGrid>
        <w:gridCol w:w="6151"/>
      </w:tblGrid>
      <w:tr w:rsidR="009A43D0" w14:paraId="16BB5437" w14:textId="77777777" w:rsidTr="00B60729">
        <w:trPr>
          <w:trHeight w:val="264"/>
          <w:jc w:val="center"/>
        </w:trPr>
        <w:tc>
          <w:tcPr>
            <w:tcW w:w="6151" w:type="dxa"/>
            <w:tcBorders>
              <w:top w:val="single" w:sz="8" w:space="0" w:color="0070C0"/>
              <w:bottom w:val="single" w:sz="8" w:space="0" w:color="0070C0"/>
            </w:tcBorders>
          </w:tcPr>
          <w:p w14:paraId="57D80EC4" w14:textId="51E95A04" w:rsidR="009A43D0" w:rsidRPr="00B60729" w:rsidRDefault="009A43D0" w:rsidP="002A4F6B">
            <w:pPr>
              <w:pStyle w:val="ParaMainText"/>
              <w:rPr>
                <w:lang w:val="en-GB"/>
              </w:rPr>
            </w:pPr>
            <w:r w:rsidRPr="000112DC">
              <w:t xml:space="preserve">X Co manufactures a </w:t>
            </w:r>
            <w:r w:rsidR="00156AA2">
              <w:t xml:space="preserve">patented </w:t>
            </w:r>
            <w:r w:rsidRPr="000112DC">
              <w:t>product</w:t>
            </w:r>
            <w:r>
              <w:t>,</w:t>
            </w:r>
            <w:r w:rsidRPr="000112DC">
              <w:t xml:space="preserve"> and</w:t>
            </w:r>
            <w:r>
              <w:t xml:space="preserve"> sells what it produces.</w:t>
            </w:r>
            <w:r w:rsidRPr="000112DC">
              <w:t xml:space="preserve"> X Co is also </w:t>
            </w:r>
            <w:r>
              <w:t>selling the same products</w:t>
            </w:r>
            <w:r w:rsidRPr="000112DC">
              <w:t xml:space="preserve"> manufactured by Z Co. Y Co writes to X Co claiming that </w:t>
            </w:r>
            <w:r w:rsidR="002A4F6B">
              <w:t>X Co infringe Y Co’s patent by manufacturing the products</w:t>
            </w:r>
            <w:r>
              <w:t>. Y Co also claims that X Co has infringed by retailing both the products it has made and those supplied by Z Co that it merely sells</w:t>
            </w:r>
            <w:r w:rsidRPr="000112DC">
              <w:t xml:space="preserve">. </w:t>
            </w:r>
          </w:p>
        </w:tc>
      </w:tr>
    </w:tbl>
    <w:p w14:paraId="2B9A81BF" w14:textId="77777777" w:rsidR="009A43D0" w:rsidRDefault="009A43D0" w:rsidP="000112DC">
      <w:pPr>
        <w:pStyle w:val="ParaNumbered"/>
        <w:numPr>
          <w:ilvl w:val="0"/>
          <w:numId w:val="0"/>
        </w:numPr>
        <w:ind w:left="357"/>
      </w:pPr>
    </w:p>
    <w:p w14:paraId="617045F7" w14:textId="77777777" w:rsidR="009A43D0" w:rsidRDefault="009A43D0" w:rsidP="00B57916">
      <w:pPr>
        <w:pStyle w:val="ParaNumbered"/>
      </w:pPr>
      <w:r w:rsidRPr="003E56CA">
        <w:t xml:space="preserve">Only the retail of the products manufactured by X Co count as </w:t>
      </w:r>
      <w:r w:rsidR="00913013">
        <w:t>“</w:t>
      </w:r>
      <w:r w:rsidRPr="003E56CA">
        <w:t>doing anything else in relation to the product</w:t>
      </w:r>
      <w:r w:rsidR="00913013">
        <w:t>”</w:t>
      </w:r>
      <w:r w:rsidRPr="003E56CA">
        <w:t xml:space="preserve"> for the purposes of section 70A(4)(b).  The retail of the products manufactured by Z Co does not fall within the meaning of this subsection</w:t>
      </w:r>
      <w:r>
        <w:t>.</w:t>
      </w:r>
      <w:r w:rsidRPr="003E56CA">
        <w:t xml:space="preserve"> </w:t>
      </w:r>
      <w:r>
        <w:t>T</w:t>
      </w:r>
      <w:r w:rsidRPr="003E56CA">
        <w:t>herefore</w:t>
      </w:r>
      <w:r>
        <w:t xml:space="preserve">, </w:t>
      </w:r>
      <w:r w:rsidRPr="003E56CA">
        <w:t>unless any other exclusion applies</w:t>
      </w:r>
      <w:r>
        <w:t>,</w:t>
      </w:r>
      <w:r w:rsidRPr="003E56CA">
        <w:t xml:space="preserve"> the threat will be actionable</w:t>
      </w:r>
      <w:r>
        <w:t>.</w:t>
      </w:r>
    </w:p>
    <w:p w14:paraId="2B38FCCF" w14:textId="77777777" w:rsidR="00F96265" w:rsidRPr="000112DC" w:rsidRDefault="00C05CE5" w:rsidP="00F96265">
      <w:pPr>
        <w:pStyle w:val="ParaNumbered"/>
      </w:pPr>
      <w:r>
        <w:t>The same principle applies where the invention is a process as this example shows:</w:t>
      </w:r>
      <w:r w:rsidR="00F96265" w:rsidRPr="00F96265">
        <w:t xml:space="preserve"> </w:t>
      </w:r>
    </w:p>
    <w:tbl>
      <w:tblPr>
        <w:tblW w:w="0" w:type="auto"/>
        <w:jc w:val="center"/>
        <w:tblBorders>
          <w:top w:val="single" w:sz="8" w:space="0" w:color="0070C0"/>
          <w:left w:val="single" w:sz="8" w:space="0" w:color="0070C0"/>
          <w:bottom w:val="single" w:sz="8" w:space="0" w:color="0070C0"/>
          <w:right w:val="single" w:sz="8" w:space="0" w:color="0070C0"/>
        </w:tblBorders>
        <w:tblLook w:val="00A0" w:firstRow="1" w:lastRow="0" w:firstColumn="1" w:lastColumn="0" w:noHBand="0" w:noVBand="0"/>
      </w:tblPr>
      <w:tblGrid>
        <w:gridCol w:w="6151"/>
      </w:tblGrid>
      <w:tr w:rsidR="00F96265" w14:paraId="7EDA3EBB" w14:textId="77777777" w:rsidTr="00F618A3">
        <w:trPr>
          <w:trHeight w:val="264"/>
          <w:jc w:val="center"/>
        </w:trPr>
        <w:tc>
          <w:tcPr>
            <w:tcW w:w="6151" w:type="dxa"/>
            <w:tcBorders>
              <w:top w:val="single" w:sz="8" w:space="0" w:color="0070C0"/>
              <w:bottom w:val="single" w:sz="8" w:space="0" w:color="0070C0"/>
            </w:tcBorders>
          </w:tcPr>
          <w:p w14:paraId="44475024" w14:textId="77777777" w:rsidR="00F96265" w:rsidRPr="00F96265" w:rsidRDefault="00F96265" w:rsidP="00F96265">
            <w:pPr>
              <w:pStyle w:val="ParaMainText"/>
            </w:pPr>
            <w:r>
              <w:t>X C</w:t>
            </w:r>
            <w:r w:rsidRPr="00F96265">
              <w:t xml:space="preserve">o uses </w:t>
            </w:r>
            <w:r w:rsidR="00156AA2" w:rsidRPr="00F96265">
              <w:t>a</w:t>
            </w:r>
            <w:r w:rsidR="00156AA2">
              <w:t xml:space="preserve"> </w:t>
            </w:r>
            <w:r w:rsidR="00156AA2" w:rsidRPr="00F96265">
              <w:t>patented</w:t>
            </w:r>
            <w:r w:rsidR="00156AA2">
              <w:t xml:space="preserve"> </w:t>
            </w:r>
            <w:r w:rsidRPr="00F96265">
              <w:t xml:space="preserve">process to </w:t>
            </w:r>
            <w:r>
              <w:t>produce</w:t>
            </w:r>
            <w:r w:rsidRPr="00F96265">
              <w:t xml:space="preserve"> a product which it then </w:t>
            </w:r>
            <w:r w:rsidR="00156AA2">
              <w:t>offers for sale. X C</w:t>
            </w:r>
            <w:r w:rsidRPr="00F96265">
              <w:t>o is also selling products that are a direct result of Z Co using the process. Y Co writes to X Co claiming that the use of the process and the sale of the products that result from that use infringe Y Co</w:t>
            </w:r>
            <w:r w:rsidR="00913013">
              <w:t>’</w:t>
            </w:r>
            <w:r w:rsidRPr="00F96265">
              <w:t>s patent.</w:t>
            </w:r>
            <w:r>
              <w:t xml:space="preserve"> Y Co also makes the same claims about the </w:t>
            </w:r>
            <w:r w:rsidRPr="00F96265">
              <w:t>products that result</w:t>
            </w:r>
            <w:r w:rsidR="00156AA2">
              <w:t>ed</w:t>
            </w:r>
            <w:r w:rsidRPr="00F96265">
              <w:t xml:space="preserve"> from Z Co</w:t>
            </w:r>
            <w:r w:rsidR="00913013">
              <w:t>’</w:t>
            </w:r>
            <w:r w:rsidRPr="00F96265">
              <w:t>s use</w:t>
            </w:r>
            <w:r>
              <w:t>.</w:t>
            </w:r>
          </w:p>
        </w:tc>
      </w:tr>
    </w:tbl>
    <w:p w14:paraId="15A57AFB" w14:textId="77777777" w:rsidR="00F96265" w:rsidRDefault="00F96265" w:rsidP="00F96265">
      <w:pPr>
        <w:pStyle w:val="ParaNumbered"/>
        <w:numPr>
          <w:ilvl w:val="0"/>
          <w:numId w:val="0"/>
        </w:numPr>
      </w:pPr>
    </w:p>
    <w:p w14:paraId="086BAA28" w14:textId="4CC5BF00" w:rsidR="009113D9" w:rsidRDefault="00F96265" w:rsidP="009113D9">
      <w:pPr>
        <w:pStyle w:val="ParaNumbered"/>
      </w:pPr>
      <w:r>
        <w:t>Only the sale of the products that directly result from X Co</w:t>
      </w:r>
      <w:r w:rsidR="00A16675">
        <w:t>’</w:t>
      </w:r>
      <w:r>
        <w:t xml:space="preserve">s use of the process will qualify as </w:t>
      </w:r>
      <w:r w:rsidR="00A16675">
        <w:t>“</w:t>
      </w:r>
      <w:r>
        <w:t>doing anything else in relation to the process</w:t>
      </w:r>
      <w:r w:rsidR="00A16675">
        <w:t>”</w:t>
      </w:r>
      <w:r>
        <w:t xml:space="preserve">. </w:t>
      </w:r>
      <w:r w:rsidR="009113D9">
        <w:t>Again, unless some other exception applies</w:t>
      </w:r>
      <w:r w:rsidR="004E620B">
        <w:t>,</w:t>
      </w:r>
      <w:r>
        <w:t xml:space="preserve"> the threat is actionable. </w:t>
      </w:r>
      <w:r w:rsidR="009113D9">
        <w:t xml:space="preserve">  </w:t>
      </w:r>
    </w:p>
    <w:p w14:paraId="256B7223" w14:textId="77777777" w:rsidR="009A43D0" w:rsidRPr="00623791" w:rsidRDefault="009A43D0" w:rsidP="00C978BE">
      <w:pPr>
        <w:pStyle w:val="Heading4"/>
      </w:pPr>
      <w:bookmarkStart w:id="40" w:name="_Toc451382131"/>
      <w:r w:rsidRPr="00623791">
        <w:t>Not actionable because it is contained in a permitted communication</w:t>
      </w:r>
      <w:bookmarkEnd w:id="40"/>
    </w:p>
    <w:p w14:paraId="6DEB4EB4" w14:textId="66AE2553" w:rsidR="00211760" w:rsidRPr="00623791" w:rsidRDefault="009A43D0" w:rsidP="00211760">
      <w:pPr>
        <w:pStyle w:val="ParaNumbered"/>
      </w:pPr>
      <w:r w:rsidRPr="00623791">
        <w:t xml:space="preserve">Under section 70A(5) and equivalents, a threat made to a secondary actor </w:t>
      </w:r>
      <w:r w:rsidR="002A4F6B">
        <w:t>will not give rise to a claim under these provisions</w:t>
      </w:r>
      <w:r w:rsidRPr="00623791">
        <w:t xml:space="preserve"> if it is contained in a permitted communication. </w:t>
      </w:r>
      <w:r>
        <w:t xml:space="preserve">The provisions relating to permitted communications are then set out in section 70B and equivalents. </w:t>
      </w:r>
    </w:p>
    <w:p w14:paraId="5E75C52D" w14:textId="7C3E1E7E" w:rsidR="009A43D0" w:rsidRDefault="009A43D0" w:rsidP="00001318">
      <w:pPr>
        <w:pStyle w:val="Heading2"/>
      </w:pPr>
      <w:bookmarkStart w:id="41" w:name="_Toc451382132"/>
      <w:r w:rsidRPr="00C978BE">
        <w:t>Section</w:t>
      </w:r>
      <w:r>
        <w:t xml:space="preserve"> 70B: permitted</w:t>
      </w:r>
      <w:r w:rsidRPr="00001318">
        <w:t xml:space="preserve"> communications</w:t>
      </w:r>
      <w:bookmarkEnd w:id="41"/>
    </w:p>
    <w:p w14:paraId="671A3A91" w14:textId="77777777" w:rsidR="009A43D0" w:rsidRPr="00001318" w:rsidRDefault="009A43D0" w:rsidP="00001318">
      <w:pPr>
        <w:pStyle w:val="Heading3"/>
      </w:pPr>
      <w:bookmarkStart w:id="42" w:name="_Toc451382133"/>
      <w:r>
        <w:t>Safe harbour</w:t>
      </w:r>
      <w:bookmarkEnd w:id="42"/>
    </w:p>
    <w:p w14:paraId="7445CA1A" w14:textId="74240910" w:rsidR="009A43D0" w:rsidRDefault="009A43D0" w:rsidP="00476F11">
      <w:pPr>
        <w:pStyle w:val="ParaNumbered"/>
      </w:pPr>
      <w:r>
        <w:t>S</w:t>
      </w:r>
      <w:r w:rsidRPr="00623791">
        <w:t>ection 70B</w:t>
      </w:r>
      <w:r>
        <w:t>,</w:t>
      </w:r>
      <w:r w:rsidRPr="00623791">
        <w:t xml:space="preserve"> and equivalents</w:t>
      </w:r>
      <w:r>
        <w:t>,</w:t>
      </w:r>
      <w:r w:rsidRPr="00F12788">
        <w:rPr>
          <w:vertAlign w:val="superscript"/>
        </w:rPr>
        <w:footnoteReference w:id="18"/>
      </w:r>
      <w:r w:rsidRPr="00623791">
        <w:t xml:space="preserve"> provide</w:t>
      </w:r>
      <w:r>
        <w:t xml:space="preserve"> the framework for </w:t>
      </w:r>
      <w:r w:rsidRPr="00623791">
        <w:t xml:space="preserve">a “safe harbour” to allow a rights holder </w:t>
      </w:r>
      <w:r>
        <w:t xml:space="preserve">(or someone acting on its behalf) </w:t>
      </w:r>
      <w:r w:rsidRPr="00623791">
        <w:t xml:space="preserve">to communicate with someone who might otherwise be entitled to </w:t>
      </w:r>
      <w:r w:rsidR="007D05D0">
        <w:t>sue</w:t>
      </w:r>
      <w:r w:rsidR="00515E3D">
        <w:t xml:space="preserve"> because a threat has been made</w:t>
      </w:r>
      <w:r>
        <w:t>.</w:t>
      </w:r>
    </w:p>
    <w:p w14:paraId="34674A32" w14:textId="05591C12" w:rsidR="009A43D0" w:rsidRPr="00623791" w:rsidRDefault="009A43D0" w:rsidP="00476F11">
      <w:pPr>
        <w:pStyle w:val="ParaNumbered"/>
      </w:pPr>
      <w:r>
        <w:t>What the threatener intended by the communication is not relevant, what matters is how it would be understood by a reasonable person in the position of a recipient</w:t>
      </w:r>
      <w:r w:rsidRPr="00623791">
        <w:t>. For that reason, communication with a third party can be fraught with difficulty. Even the most innocuous communication</w:t>
      </w:r>
      <w:r>
        <w:t>,</w:t>
      </w:r>
      <w:r w:rsidRPr="00623791">
        <w:t xml:space="preserve"> </w:t>
      </w:r>
      <w:r>
        <w:t xml:space="preserve">made with the best of intentions, </w:t>
      </w:r>
      <w:r w:rsidRPr="00623791">
        <w:t xml:space="preserve">can be interpreted as being </w:t>
      </w:r>
      <w:r>
        <w:t xml:space="preserve">an implied threat and trigger </w:t>
      </w:r>
      <w:r w:rsidR="002A4F6B">
        <w:t>legal action</w:t>
      </w:r>
      <w:r w:rsidRPr="00623791">
        <w:t>.</w:t>
      </w:r>
      <w:r>
        <w:t xml:space="preserve"> </w:t>
      </w:r>
      <w:r w:rsidRPr="00623791">
        <w:t xml:space="preserve">The permitted communication exception </w:t>
      </w:r>
      <w:r>
        <w:t xml:space="preserve">addresses </w:t>
      </w:r>
      <w:r w:rsidRPr="00623791">
        <w:t>this</w:t>
      </w:r>
      <w:r>
        <w:t xml:space="preserve"> and provides a means by which information can be exchanged to resolve disputes and to comply with the requirements of the </w:t>
      </w:r>
      <w:r w:rsidRPr="00623791">
        <w:t>Civil Procedure R</w:t>
      </w:r>
      <w:r>
        <w:t>ules.</w:t>
      </w:r>
    </w:p>
    <w:p w14:paraId="799638A7" w14:textId="77777777" w:rsidR="009A43D0" w:rsidRPr="00623791" w:rsidRDefault="009A43D0" w:rsidP="00C978BE">
      <w:pPr>
        <w:pStyle w:val="Heading4"/>
      </w:pPr>
      <w:bookmarkStart w:id="43" w:name="_Toc451382134"/>
      <w:r w:rsidRPr="00623791">
        <w:t>No express threats</w:t>
      </w:r>
      <w:bookmarkEnd w:id="43"/>
    </w:p>
    <w:p w14:paraId="13084C5E" w14:textId="77777777" w:rsidR="009A43D0" w:rsidRPr="00623791" w:rsidRDefault="009A43D0" w:rsidP="00476F11">
      <w:pPr>
        <w:pStyle w:val="ParaNumbered"/>
      </w:pPr>
      <w:r w:rsidRPr="00623791">
        <w:t xml:space="preserve">Section 70A(5) and equivalents make it clear that the opportunity to communicate safely with those who would otherwise be protected must not be used to make express threats to sue.  </w:t>
      </w:r>
    </w:p>
    <w:p w14:paraId="406662A1" w14:textId="77777777" w:rsidR="009A43D0" w:rsidRPr="00623791" w:rsidRDefault="009A43D0" w:rsidP="00C978BE">
      <w:pPr>
        <w:pStyle w:val="Heading4"/>
      </w:pPr>
      <w:bookmarkStart w:id="44" w:name="_Toc451382135"/>
      <w:r w:rsidRPr="00623791">
        <w:t>The conditions</w:t>
      </w:r>
      <w:bookmarkEnd w:id="44"/>
    </w:p>
    <w:p w14:paraId="32E281F9" w14:textId="77777777" w:rsidR="009A43D0" w:rsidRPr="007B3E78" w:rsidRDefault="009A43D0" w:rsidP="007B3E78">
      <w:pPr>
        <w:pStyle w:val="ParaNumbered"/>
      </w:pPr>
      <w:r w:rsidRPr="00623791">
        <w:t xml:space="preserve">The conditions that must be met are set out at section 70B(1) and equivalents. These </w:t>
      </w:r>
      <w:r>
        <w:t xml:space="preserve">conditions only </w:t>
      </w:r>
      <w:r w:rsidRPr="00623791">
        <w:t xml:space="preserve">apply to the part of the communication that </w:t>
      </w:r>
      <w:r>
        <w:t>constitutes</w:t>
      </w:r>
      <w:r w:rsidRPr="00623791">
        <w:t xml:space="preserve"> the threat. Othe</w:t>
      </w:r>
      <w:r>
        <w:t>r material in the communication</w:t>
      </w:r>
      <w:r w:rsidRPr="00623791">
        <w:t xml:space="preserve"> will be subject to the test for a threat under section 70 and equivalents. If the extraneous material does not satisfy th</w:t>
      </w:r>
      <w:r>
        <w:t>e</w:t>
      </w:r>
      <w:r w:rsidRPr="00623791">
        <w:t xml:space="preserve"> test</w:t>
      </w:r>
      <w:r>
        <w:t xml:space="preserve"> for a threat</w:t>
      </w:r>
      <w:r w:rsidRPr="00623791">
        <w:t xml:space="preserve">, then the provisions are not engaged in respect of </w:t>
      </w:r>
      <w:r>
        <w:t>that part.</w:t>
      </w:r>
      <w:r w:rsidRPr="00623791">
        <w:t xml:space="preserve"> The process is best explained with an example:</w:t>
      </w:r>
    </w:p>
    <w:tbl>
      <w:tblPr>
        <w:tblW w:w="0" w:type="auto"/>
        <w:jc w:val="center"/>
        <w:tblBorders>
          <w:top w:val="single" w:sz="8" w:space="0" w:color="0070C0"/>
          <w:left w:val="single" w:sz="8" w:space="0" w:color="0070C0"/>
          <w:bottom w:val="single" w:sz="8" w:space="0" w:color="0070C0"/>
          <w:right w:val="single" w:sz="8" w:space="0" w:color="0070C0"/>
        </w:tblBorders>
        <w:tblLook w:val="0000" w:firstRow="0" w:lastRow="0" w:firstColumn="0" w:lastColumn="0" w:noHBand="0" w:noVBand="0"/>
      </w:tblPr>
      <w:tblGrid>
        <w:gridCol w:w="6119"/>
      </w:tblGrid>
      <w:tr w:rsidR="009A43D0" w:rsidRPr="00234BEC" w14:paraId="5685AF9D" w14:textId="77777777" w:rsidTr="000112DC">
        <w:trPr>
          <w:trHeight w:val="945"/>
          <w:jc w:val="center"/>
        </w:trPr>
        <w:tc>
          <w:tcPr>
            <w:tcW w:w="6119" w:type="dxa"/>
            <w:tcBorders>
              <w:top w:val="single" w:sz="8" w:space="0" w:color="0070C0"/>
              <w:bottom w:val="single" w:sz="8" w:space="0" w:color="0070C0"/>
            </w:tcBorders>
          </w:tcPr>
          <w:p w14:paraId="36A0EBE0" w14:textId="1FD1C7BA" w:rsidR="009A43D0" w:rsidRPr="00234BEC" w:rsidRDefault="009A43D0" w:rsidP="002A4F6B">
            <w:pPr>
              <w:pStyle w:val="ParaMainText"/>
            </w:pPr>
            <w:r w:rsidRPr="00234BEC">
              <w:t>X Co sends a communication to Y shop as Y shop is retailing a product that X Co believes infringes its patent. The communication covers three issues. The fi</w:t>
            </w:r>
            <w:r>
              <w:t>rst is an opening paragraph i</w:t>
            </w:r>
            <w:r w:rsidRPr="00234BEC">
              <w:t>ntroducing the writer and ask</w:t>
            </w:r>
            <w:r>
              <w:t>ing</w:t>
            </w:r>
            <w:r w:rsidRPr="00234BEC">
              <w:t xml:space="preserve"> the re</w:t>
            </w:r>
            <w:r>
              <w:t>ader</w:t>
            </w:r>
            <w:r w:rsidRPr="00234BEC">
              <w:t xml:space="preserve"> if they would like to</w:t>
            </w:r>
            <w:r>
              <w:t xml:space="preserve"> be added to X Co</w:t>
            </w:r>
            <w:r w:rsidRPr="00234BEC">
              <w:t xml:space="preserve">’s Christmas catalogue list </w:t>
            </w:r>
            <w:r>
              <w:t xml:space="preserve">for a </w:t>
            </w:r>
            <w:r w:rsidRPr="00234BEC">
              <w:t>fantastic new range of products. The second notifies the re</w:t>
            </w:r>
            <w:r>
              <w:t>ader</w:t>
            </w:r>
            <w:r w:rsidRPr="00234BEC">
              <w:t xml:space="preserve"> of a patent it owns and asks the recipient to give details about the </w:t>
            </w:r>
            <w:r w:rsidR="00FC0C43">
              <w:t>manufacturer or importer</w:t>
            </w:r>
            <w:r w:rsidRPr="00234BEC">
              <w:t xml:space="preserve"> of the product </w:t>
            </w:r>
            <w:r>
              <w:t>mentioned</w:t>
            </w:r>
            <w:r w:rsidRPr="00234BEC">
              <w:t xml:space="preserve">.  The final piece of the communication is the transcript of a case brought by X Co for </w:t>
            </w:r>
            <w:r>
              <w:t xml:space="preserve">the </w:t>
            </w:r>
            <w:r w:rsidRPr="00234BEC">
              <w:t xml:space="preserve">infringement of an entirely different product.  X Co states that it has been included “just so you know”.  Y shop </w:t>
            </w:r>
            <w:r w:rsidR="002A4F6B">
              <w:t>takes legal action</w:t>
            </w:r>
            <w:r w:rsidR="00515E3D">
              <w:t xml:space="preserve"> under the threats provisions</w:t>
            </w:r>
            <w:r w:rsidRPr="00234BEC">
              <w:t>.</w:t>
            </w:r>
          </w:p>
        </w:tc>
      </w:tr>
    </w:tbl>
    <w:p w14:paraId="61AEFF90" w14:textId="77777777" w:rsidR="009A43D0" w:rsidRPr="00623791" w:rsidRDefault="009A43D0" w:rsidP="007B3E78">
      <w:pPr>
        <w:pStyle w:val="ParaNumbered"/>
        <w:numPr>
          <w:ilvl w:val="0"/>
          <w:numId w:val="0"/>
        </w:numPr>
      </w:pPr>
    </w:p>
    <w:p w14:paraId="118F15E0" w14:textId="77777777" w:rsidR="009A43D0" w:rsidRPr="00623791" w:rsidRDefault="009A43D0" w:rsidP="00476F11">
      <w:pPr>
        <w:pStyle w:val="ParaNumbered"/>
      </w:pPr>
      <w:r w:rsidRPr="00623791">
        <w:t xml:space="preserve">The first part of the communication would not satisfy the permitted </w:t>
      </w:r>
      <w:r w:rsidR="00E602CD">
        <w:t>communication conditions as it is</w:t>
      </w:r>
      <w:r w:rsidRPr="00623791">
        <w:t xml:space="preserve"> not made </w:t>
      </w:r>
      <w:r w:rsidR="00DD530A">
        <w:t>for any of the</w:t>
      </w:r>
      <w:r w:rsidRPr="00623791">
        <w:t xml:space="preserve"> permitted purpose</w:t>
      </w:r>
      <w:r w:rsidR="00DD530A">
        <w:t>s</w:t>
      </w:r>
      <w:r w:rsidRPr="00623791">
        <w:t xml:space="preserve"> and would, in any event, be unnecessary. However, it is not a threat within the meaning of section 70</w:t>
      </w:r>
      <w:r>
        <w:t xml:space="preserve"> and the threats provisions are not engaged</w:t>
      </w:r>
      <w:r w:rsidRPr="00623791">
        <w:t xml:space="preserve"> by reason of its inclusion. The second part </w:t>
      </w:r>
      <w:r>
        <w:t xml:space="preserve">could be taken to mean that </w:t>
      </w:r>
      <w:r w:rsidRPr="00623791">
        <w:t>Y shop m</w:t>
      </w:r>
      <w:r>
        <w:t>ight</w:t>
      </w:r>
      <w:r w:rsidRPr="00623791">
        <w:t xml:space="preserve"> be retailing infringing products and therefore </w:t>
      </w:r>
      <w:r>
        <w:t xml:space="preserve">is </w:t>
      </w:r>
      <w:r w:rsidRPr="00623791">
        <w:t xml:space="preserve">at risk of being sued. However, </w:t>
      </w:r>
      <w:r w:rsidR="00FC0C43">
        <w:t>whether X Co intended it or not</w:t>
      </w:r>
      <w:r w:rsidR="00A56509">
        <w:t>,</w:t>
      </w:r>
      <w:r w:rsidR="00FC0C43">
        <w:t xml:space="preserve"> </w:t>
      </w:r>
      <w:r w:rsidRPr="00623791">
        <w:t xml:space="preserve">it is made for the permitted purpose of tracking down the primary actor and the information given is necessary for that purpose. Provided the </w:t>
      </w:r>
      <w:r>
        <w:t>communicator</w:t>
      </w:r>
      <w:r w:rsidRPr="00623791">
        <w:t xml:space="preserve"> can show they reasonably believe </w:t>
      </w:r>
      <w:r w:rsidR="00FC0C43">
        <w:t xml:space="preserve">the information relayed </w:t>
      </w:r>
      <w:r w:rsidRPr="00623791">
        <w:t>to be true, the threat is permitted.</w:t>
      </w:r>
    </w:p>
    <w:p w14:paraId="3946EEB1" w14:textId="77777777" w:rsidR="009A43D0" w:rsidRPr="00623791" w:rsidRDefault="009A43D0" w:rsidP="00476F11">
      <w:pPr>
        <w:pStyle w:val="ParaNumbered"/>
      </w:pPr>
      <w:r w:rsidRPr="00623791">
        <w:t>The final part of the</w:t>
      </w:r>
      <w:r>
        <w:t xml:space="preserve"> communication</w:t>
      </w:r>
      <w:r w:rsidRPr="00623791">
        <w:t xml:space="preserve"> provides information that is not necessary for </w:t>
      </w:r>
      <w:r w:rsidR="00DD530A">
        <w:t>that</w:t>
      </w:r>
      <w:r w:rsidRPr="00623791">
        <w:t xml:space="preserve"> permitted purpose and does not come within any other</w:t>
      </w:r>
      <w:r w:rsidR="0008456A">
        <w:t xml:space="preserve"> permitted purpose</w:t>
      </w:r>
      <w:r w:rsidRPr="00623791">
        <w:t xml:space="preserve">. </w:t>
      </w:r>
      <w:r>
        <w:t>Applying section 70 i</w:t>
      </w:r>
      <w:r w:rsidRPr="00623791">
        <w:t>t is a</w:t>
      </w:r>
      <w:r>
        <w:t>n implied</w:t>
      </w:r>
      <w:r w:rsidRPr="00623791">
        <w:t xml:space="preserve"> threat and unless some other exclusion applies it is actionable. </w:t>
      </w:r>
    </w:p>
    <w:p w14:paraId="713FDE9B" w14:textId="77777777" w:rsidR="009A43D0" w:rsidRPr="00623791" w:rsidRDefault="009A43D0" w:rsidP="00C978BE">
      <w:pPr>
        <w:pStyle w:val="Heading4"/>
      </w:pPr>
      <w:bookmarkStart w:id="45" w:name="_Toc451382136"/>
      <w:r w:rsidRPr="00623791">
        <w:t>Guidance</w:t>
      </w:r>
      <w:bookmarkEnd w:id="45"/>
    </w:p>
    <w:p w14:paraId="3A4BC623" w14:textId="77777777" w:rsidR="009A43D0" w:rsidRPr="00623791" w:rsidRDefault="009A43D0" w:rsidP="00476F11">
      <w:pPr>
        <w:pStyle w:val="ParaNumbered"/>
      </w:pPr>
      <w:r w:rsidRPr="00623791">
        <w:t xml:space="preserve">Section 70B, and equivalents, provide </w:t>
      </w:r>
      <w:r>
        <w:t>a l</w:t>
      </w:r>
      <w:r w:rsidRPr="00623791">
        <w:t>ist of permitted purposes at subsection (2)</w:t>
      </w:r>
      <w:r>
        <w:t>. S</w:t>
      </w:r>
      <w:r w:rsidRPr="00623791">
        <w:t>ubsection (4)</w:t>
      </w:r>
      <w:r>
        <w:t xml:space="preserve"> states what cannot </w:t>
      </w:r>
      <w:r w:rsidRPr="00623791">
        <w:t xml:space="preserve">be a permitted purpose </w:t>
      </w:r>
      <w:r>
        <w:t>and s</w:t>
      </w:r>
      <w:r w:rsidRPr="00623791">
        <w:t xml:space="preserve">ubsection (5) contains examples of the types of information that may be regarded as necessary for a purpose. </w:t>
      </w:r>
    </w:p>
    <w:p w14:paraId="07FD00DD" w14:textId="77777777" w:rsidR="009A43D0" w:rsidRPr="00623791" w:rsidRDefault="009A43D0" w:rsidP="00476F11">
      <w:pPr>
        <w:pStyle w:val="ParaNumbered"/>
      </w:pPr>
      <w:r w:rsidRPr="00623791">
        <w:t>The list</w:t>
      </w:r>
      <w:r>
        <w:t xml:space="preserve"> of </w:t>
      </w:r>
      <w:r w:rsidRPr="00623791">
        <w:t>information that may be regarded as necessary for a purpose differs slightly according to the right in question</w:t>
      </w:r>
      <w:r>
        <w:t xml:space="preserve">. Different </w:t>
      </w:r>
      <w:r w:rsidRPr="00623791">
        <w:t xml:space="preserve">information may be necessary </w:t>
      </w:r>
      <w:r>
        <w:t>for different rights</w:t>
      </w:r>
      <w:r w:rsidRPr="00623791">
        <w:t>. Whatever information is given it must be accurate and not mislead, for example</w:t>
      </w:r>
      <w:r>
        <w:t>,</w:t>
      </w:r>
      <w:r w:rsidRPr="00623791">
        <w:t xml:space="preserve"> by the omission of details </w:t>
      </w:r>
      <w:r>
        <w:t>causing</w:t>
      </w:r>
      <w:r w:rsidRPr="00623791">
        <w:t xml:space="preserve"> the right </w:t>
      </w:r>
      <w:r>
        <w:t xml:space="preserve">to </w:t>
      </w:r>
      <w:r w:rsidRPr="00623791">
        <w:t xml:space="preserve">appear to be of wider scope than it actually is. </w:t>
      </w:r>
    </w:p>
    <w:p w14:paraId="1016D117" w14:textId="77777777" w:rsidR="009A43D0" w:rsidRPr="00623791" w:rsidRDefault="009A43D0" w:rsidP="00C978BE">
      <w:pPr>
        <w:pStyle w:val="Heading4"/>
      </w:pPr>
      <w:bookmarkStart w:id="46" w:name="_Toc451382137"/>
      <w:r w:rsidRPr="00623791">
        <w:t>New permitted purposes</w:t>
      </w:r>
      <w:bookmarkEnd w:id="46"/>
    </w:p>
    <w:p w14:paraId="566018AD" w14:textId="77777777" w:rsidR="009A43D0" w:rsidRPr="00623791" w:rsidRDefault="009A43D0" w:rsidP="00476F11">
      <w:pPr>
        <w:pStyle w:val="ParaNumbered"/>
      </w:pPr>
      <w:r w:rsidRPr="00623791">
        <w:t>The court is given a power at subsection (3) to add to the list of permitted purposes</w:t>
      </w:r>
      <w:r>
        <w:t xml:space="preserve"> under subsection (2)</w:t>
      </w:r>
      <w:r w:rsidRPr="00623791">
        <w:t>. This is to ensure that the permitted purposes exception provides sufficient guidance as to what may be said and when</w:t>
      </w:r>
      <w:r>
        <w:t>,</w:t>
      </w:r>
      <w:r w:rsidRPr="00623791">
        <w:t xml:space="preserve"> without falling into the trap of being overly prescriptive and inflexible. It also means that the law can develop over time to better reflect surrounding circumstances as they change. Any new purpose must be similar in nature to those already listed and must be necessary in the interests of justice. We expect that any enlargement of the list will be incremental and will continue to reflect the principle that communication with a secondary </w:t>
      </w:r>
      <w:r>
        <w:t xml:space="preserve">actor </w:t>
      </w:r>
      <w:r w:rsidRPr="00623791">
        <w:t xml:space="preserve">is exceptional. </w:t>
      </w:r>
    </w:p>
    <w:p w14:paraId="3F9F7CF7" w14:textId="77777777" w:rsidR="009A43D0" w:rsidRDefault="009A43D0" w:rsidP="00C978BE">
      <w:pPr>
        <w:pStyle w:val="Heading2"/>
      </w:pPr>
      <w:bookmarkStart w:id="47" w:name="_Toc451382138"/>
      <w:r>
        <w:t>Section 70C: remedies and defences</w:t>
      </w:r>
      <w:bookmarkEnd w:id="47"/>
    </w:p>
    <w:p w14:paraId="6489DA95" w14:textId="77777777" w:rsidR="009A43D0" w:rsidRPr="00623791" w:rsidRDefault="009A43D0" w:rsidP="00C978BE">
      <w:pPr>
        <w:pStyle w:val="Heading3"/>
      </w:pPr>
      <w:bookmarkStart w:id="48" w:name="_Toc451382139"/>
      <w:r>
        <w:t>R</w:t>
      </w:r>
      <w:r w:rsidRPr="00623791">
        <w:t>emedies</w:t>
      </w:r>
      <w:bookmarkEnd w:id="48"/>
    </w:p>
    <w:p w14:paraId="17937194" w14:textId="77777777" w:rsidR="009A43D0" w:rsidRPr="00623791" w:rsidRDefault="009A43D0" w:rsidP="00476F11">
      <w:pPr>
        <w:pStyle w:val="ParaNumbered"/>
      </w:pPr>
      <w:r w:rsidRPr="00623791">
        <w:t>The remedies, as set out at section 70C(1)</w:t>
      </w:r>
      <w:r>
        <w:t xml:space="preserve"> </w:t>
      </w:r>
      <w:r w:rsidRPr="00623791">
        <w:t xml:space="preserve"> and equivalents</w:t>
      </w:r>
      <w:r>
        <w:t xml:space="preserve"> remain the same as under </w:t>
      </w:r>
      <w:r w:rsidRPr="00623791">
        <w:t>the current law.</w:t>
      </w:r>
      <w:r w:rsidRPr="00515CE0">
        <w:t xml:space="preserve"> </w:t>
      </w:r>
      <w:r w:rsidRPr="00F12788">
        <w:rPr>
          <w:vertAlign w:val="superscript"/>
        </w:rPr>
        <w:footnoteReference w:id="19"/>
      </w:r>
      <w:r w:rsidRPr="00623791">
        <w:t xml:space="preserve">  </w:t>
      </w:r>
    </w:p>
    <w:p w14:paraId="0E790061" w14:textId="307B92A4" w:rsidR="009A43D0" w:rsidRPr="00623791" w:rsidRDefault="009A43D0" w:rsidP="00476F11">
      <w:pPr>
        <w:pStyle w:val="ParaNumbered"/>
      </w:pPr>
      <w:r w:rsidRPr="00623791">
        <w:t xml:space="preserve">An injunction </w:t>
      </w:r>
      <w:r>
        <w:t xml:space="preserve">to stop the threats </w:t>
      </w:r>
      <w:r w:rsidRPr="00623791">
        <w:t xml:space="preserve">may be obtained as an interim </w:t>
      </w:r>
      <w:r w:rsidR="00FF1AB5">
        <w:t>remedy (before</w:t>
      </w:r>
      <w:r w:rsidR="00515E3D">
        <w:t xml:space="preserve"> the court makes a final decision in the case</w:t>
      </w:r>
      <w:r w:rsidR="00FF1AB5">
        <w:t xml:space="preserve">) </w:t>
      </w:r>
      <w:r w:rsidRPr="00623791">
        <w:t>or final remedy</w:t>
      </w:r>
      <w:r w:rsidR="00D553FA">
        <w:t xml:space="preserve"> </w:t>
      </w:r>
      <w:r w:rsidR="00FF1AB5">
        <w:t>(</w:t>
      </w:r>
      <w:r w:rsidR="00515E3D">
        <w:t>when the proceedings are concluded</w:t>
      </w:r>
      <w:r w:rsidR="00FF1AB5">
        <w:t>)</w:t>
      </w:r>
      <w:r w:rsidRPr="00623791">
        <w:t>. Damages are awarded for the damage caused by the threat and which are the natural and reasonable consequences of the defendant’s acts.</w:t>
      </w:r>
      <w:r w:rsidRPr="00F12788">
        <w:rPr>
          <w:vertAlign w:val="superscript"/>
        </w:rPr>
        <w:footnoteReference w:id="20"/>
      </w:r>
      <w:r w:rsidRPr="00623791">
        <w:t xml:space="preserve"> The successful claimant may also apply for a declaration that the threats were unjustified. </w:t>
      </w:r>
    </w:p>
    <w:p w14:paraId="531032E6" w14:textId="77777777" w:rsidR="009A43D0" w:rsidRPr="00623791" w:rsidRDefault="009A43D0" w:rsidP="00C978BE">
      <w:pPr>
        <w:pStyle w:val="Heading3"/>
      </w:pPr>
      <w:bookmarkStart w:id="49" w:name="_Toc451382140"/>
      <w:r w:rsidRPr="00623791">
        <w:t>Defences</w:t>
      </w:r>
      <w:bookmarkEnd w:id="49"/>
      <w:r w:rsidRPr="00623791">
        <w:t xml:space="preserve"> </w:t>
      </w:r>
    </w:p>
    <w:p w14:paraId="2F7D7B18" w14:textId="0FB57AB8" w:rsidR="009A43D0" w:rsidRPr="00623791" w:rsidRDefault="009A43D0" w:rsidP="00476F11">
      <w:pPr>
        <w:pStyle w:val="ParaNumbered"/>
      </w:pPr>
      <w:r w:rsidRPr="00623791">
        <w:t xml:space="preserve">Section 70C(3) and (4) set out the two statutory defences available to the defendant. </w:t>
      </w:r>
      <w:r w:rsidRPr="00623791">
        <w:tab/>
      </w:r>
    </w:p>
    <w:p w14:paraId="7BE823E1" w14:textId="77777777" w:rsidR="009A43D0" w:rsidRPr="00623791" w:rsidRDefault="009A43D0" w:rsidP="00C978BE">
      <w:pPr>
        <w:pStyle w:val="Heading4"/>
      </w:pPr>
      <w:bookmarkStart w:id="50" w:name="_Toc451382141"/>
      <w:r w:rsidRPr="00623791">
        <w:t>The justification defence</w:t>
      </w:r>
      <w:bookmarkEnd w:id="50"/>
    </w:p>
    <w:p w14:paraId="13B5589D" w14:textId="77777777" w:rsidR="009A43D0" w:rsidRPr="00623791" w:rsidRDefault="009A43D0" w:rsidP="00476F11">
      <w:pPr>
        <w:pStyle w:val="ParaNumbered"/>
      </w:pPr>
      <w:r w:rsidRPr="00623791">
        <w:t>Section 70C(3) and equivalents</w:t>
      </w:r>
      <w:r>
        <w:t>,</w:t>
      </w:r>
      <w:r w:rsidRPr="00F12788">
        <w:rPr>
          <w:vertAlign w:val="superscript"/>
        </w:rPr>
        <w:footnoteReference w:id="21"/>
      </w:r>
      <w:r w:rsidRPr="00623791">
        <w:t xml:space="preserve"> replicate the </w:t>
      </w:r>
      <w:r>
        <w:t xml:space="preserve">current </w:t>
      </w:r>
      <w:r w:rsidRPr="00623791">
        <w:t xml:space="preserve">justification defence with one change. </w:t>
      </w:r>
      <w:r>
        <w:t xml:space="preserve">A threat is justified, and the threatener therefore has a defence, </w:t>
      </w:r>
      <w:r w:rsidRPr="00623791">
        <w:t>where it can be shown that the acts in respect of which the threat was mad</w:t>
      </w:r>
      <w:r>
        <w:t>e were, or would be, infringing</w:t>
      </w:r>
      <w:r w:rsidRPr="00623791">
        <w:t>. However,</w:t>
      </w:r>
      <w:r>
        <w:t xml:space="preserve"> in its current form, the defence provides that </w:t>
      </w:r>
      <w:r w:rsidRPr="00623791">
        <w:t xml:space="preserve">the </w:t>
      </w:r>
      <w:r>
        <w:t>person aggrieved may still obtain a remedy</w:t>
      </w:r>
      <w:r w:rsidRPr="00623791">
        <w:t xml:space="preserve"> if </w:t>
      </w:r>
      <w:r>
        <w:t>it is shown that t</w:t>
      </w:r>
      <w:r w:rsidRPr="00623791">
        <w:t>he right in question is invalid in a relevant respect. This part is omitted in the new subsections. An invalid right cannot be infringed; therefore a threat made in respect of it cannot be justified.</w:t>
      </w:r>
      <w:r w:rsidRPr="00F12788">
        <w:rPr>
          <w:vertAlign w:val="superscript"/>
        </w:rPr>
        <w:footnoteReference w:id="22"/>
      </w:r>
      <w:r w:rsidRPr="00623791">
        <w:t xml:space="preserve">  Where a justification defence is raised it is </w:t>
      </w:r>
      <w:r>
        <w:t>common</w:t>
      </w:r>
      <w:r w:rsidRPr="00623791">
        <w:t xml:space="preserve"> practice to challenge the validity of the right in issue </w:t>
      </w:r>
      <w:r>
        <w:t>where that is in doubt.</w:t>
      </w:r>
      <w:r w:rsidRPr="00623791">
        <w:t xml:space="preserve"> Therefore, stating the principle is unnecessary.</w:t>
      </w:r>
    </w:p>
    <w:p w14:paraId="2F154BD7" w14:textId="77777777" w:rsidR="009A43D0" w:rsidRPr="00623791" w:rsidRDefault="009A43D0" w:rsidP="00C978BE">
      <w:pPr>
        <w:pStyle w:val="Heading4"/>
      </w:pPr>
      <w:bookmarkStart w:id="51" w:name="_Toc451382142"/>
      <w:r w:rsidRPr="00623791">
        <w:t xml:space="preserve">Defence where </w:t>
      </w:r>
      <w:r w:rsidR="00E602CD">
        <w:t>no</w:t>
      </w:r>
      <w:r w:rsidRPr="00623791">
        <w:t xml:space="preserve"> primary actor can be found</w:t>
      </w:r>
      <w:bookmarkEnd w:id="51"/>
    </w:p>
    <w:p w14:paraId="5F0B318C" w14:textId="77777777" w:rsidR="009A43D0" w:rsidRPr="00623791" w:rsidRDefault="009A43D0" w:rsidP="00476F11">
      <w:pPr>
        <w:pStyle w:val="ParaNumbered"/>
      </w:pPr>
      <w:r w:rsidRPr="00623791">
        <w:t>Section 70C(4) replicates a defence introduced by the 2004 reforms for patents. The equivalent sections extend the defence to trade marks and designs.</w:t>
      </w:r>
      <w:r w:rsidRPr="00F12788">
        <w:rPr>
          <w:vertAlign w:val="superscript"/>
        </w:rPr>
        <w:footnoteReference w:id="23"/>
      </w:r>
    </w:p>
    <w:p w14:paraId="4B78BBC6" w14:textId="77777777" w:rsidR="009A43D0" w:rsidRDefault="009A43D0" w:rsidP="00476F11">
      <w:pPr>
        <w:pStyle w:val="ParaNumbered"/>
      </w:pPr>
      <w:r w:rsidRPr="00623791">
        <w:t>A</w:t>
      </w:r>
      <w:r w:rsidR="00553065">
        <w:t>n established</w:t>
      </w:r>
      <w:r w:rsidRPr="00623791">
        <w:t xml:space="preserve"> principle behind the threats provisions is that </w:t>
      </w:r>
      <w:r>
        <w:t xml:space="preserve">where </w:t>
      </w:r>
      <w:r w:rsidRPr="00623791">
        <w:t>threats</w:t>
      </w:r>
      <w:r>
        <w:t xml:space="preserve"> to sue become necessary they should </w:t>
      </w:r>
      <w:r w:rsidRPr="00623791">
        <w:t xml:space="preserve">be directed to the primary actor. </w:t>
      </w:r>
      <w:r>
        <w:t xml:space="preserve">In certain circumstances, someone who threatens a secondary actor may have a defence where no primary actor can be identified in respect of the right in question. </w:t>
      </w:r>
    </w:p>
    <w:p w14:paraId="71C874B1" w14:textId="77777777" w:rsidR="009A43D0" w:rsidRDefault="009A43D0" w:rsidP="00476F11">
      <w:pPr>
        <w:pStyle w:val="ParaNumbered"/>
      </w:pPr>
      <w:r>
        <w:t>Provided that either before or at the time the threat is made the recipient has been informed of the steps taken to find the primary actor, the threatener may rely on the defence.</w:t>
      </w:r>
      <w:r w:rsidRPr="007A6EFE">
        <w:t xml:space="preserve"> </w:t>
      </w:r>
      <w:r>
        <w:t>Where appropriate, one such step is the use of the permitted communication</w:t>
      </w:r>
      <w:r w:rsidR="002F6B94">
        <w:t>s</w:t>
      </w:r>
      <w:r>
        <w:t xml:space="preserve"> exception to </w:t>
      </w:r>
      <w:r w:rsidR="00584C91">
        <w:t xml:space="preserve">discover whether a primary act has been committed and by whom. </w:t>
      </w:r>
      <w:r>
        <w:t xml:space="preserve"> For example, a supplier may be asked for information about the importer of the products it supplies.</w:t>
      </w:r>
    </w:p>
    <w:p w14:paraId="32319B5E" w14:textId="575285C1" w:rsidR="009A43D0" w:rsidRPr="00623791" w:rsidRDefault="009A43D0" w:rsidP="00476F11">
      <w:pPr>
        <w:pStyle w:val="ParaNumbered"/>
      </w:pPr>
      <w:r w:rsidRPr="000A7ADE">
        <w:t xml:space="preserve">The </w:t>
      </w:r>
      <w:r>
        <w:t xml:space="preserve">defence currently provides that </w:t>
      </w:r>
      <w:r w:rsidRPr="000A7ADE">
        <w:t xml:space="preserve">the threatener </w:t>
      </w:r>
      <w:r>
        <w:t>must</w:t>
      </w:r>
      <w:r w:rsidRPr="000A7ADE">
        <w:t xml:space="preserve"> have used </w:t>
      </w:r>
      <w:r w:rsidR="0012054F">
        <w:t>“</w:t>
      </w:r>
      <w:r w:rsidRPr="000A7ADE">
        <w:t>best endeavours</w:t>
      </w:r>
      <w:r w:rsidR="0012054F">
        <w:t>”</w:t>
      </w:r>
      <w:r w:rsidRPr="000A7ADE">
        <w:t xml:space="preserve"> to</w:t>
      </w:r>
      <w:r>
        <w:t xml:space="preserve"> identify </w:t>
      </w:r>
      <w:r w:rsidRPr="000A7ADE">
        <w:t xml:space="preserve">the primary actor. This has led to confusion about what must be done before the defence is available. </w:t>
      </w:r>
      <w:r>
        <w:t xml:space="preserve">Section 70C(4) and the equivalents use simpler language. </w:t>
      </w:r>
      <w:r w:rsidR="00584C91">
        <w:t>For the defence to apply, t</w:t>
      </w:r>
      <w:r w:rsidRPr="000A7ADE">
        <w:t xml:space="preserve">he threatener </w:t>
      </w:r>
      <w:r>
        <w:t xml:space="preserve">must have taken </w:t>
      </w:r>
      <w:r w:rsidRPr="000A7ADE">
        <w:t>“all reasonable steps”</w:t>
      </w:r>
      <w:r w:rsidR="00584C91">
        <w:t xml:space="preserve"> but failed to find anyone who has carried out, or intends </w:t>
      </w:r>
      <w:r w:rsidR="00584C91" w:rsidRPr="000A7ADE">
        <w:t>to</w:t>
      </w:r>
      <w:r w:rsidRPr="000A7ADE">
        <w:t xml:space="preserve"> </w:t>
      </w:r>
      <w:r w:rsidR="00584C91">
        <w:t>carry out, a primary act.</w:t>
      </w:r>
      <w:r>
        <w:t xml:space="preserve"> If there are several possible lines of enquiry all must be pursued.</w:t>
      </w:r>
      <w:r w:rsidRPr="002966BE">
        <w:t xml:space="preserve"> </w:t>
      </w:r>
      <w:r w:rsidR="00584C91">
        <w:t>Returning to the example, w</w:t>
      </w:r>
      <w:r>
        <w:t>here no importer of the product can be identified after taking all reasonable steps, the suppl</w:t>
      </w:r>
      <w:r w:rsidR="002F6B94">
        <w:t>i</w:t>
      </w:r>
      <w:r>
        <w:t xml:space="preserve">er may be threatened. However, if the steps taken identify one primary actor the defence is no longer available. This is the case even where it </w:t>
      </w:r>
      <w:r w:rsidR="00584C91">
        <w:t xml:space="preserve">may appear likely that </w:t>
      </w:r>
      <w:r>
        <w:t>there is more than</w:t>
      </w:r>
      <w:r w:rsidR="00A277D1">
        <w:t xml:space="preserve"> one</w:t>
      </w:r>
      <w:r w:rsidR="00584C91">
        <w:t xml:space="preserve"> importer of</w:t>
      </w:r>
      <w:r>
        <w:t xml:space="preserve"> the product.  </w:t>
      </w:r>
    </w:p>
    <w:p w14:paraId="342242BC" w14:textId="77777777" w:rsidR="009A43D0" w:rsidRDefault="009A43D0" w:rsidP="00C978BE">
      <w:pPr>
        <w:pStyle w:val="Heading2"/>
      </w:pPr>
      <w:bookmarkStart w:id="52" w:name="_Toc451382143"/>
      <w:r w:rsidRPr="00C978BE">
        <w:t>Section</w:t>
      </w:r>
      <w:r>
        <w:t xml:space="preserve"> 70D:</w:t>
      </w:r>
      <w:r w:rsidRPr="00001318">
        <w:t xml:space="preserve"> </w:t>
      </w:r>
      <w:r>
        <w:t>p</w:t>
      </w:r>
      <w:r w:rsidRPr="00001318">
        <w:t>rofessional advisers</w:t>
      </w:r>
      <w:bookmarkEnd w:id="52"/>
    </w:p>
    <w:p w14:paraId="2166FB1E" w14:textId="77777777" w:rsidR="009A43D0" w:rsidRPr="00623791" w:rsidRDefault="009A43D0" w:rsidP="00001318">
      <w:pPr>
        <w:pStyle w:val="Heading3"/>
      </w:pPr>
      <w:bookmarkStart w:id="53" w:name="_Toc451382144"/>
      <w:r>
        <w:t>Protection</w:t>
      </w:r>
      <w:bookmarkEnd w:id="53"/>
      <w:r>
        <w:t xml:space="preserve"> </w:t>
      </w:r>
    </w:p>
    <w:p w14:paraId="06BC790E" w14:textId="0516BD46" w:rsidR="009A43D0" w:rsidRDefault="002A4F6B" w:rsidP="00EC70CF">
      <w:pPr>
        <w:pStyle w:val="ParaNumbered"/>
      </w:pPr>
      <w:r>
        <w:t xml:space="preserve">Taking legal action </w:t>
      </w:r>
      <w:r w:rsidRPr="00623791">
        <w:t>against professional advisers</w:t>
      </w:r>
      <w:r>
        <w:t xml:space="preserve"> </w:t>
      </w:r>
      <w:r w:rsidR="00515E3D">
        <w:t>under the threats provisions</w:t>
      </w:r>
      <w:r>
        <w:t xml:space="preserve"> - </w:t>
      </w:r>
      <w:r w:rsidR="009A43D0">
        <w:t>when used as a tactic to disrupt relations between adviser and</w:t>
      </w:r>
      <w:r w:rsidR="009A43D0" w:rsidRPr="00623791">
        <w:t xml:space="preserve"> </w:t>
      </w:r>
      <w:r>
        <w:t>client -</w:t>
      </w:r>
      <w:r w:rsidR="009A43D0">
        <w:t xml:space="preserve"> re</w:t>
      </w:r>
      <w:r w:rsidR="009A43D0" w:rsidRPr="00623791">
        <w:t>present</w:t>
      </w:r>
      <w:r w:rsidR="00E50BD0">
        <w:t>s</w:t>
      </w:r>
      <w:r w:rsidR="009A43D0" w:rsidRPr="00623791">
        <w:t xml:space="preserve"> a significant and potentially damaging misuse of the current provisions. </w:t>
      </w:r>
      <w:r w:rsidR="009A43D0">
        <w:t>Professional advisers are at risk of incurring personal liability because any person can be sued f</w:t>
      </w:r>
      <w:r w:rsidR="008036B6">
        <w:t>or making a threat (not just the rights holder)</w:t>
      </w:r>
      <w:r w:rsidR="009A43D0">
        <w:t xml:space="preserve"> and c</w:t>
      </w:r>
      <w:r w:rsidR="009A43D0" w:rsidRPr="00623791">
        <w:t>ommunication with a secondary actor is often made through a professional adviser.</w:t>
      </w:r>
    </w:p>
    <w:p w14:paraId="077CC8AF" w14:textId="77777777" w:rsidR="00F07EB2" w:rsidRDefault="005009A0" w:rsidP="00EC70CF">
      <w:pPr>
        <w:pStyle w:val="ParaNumbered"/>
      </w:pPr>
      <w:r>
        <w:t>S</w:t>
      </w:r>
      <w:r w:rsidR="009A43D0">
        <w:t>ection 70D and the equivalents introduce a new protection for professional advisers</w:t>
      </w:r>
      <w:r w:rsidR="001A4B8A">
        <w:t xml:space="preserve"> not present in the current law</w:t>
      </w:r>
      <w:r w:rsidR="009A43D0">
        <w:t xml:space="preserve">. </w:t>
      </w:r>
      <w:r w:rsidRPr="00623791">
        <w:t>The sections do not affect the liability for threats attaching to the client</w:t>
      </w:r>
      <w:r>
        <w:t xml:space="preserve"> on whose instructions the adviser acts, nor do they</w:t>
      </w:r>
      <w:r w:rsidRPr="00623791">
        <w:t xml:space="preserve"> alter th</w:t>
      </w:r>
      <w:r>
        <w:t xml:space="preserve">e underlying position that anyone </w:t>
      </w:r>
      <w:r w:rsidR="00F07EB2">
        <w:t xml:space="preserve">(not just the rights holder) </w:t>
      </w:r>
      <w:r>
        <w:t>is capable of making a threat</w:t>
      </w:r>
      <w:r w:rsidR="00F07EB2">
        <w:t xml:space="preserve">. </w:t>
      </w:r>
    </w:p>
    <w:p w14:paraId="592B96B2" w14:textId="77777777" w:rsidR="009A43D0" w:rsidRPr="00623791" w:rsidRDefault="009A43D0" w:rsidP="00EC70CF">
      <w:pPr>
        <w:pStyle w:val="ParaNumbered"/>
      </w:pPr>
      <w:r>
        <w:t xml:space="preserve">The sections </w:t>
      </w:r>
      <w:r w:rsidR="001A4B8A">
        <w:t xml:space="preserve">provide a </w:t>
      </w:r>
      <w:r>
        <w:t xml:space="preserve">shield for </w:t>
      </w:r>
      <w:r w:rsidR="001A4B8A">
        <w:t xml:space="preserve">professional </w:t>
      </w:r>
      <w:r>
        <w:t xml:space="preserve">advisers where they satisfy the necessary conditions. The party claiming the protection of the section must come within the definition of </w:t>
      </w:r>
      <w:r w:rsidR="00EB6470">
        <w:t>“</w:t>
      </w:r>
      <w:r>
        <w:t>professional adviser</w:t>
      </w:r>
      <w:r w:rsidR="00EB6470">
        <w:t>”</w:t>
      </w:r>
      <w:r>
        <w:t xml:space="preserve"> at section 70D(2) and equivalents. They must also satisfy the conditions set out at section 70D(3) and equivalents. Where a party cannot do this</w:t>
      </w:r>
      <w:r w:rsidR="008036B6">
        <w:t>,</w:t>
      </w:r>
      <w:r>
        <w:t xml:space="preserve"> the protection is not available.</w:t>
      </w:r>
    </w:p>
    <w:p w14:paraId="7841228C" w14:textId="77777777" w:rsidR="009A43D0" w:rsidRPr="00623791" w:rsidRDefault="009A43D0" w:rsidP="00E80594">
      <w:pPr>
        <w:pStyle w:val="ParaNumbered"/>
      </w:pPr>
      <w:r w:rsidRPr="00623791">
        <w:t>Th</w:t>
      </w:r>
      <w:r>
        <w:t xml:space="preserve">e requirement that an adviser is regulated in the provision of services by a regulatory body </w:t>
      </w:r>
      <w:r w:rsidRPr="00623791">
        <w:t xml:space="preserve">ensures that any misconduct by the adviser can be dealt with </w:t>
      </w:r>
      <w:r>
        <w:t xml:space="preserve">as a professional conduct matter. </w:t>
      </w:r>
      <w:r w:rsidRPr="00623791">
        <w:t>Some advisers may cho</w:t>
      </w:r>
      <w:r w:rsidR="00A53F46">
        <w:t>o</w:t>
      </w:r>
      <w:r w:rsidRPr="00623791">
        <w:t xml:space="preserve">se not to join a regulatory body, in which case the protection </w:t>
      </w:r>
      <w:r>
        <w:t>is</w:t>
      </w:r>
      <w:r w:rsidRPr="00623791">
        <w:t xml:space="preserve"> not available. </w:t>
      </w:r>
      <w:r>
        <w:t xml:space="preserve">It is for the adviser claiming the protection to show that </w:t>
      </w:r>
      <w:r w:rsidRPr="00623791">
        <w:t xml:space="preserve">the </w:t>
      </w:r>
      <w:r>
        <w:t xml:space="preserve">necessary </w:t>
      </w:r>
      <w:r w:rsidRPr="00623791">
        <w:t xml:space="preserve">conditions are satisfied.  </w:t>
      </w:r>
    </w:p>
    <w:p w14:paraId="75D746AC" w14:textId="77777777" w:rsidR="009A43D0" w:rsidRPr="00623791" w:rsidRDefault="009A43D0" w:rsidP="00C978BE">
      <w:pPr>
        <w:pStyle w:val="Heading4"/>
      </w:pPr>
      <w:bookmarkStart w:id="54" w:name="_Toc451382145"/>
      <w:r w:rsidRPr="00623791">
        <w:t>Not limited to UK advisers</w:t>
      </w:r>
      <w:bookmarkEnd w:id="54"/>
    </w:p>
    <w:p w14:paraId="5EBF3163" w14:textId="77777777" w:rsidR="009A43D0" w:rsidRDefault="009A43D0" w:rsidP="00476F11">
      <w:pPr>
        <w:pStyle w:val="ParaNumbered"/>
      </w:pPr>
      <w:r w:rsidRPr="00623791">
        <w:t xml:space="preserve">The </w:t>
      </w:r>
      <w:r>
        <w:t xml:space="preserve">protection for professional advisers is not restricted to UK or EU advisers but applies to those advisers as defined by the section and where the necessary conditions are met.  </w:t>
      </w:r>
    </w:p>
    <w:p w14:paraId="67D69B5F" w14:textId="77777777" w:rsidR="009A43D0" w:rsidRPr="00623791" w:rsidRDefault="009A43D0" w:rsidP="00C978BE">
      <w:pPr>
        <w:pStyle w:val="Heading2"/>
      </w:pPr>
      <w:bookmarkStart w:id="55" w:name="_Toc451382146"/>
      <w:r>
        <w:t>Sections 70E and 70F: supplementary</w:t>
      </w:r>
      <w:bookmarkEnd w:id="55"/>
      <w:r>
        <w:t xml:space="preserve"> </w:t>
      </w:r>
    </w:p>
    <w:p w14:paraId="2F1387BF" w14:textId="77777777" w:rsidR="009A43D0" w:rsidRPr="00623791" w:rsidRDefault="009A43D0" w:rsidP="00C978BE">
      <w:pPr>
        <w:pStyle w:val="Heading3"/>
      </w:pPr>
      <w:bookmarkStart w:id="56" w:name="_Toc451382147"/>
      <w:r w:rsidRPr="00623791">
        <w:t>Registered rights pending grant</w:t>
      </w:r>
      <w:bookmarkEnd w:id="56"/>
    </w:p>
    <w:p w14:paraId="1B4B6402" w14:textId="77777777" w:rsidR="009A43D0" w:rsidRPr="00623791" w:rsidRDefault="009A43D0" w:rsidP="00476F11">
      <w:pPr>
        <w:pStyle w:val="ParaNumbered"/>
      </w:pPr>
      <w:r>
        <w:t>F</w:t>
      </w:r>
      <w:r w:rsidRPr="00623791">
        <w:t xml:space="preserve">or patents, </w:t>
      </w:r>
      <w:r>
        <w:t xml:space="preserve">the law is clear that where a threat to sue for an infringement is made before </w:t>
      </w:r>
      <w:r w:rsidR="00FF1AB5">
        <w:t xml:space="preserve">the patent has been </w:t>
      </w:r>
      <w:r>
        <w:t>grant</w:t>
      </w:r>
      <w:r w:rsidR="00FF1AB5">
        <w:t>ed</w:t>
      </w:r>
      <w:r>
        <w:t xml:space="preserve"> (and in respect of an infringement that occurred before grant) the threat is understood to mean </w:t>
      </w:r>
      <w:r w:rsidR="00A53F46">
        <w:t xml:space="preserve">that </w:t>
      </w:r>
      <w:r>
        <w:t>proceedings will be brought after grant.</w:t>
      </w:r>
      <w:r w:rsidRPr="003E2D37">
        <w:t xml:space="preserve"> </w:t>
      </w:r>
      <w:r w:rsidRPr="00F12788">
        <w:rPr>
          <w:vertAlign w:val="superscript"/>
        </w:rPr>
        <w:footnoteReference w:id="24"/>
      </w:r>
      <w:r w:rsidRPr="00F12788">
        <w:rPr>
          <w:vertAlign w:val="superscript"/>
        </w:rPr>
        <w:t xml:space="preserve"> </w:t>
      </w:r>
      <w:r>
        <w:t xml:space="preserve"> This principle is </w:t>
      </w:r>
      <w:r w:rsidRPr="00623791">
        <w:t xml:space="preserve">reflected at section 70E. </w:t>
      </w:r>
      <w:r>
        <w:t xml:space="preserve">Under the current law, the </w:t>
      </w:r>
      <w:r w:rsidRPr="00623791">
        <w:t xml:space="preserve">position as regards trade marks and registered designs is </w:t>
      </w:r>
      <w:r>
        <w:t xml:space="preserve">less clear and this is rectified </w:t>
      </w:r>
      <w:r w:rsidRPr="00623791">
        <w:t xml:space="preserve">by </w:t>
      </w:r>
      <w:r w:rsidR="0077541F">
        <w:t>the equivalent sections for those rights.</w:t>
      </w:r>
      <w:r w:rsidRPr="00623791">
        <w:t xml:space="preserve"> </w:t>
      </w:r>
    </w:p>
    <w:p w14:paraId="36486E5A" w14:textId="77777777" w:rsidR="009A43D0" w:rsidRPr="00623791" w:rsidRDefault="009A43D0" w:rsidP="00476F11">
      <w:pPr>
        <w:pStyle w:val="ParaNumbered"/>
      </w:pPr>
      <w:r w:rsidRPr="00623791">
        <w:t>Although strictly there is little need to spell this out for patents, the Bill does so for the sake of consistency</w:t>
      </w:r>
      <w:r>
        <w:t xml:space="preserve"> and to rule out any inference that the law for</w:t>
      </w:r>
      <w:r w:rsidR="00D12E20">
        <w:t xml:space="preserve"> patents has been changed or applies differently to the law for the other rights.</w:t>
      </w:r>
      <w:r w:rsidRPr="00623791">
        <w:t xml:space="preserve"> </w:t>
      </w:r>
    </w:p>
    <w:p w14:paraId="13BE536E" w14:textId="77777777" w:rsidR="009A43D0" w:rsidRPr="00623791" w:rsidRDefault="009A43D0" w:rsidP="00C978BE">
      <w:pPr>
        <w:pStyle w:val="Heading3"/>
      </w:pPr>
      <w:bookmarkStart w:id="57" w:name="_Toc451382148"/>
      <w:r w:rsidRPr="00623791">
        <w:t>Delivery up and orders for disposal</w:t>
      </w:r>
      <w:bookmarkEnd w:id="57"/>
    </w:p>
    <w:p w14:paraId="0793698C" w14:textId="7AD1F994" w:rsidR="009A43D0" w:rsidRDefault="009A43D0" w:rsidP="00476F11">
      <w:pPr>
        <w:pStyle w:val="ParaNumbered"/>
      </w:pPr>
      <w:r w:rsidRPr="00623791">
        <w:t xml:space="preserve">Section 70F, </w:t>
      </w:r>
      <w:r w:rsidR="00CC3C31">
        <w:t>and the equivalent sections for trade marks and designs</w:t>
      </w:r>
      <w:r w:rsidRPr="00623791">
        <w:t xml:space="preserve"> extend</w:t>
      </w:r>
      <w:r>
        <w:t xml:space="preserve"> the meaning of infringement proceedings to include threats to bring proceedings </w:t>
      </w:r>
      <w:r w:rsidR="005100F9">
        <w:t xml:space="preserve">asking </w:t>
      </w:r>
      <w:r>
        <w:t>for</w:t>
      </w:r>
      <w:r w:rsidR="000732B8">
        <w:t xml:space="preserve"> an order for</w:t>
      </w:r>
      <w:r>
        <w:t xml:space="preserve"> delivery up </w:t>
      </w:r>
      <w:r w:rsidR="00FF1AB5">
        <w:t>(</w:t>
      </w:r>
      <w:r w:rsidR="00515E3D">
        <w:t>handing over the infringing products, goods or articles</w:t>
      </w:r>
      <w:r w:rsidR="00FF1AB5">
        <w:t xml:space="preserve">) </w:t>
      </w:r>
      <w:r>
        <w:t xml:space="preserve">and/or disposal </w:t>
      </w:r>
      <w:r w:rsidR="00FF1AB5">
        <w:t>(destruction</w:t>
      </w:r>
      <w:r w:rsidR="00515E3D">
        <w:t xml:space="preserve"> of the infringing products, goods or articles</w:t>
      </w:r>
      <w:r w:rsidR="00FF1AB5">
        <w:t>)</w:t>
      </w:r>
      <w:r>
        <w:t>.</w:t>
      </w:r>
      <w:r w:rsidR="004B40BF">
        <w:t xml:space="preserve"> Section 70F will be amended by </w:t>
      </w:r>
      <w:r w:rsidR="00702E7C">
        <w:t>c</w:t>
      </w:r>
      <w:r w:rsidR="004B40BF">
        <w:t>lause 1(3) so that the section can apply to European patents that come within the jurisdiction of the Unified Patent Court.</w:t>
      </w:r>
      <w:r w:rsidRPr="00623791">
        <w:tab/>
      </w:r>
    </w:p>
    <w:p w14:paraId="3D44D762" w14:textId="77777777" w:rsidR="00321AAB" w:rsidRPr="00623791" w:rsidRDefault="00321AAB" w:rsidP="00321AAB">
      <w:pPr>
        <w:pStyle w:val="Heading3"/>
      </w:pPr>
      <w:bookmarkStart w:id="58" w:name="_Toc451382149"/>
      <w:r>
        <w:t xml:space="preserve">Amendments to Schedule A3 </w:t>
      </w:r>
      <w:r w:rsidR="00702E7C">
        <w:t>to</w:t>
      </w:r>
      <w:r>
        <w:t xml:space="preserve"> the Patents Act 1977</w:t>
      </w:r>
      <w:bookmarkEnd w:id="58"/>
      <w:r>
        <w:t xml:space="preserve"> </w:t>
      </w:r>
    </w:p>
    <w:p w14:paraId="150794EF" w14:textId="77777777" w:rsidR="008D47CC" w:rsidRPr="008D47CC" w:rsidRDefault="004B40BF">
      <w:pPr>
        <w:pStyle w:val="ParaNumbered"/>
        <w:rPr>
          <w:lang w:val="en-GB"/>
        </w:rPr>
      </w:pPr>
      <w:r w:rsidRPr="004B40BF">
        <w:t xml:space="preserve"> </w:t>
      </w:r>
      <w:r>
        <w:t>Schedule A3 will be inserted into the 1977 Act by the Patents (European Patent with Unitary Effect and Unified Patent Court) Order 2016.</w:t>
      </w:r>
      <w:r w:rsidR="00FF1AB5">
        <w:rPr>
          <w:rStyle w:val="FootnoteReference"/>
        </w:rPr>
        <w:footnoteReference w:id="25"/>
      </w:r>
      <w:r>
        <w:t xml:space="preserve"> Clause 1(8) amends the Schedule to apply sections 70 to 70F to the European patent with unitary effect.</w:t>
      </w:r>
    </w:p>
    <w:p w14:paraId="5EE94F7E" w14:textId="77777777" w:rsidR="009A43D0" w:rsidRPr="00CA4237" w:rsidRDefault="009A43D0" w:rsidP="00EF50B5">
      <w:pPr>
        <w:pStyle w:val="Heading1"/>
      </w:pPr>
      <w:bookmarkStart w:id="59" w:name="_Toc410653894"/>
      <w:bookmarkStart w:id="60" w:name="_Toc416612144"/>
      <w:bookmarkStart w:id="61" w:name="_Toc417648129"/>
      <w:bookmarkStart w:id="62" w:name="_Toc418587938"/>
      <w:bookmarkStart w:id="63" w:name="_Toc451382150"/>
      <w:bookmarkEnd w:id="25"/>
      <w:bookmarkEnd w:id="26"/>
      <w:bookmarkEnd w:id="27"/>
      <w:bookmarkEnd w:id="28"/>
      <w:r w:rsidRPr="00CA4237">
        <w:t>Commencement</w:t>
      </w:r>
      <w:bookmarkEnd w:id="59"/>
      <w:bookmarkEnd w:id="60"/>
      <w:bookmarkEnd w:id="61"/>
      <w:bookmarkEnd w:id="62"/>
      <w:bookmarkEnd w:id="63"/>
    </w:p>
    <w:p w14:paraId="379B773B" w14:textId="77777777" w:rsidR="00775F0C" w:rsidRPr="00627E68" w:rsidRDefault="00775F0C" w:rsidP="00627E68">
      <w:pPr>
        <w:pStyle w:val="ParaNumbered"/>
        <w:rPr>
          <w:lang w:val="en-GB"/>
        </w:rPr>
      </w:pPr>
      <w:r>
        <w:t xml:space="preserve">Clause 8 makes provision about the coming into force of the Bill. </w:t>
      </w:r>
      <w:r w:rsidR="004B38A5">
        <w:t xml:space="preserve">Some </w:t>
      </w:r>
      <w:r w:rsidR="001C4482">
        <w:t xml:space="preserve">provisions </w:t>
      </w:r>
      <w:r w:rsidR="004B38A5">
        <w:t>will come into effect on the day on which the Act is passed. Other provisions w</w:t>
      </w:r>
      <w:r>
        <w:t xml:space="preserve">ill come into force on such day or days </w:t>
      </w:r>
      <w:r w:rsidR="0087697A">
        <w:t>as the Secretary of State may by</w:t>
      </w:r>
      <w:r>
        <w:t xml:space="preserve"> regulations </w:t>
      </w:r>
      <w:r w:rsidR="004B38A5">
        <w:t xml:space="preserve">made by statutory instrument </w:t>
      </w:r>
      <w:r>
        <w:t>appoint. The regulations may appoint different days for different purposes or make transitional</w:t>
      </w:r>
      <w:r w:rsidR="0087697A">
        <w:t>, transitory or saving provision</w:t>
      </w:r>
      <w:r>
        <w:t>.</w:t>
      </w:r>
    </w:p>
    <w:p w14:paraId="6239DFD5" w14:textId="77777777" w:rsidR="009A43D0" w:rsidRPr="00CA4237" w:rsidRDefault="009A43D0" w:rsidP="00E26988">
      <w:pPr>
        <w:pStyle w:val="Heading1"/>
      </w:pPr>
      <w:bookmarkStart w:id="64" w:name="_Toc410653895"/>
      <w:bookmarkStart w:id="65" w:name="_Toc416612145"/>
      <w:bookmarkStart w:id="66" w:name="_Toc417648130"/>
      <w:bookmarkStart w:id="67" w:name="_Toc418587939"/>
      <w:bookmarkStart w:id="68" w:name="_Toc451382151"/>
      <w:r w:rsidRPr="00CA4237">
        <w:t>Financial implications of the Bill</w:t>
      </w:r>
      <w:bookmarkEnd w:id="64"/>
      <w:bookmarkEnd w:id="65"/>
      <w:bookmarkEnd w:id="66"/>
      <w:bookmarkEnd w:id="67"/>
      <w:bookmarkEnd w:id="68"/>
    </w:p>
    <w:p w14:paraId="614CE091" w14:textId="77777777" w:rsidR="009A43D0" w:rsidRPr="002A7886" w:rsidRDefault="009A43D0" w:rsidP="002A7886">
      <w:pPr>
        <w:pStyle w:val="ParaNumbered"/>
      </w:pPr>
      <w:r w:rsidRPr="002A7886">
        <w:t>It is estimated that ongoing benefits will result in total savings to businesses of around £1.66 million per annum. This is due to a reduction in the number of cases in which this area of the law will be engaged (best estimate of savings around £1 million per year), as well as a reduction in the level of advice required even in cases in which it is engaged (savings of £659,500 per year).</w:t>
      </w:r>
    </w:p>
    <w:p w14:paraId="5D5013FC" w14:textId="77777777" w:rsidR="009A43D0" w:rsidRPr="002A7886" w:rsidRDefault="009A43D0" w:rsidP="002A7886">
      <w:pPr>
        <w:pStyle w:val="ParaNumbered"/>
      </w:pPr>
      <w:r w:rsidRPr="002A7886">
        <w:t xml:space="preserve">The </w:t>
      </w:r>
      <w:r>
        <w:t>financial implications have</w:t>
      </w:r>
      <w:r w:rsidRPr="002A7886">
        <w:t xml:space="preserve"> been assessed, as per the Impact Assessment </w:t>
      </w:r>
      <w:r>
        <w:t>that is published on the Law Commission</w:t>
      </w:r>
      <w:r w:rsidR="00FC62ED">
        <w:t>’</w:t>
      </w:r>
      <w:r>
        <w:t>s website</w:t>
      </w:r>
      <w:r w:rsidRPr="002A7886">
        <w:t>.</w:t>
      </w:r>
    </w:p>
    <w:p w14:paraId="641B874E" w14:textId="77777777" w:rsidR="009A43D0" w:rsidRDefault="009A43D0" w:rsidP="000A6A75">
      <w:pPr>
        <w:pStyle w:val="Heading1"/>
      </w:pPr>
      <w:bookmarkStart w:id="69" w:name="_Toc451382152"/>
      <w:r>
        <w:t>Compatibility with the European Convention on Human Rights</w:t>
      </w:r>
      <w:bookmarkEnd w:id="69"/>
    </w:p>
    <w:p w14:paraId="0F22B699" w14:textId="77777777" w:rsidR="009A43D0" w:rsidRPr="00C168B7" w:rsidRDefault="009A43D0" w:rsidP="00C168B7">
      <w:pPr>
        <w:pStyle w:val="ParaNumbered"/>
      </w:pPr>
      <w:r w:rsidRPr="00C168B7">
        <w:t xml:space="preserve">Section 19 of the Human Rights Act 1998 requires the Minister in charge of a Bill in either House of Parliament to make a statement before Second Reading about the compatibility of the provisions of the Bill with the Convention rights (as defined by section 1 of that Act). The </w:t>
      </w:r>
      <w:r>
        <w:t>Minister for Intellectual Property</w:t>
      </w:r>
      <w:r w:rsidRPr="00C168B7">
        <w:t xml:space="preserve">, Baroness Neville-Rolfe DBE CMG, has made the following statement: </w:t>
      </w:r>
      <w:r w:rsidR="00FC62ED">
        <w:t>“</w:t>
      </w:r>
      <w:r w:rsidRPr="00C168B7">
        <w:t xml:space="preserve">In my view the provisions of the </w:t>
      </w:r>
      <w:r>
        <w:t>Intellectual Property (Unjustified Threats)</w:t>
      </w:r>
      <w:r w:rsidRPr="00C168B7">
        <w:t xml:space="preserve"> Bill are compatible with the Convention rights.</w:t>
      </w:r>
      <w:r w:rsidR="00FC62ED">
        <w:t>”</w:t>
      </w:r>
    </w:p>
    <w:p w14:paraId="41C3B757" w14:textId="77777777" w:rsidR="009A43D0" w:rsidRDefault="009A43D0" w:rsidP="00B3023D">
      <w:pPr>
        <w:pStyle w:val="Heading1"/>
      </w:pPr>
      <w:bookmarkStart w:id="70" w:name="_Toc416612147"/>
      <w:bookmarkStart w:id="71" w:name="_Toc417648132"/>
      <w:bookmarkStart w:id="72" w:name="_Toc418587941"/>
      <w:bookmarkStart w:id="73" w:name="_Toc451382153"/>
      <w:r w:rsidRPr="00CA4237">
        <w:t>Related documents</w:t>
      </w:r>
      <w:bookmarkEnd w:id="70"/>
      <w:bookmarkEnd w:id="71"/>
      <w:bookmarkEnd w:id="72"/>
      <w:bookmarkEnd w:id="73"/>
    </w:p>
    <w:p w14:paraId="0C5D6172" w14:textId="77777777" w:rsidR="009A43D0" w:rsidRPr="00E83AC8" w:rsidRDefault="009A43D0" w:rsidP="00E83AC8">
      <w:pPr>
        <w:pStyle w:val="ParaNumbered"/>
      </w:pPr>
      <w:r>
        <w:t>The following documents are relevant to the Bill and can be read at the stated locations:</w:t>
      </w:r>
    </w:p>
    <w:p w14:paraId="757007E9" w14:textId="77777777" w:rsidR="009A43D0" w:rsidRPr="008E66A1" w:rsidRDefault="009A43D0" w:rsidP="00C62CB6">
      <w:pPr>
        <w:pStyle w:val="ParaBulleted"/>
      </w:pPr>
      <w:bookmarkStart w:id="74" w:name="_Toc416612148"/>
      <w:bookmarkStart w:id="75" w:name="_Toc417648133"/>
      <w:r w:rsidRPr="008E66A1">
        <w:t>Patents, Trade Marks and Design Rights: Groundless Threats (2013) Law Commi</w:t>
      </w:r>
      <w:r>
        <w:t xml:space="preserve">ssion Consultation Paper No 212 </w:t>
      </w:r>
      <w:hyperlink r:id="rId8" w:history="1">
        <w:r w:rsidRPr="00362757">
          <w:rPr>
            <w:rStyle w:val="Hyperlink"/>
            <w:rFonts w:cs="PalatinoLinotype-Roman"/>
          </w:rPr>
          <w:t>http://www.lawcom.gov.uk/wp-content/uploads/2015/03/cp212_patents_groundless_threats.pdf</w:t>
        </w:r>
      </w:hyperlink>
      <w:r>
        <w:t xml:space="preserve"> </w:t>
      </w:r>
    </w:p>
    <w:p w14:paraId="65EC6A02" w14:textId="77777777" w:rsidR="009A43D0" w:rsidRDefault="009A43D0" w:rsidP="008E66A1">
      <w:pPr>
        <w:pStyle w:val="ParaBulleted"/>
      </w:pPr>
      <w:r w:rsidRPr="008E66A1">
        <w:t>Patents, Trade Marks and Design Rights: Groundless Threats (2014) Law Commission Report N</w:t>
      </w:r>
      <w:r>
        <w:t xml:space="preserve">o 346 </w:t>
      </w:r>
      <w:hyperlink r:id="rId9" w:history="1">
        <w:r w:rsidRPr="00362757">
          <w:rPr>
            <w:rStyle w:val="Hyperlink"/>
            <w:rFonts w:cs="PalatinoLinotype-Roman"/>
          </w:rPr>
          <w:t>http://www.lawcom.gov.uk/wp-content/uploads/2015/03/lc346_patents_groundless_threats.pdf</w:t>
        </w:r>
      </w:hyperlink>
      <w:r>
        <w:t xml:space="preserve"> </w:t>
      </w:r>
    </w:p>
    <w:p w14:paraId="39ABAC03" w14:textId="77777777" w:rsidR="00F618A3" w:rsidRPr="008E66A1" w:rsidRDefault="00F618A3" w:rsidP="00F618A3">
      <w:pPr>
        <w:pStyle w:val="ParaBulleted"/>
      </w:pPr>
      <w:r>
        <w:t xml:space="preserve">Government Response to Law Commission Report No 346 </w:t>
      </w:r>
      <w:hyperlink r:id="rId10" w:history="1">
        <w:r w:rsidRPr="003D4001">
          <w:rPr>
            <w:rStyle w:val="Hyperlink"/>
            <w:rFonts w:cs="PalatinoLinotype-Roman"/>
          </w:rPr>
          <w:t>http://www.lawcom.gov.uk/wp-content/uploads/2015/12/Gov_Response_to_LC346.pdf</w:t>
        </w:r>
      </w:hyperlink>
      <w:r>
        <w:t xml:space="preserve"> </w:t>
      </w:r>
    </w:p>
    <w:p w14:paraId="09F2CE67" w14:textId="77777777" w:rsidR="009A43D0" w:rsidRPr="00F618A3" w:rsidRDefault="009A43D0" w:rsidP="008E66A1">
      <w:pPr>
        <w:pStyle w:val="ParaBulleted"/>
        <w:rPr>
          <w:rFonts w:ascii="HelveticaNeue-Bold" w:hAnsi="HelveticaNeue-Bold" w:cs="Times New Roman"/>
          <w:b/>
          <w:bCs/>
          <w:color w:val="0070C0"/>
          <w:sz w:val="36"/>
          <w:szCs w:val="28"/>
        </w:rPr>
      </w:pPr>
      <w:r w:rsidRPr="008E66A1">
        <w:t>Patents, Trade Marks and Designs: Unjustified Threats (201</w:t>
      </w:r>
      <w:r>
        <w:t xml:space="preserve">5) Law Commission Report No 360 </w:t>
      </w:r>
      <w:hyperlink r:id="rId11" w:history="1">
        <w:r w:rsidRPr="00362757">
          <w:rPr>
            <w:rStyle w:val="Hyperlink"/>
            <w:rFonts w:cs="PalatinoLinotype-Roman"/>
          </w:rPr>
          <w:t>http://www.lawcom.gov.uk/wp-content/uploads/2015/04/lc360_patents_unjustified_threats.pdf</w:t>
        </w:r>
      </w:hyperlink>
      <w:r>
        <w:t xml:space="preserve"> </w:t>
      </w:r>
    </w:p>
    <w:p w14:paraId="42E4FAB1" w14:textId="77777777" w:rsidR="00627E68" w:rsidRPr="00627E68" w:rsidRDefault="00F618A3" w:rsidP="00627E68">
      <w:pPr>
        <w:pStyle w:val="ParaBulleted"/>
        <w:rPr>
          <w:rFonts w:ascii="HelveticaNeue-Bold" w:hAnsi="HelveticaNeue-Bold" w:cs="Times New Roman"/>
          <w:b/>
          <w:bCs/>
          <w:color w:val="0070C0"/>
          <w:sz w:val="36"/>
          <w:szCs w:val="28"/>
        </w:rPr>
      </w:pPr>
      <w:r>
        <w:t xml:space="preserve">Government Response to </w:t>
      </w:r>
      <w:r w:rsidRPr="00F618A3">
        <w:t>Law Commission Report No 360</w:t>
      </w:r>
      <w:r>
        <w:t xml:space="preserve"> </w:t>
      </w:r>
      <w:hyperlink r:id="rId12" w:history="1">
        <w:r w:rsidRPr="00F618A3">
          <w:rPr>
            <w:rStyle w:val="Hyperlink"/>
          </w:rPr>
          <w:t>http://www.lawcom.gov.uk/wp-content/uploads/2015/12/Gov_Response_to_LC360.pdf</w:t>
        </w:r>
      </w:hyperlink>
    </w:p>
    <w:p w14:paraId="657237C2" w14:textId="77777777" w:rsidR="009A43D0" w:rsidRPr="008E66A1" w:rsidRDefault="00627E68" w:rsidP="008E66A1">
      <w:pPr>
        <w:pStyle w:val="ParaBulleted"/>
        <w:rPr>
          <w:rFonts w:ascii="HelveticaNeue-Bold" w:hAnsi="HelveticaNeue-Bold" w:cs="Times New Roman"/>
          <w:b/>
          <w:bCs/>
          <w:color w:val="0070C0"/>
          <w:sz w:val="36"/>
          <w:szCs w:val="28"/>
        </w:rPr>
      </w:pPr>
      <w:r>
        <w:t xml:space="preserve">Impact </w:t>
      </w:r>
      <w:r w:rsidRPr="00627E68">
        <w:t xml:space="preserve">Assessment: Intellectual Property (Unjustified Threats) </w:t>
      </w:r>
      <w:hyperlink r:id="rId13" w:history="1">
        <w:r w:rsidRPr="00627E68">
          <w:rPr>
            <w:rStyle w:val="Hyperlink"/>
          </w:rPr>
          <w:t>http://www.lawcom.gov.uk/wp-content/uploads/2015/12/lc360_patents_unjustified_threats_impact.pdf</w:t>
        </w:r>
      </w:hyperlink>
    </w:p>
    <w:p w14:paraId="69D1F70C" w14:textId="77777777" w:rsidR="009A43D0" w:rsidRPr="00CA4237" w:rsidRDefault="009A43D0" w:rsidP="001B7156">
      <w:pPr>
        <w:pStyle w:val="ParaBulleted"/>
        <w:numPr>
          <w:ilvl w:val="0"/>
          <w:numId w:val="0"/>
        </w:numPr>
        <w:rPr>
          <w:rFonts w:ascii="HelveticaNeue-Bold" w:hAnsi="HelveticaNeue-Bold" w:cs="Times New Roman"/>
          <w:b/>
          <w:bCs/>
          <w:color w:val="0070C0"/>
          <w:sz w:val="36"/>
          <w:szCs w:val="28"/>
        </w:rPr>
      </w:pPr>
    </w:p>
    <w:bookmarkEnd w:id="74"/>
    <w:bookmarkEnd w:id="75"/>
    <w:p w14:paraId="36FF84F1" w14:textId="77777777" w:rsidR="009A43D0" w:rsidRPr="00CA4237" w:rsidRDefault="001B7156" w:rsidP="00E076DF">
      <w:pPr>
        <w:pStyle w:val="StyleENBilltitleText1"/>
        <w:rPr>
          <w:color w:val="auto"/>
          <w:lang w:val="en-GB"/>
        </w:rPr>
      </w:pPr>
      <w:r>
        <w:rPr>
          <w:color w:val="auto"/>
          <w:lang w:val="en-GB"/>
        </w:rPr>
        <w:br w:type="page"/>
      </w:r>
      <w:r w:rsidR="009A43D0">
        <w:rPr>
          <w:color w:val="auto"/>
          <w:lang w:val="en-GB"/>
        </w:rPr>
        <w:t>Intellectual Property (Unjustified Threats)</w:t>
      </w:r>
      <w:r w:rsidR="009A43D0" w:rsidRPr="00CA4237">
        <w:rPr>
          <w:color w:val="auto"/>
          <w:sz w:val="20"/>
          <w:szCs w:val="20"/>
          <w:lang w:val="en-GB"/>
        </w:rPr>
        <w:t xml:space="preserve"> </w:t>
      </w:r>
      <w:r w:rsidR="009A43D0">
        <w:rPr>
          <w:color w:val="auto"/>
          <w:lang w:val="en-GB"/>
        </w:rPr>
        <w:t xml:space="preserve">Bill [HL] </w:t>
      </w:r>
    </w:p>
    <w:p w14:paraId="039BD584" w14:textId="77777777" w:rsidR="009A43D0" w:rsidRPr="00CA4237" w:rsidRDefault="009A43D0" w:rsidP="00641A9A">
      <w:pPr>
        <w:pStyle w:val="ENnotestitle"/>
        <w:rPr>
          <w:lang w:val="en-GB"/>
        </w:rPr>
      </w:pPr>
      <w:r w:rsidRPr="00CA4237">
        <w:rPr>
          <w:lang w:val="en-GB"/>
        </w:rPr>
        <w:t>EXPLANATORY NOTES</w:t>
      </w:r>
    </w:p>
    <w:p w14:paraId="0C5AD2C4" w14:textId="77777777" w:rsidR="009A43D0" w:rsidRPr="00CA4237" w:rsidRDefault="009A43D0" w:rsidP="00641A9A">
      <w:pPr>
        <w:pStyle w:val="ENIntroText"/>
        <w:rPr>
          <w:lang w:val="en-GB"/>
        </w:rPr>
      </w:pPr>
      <w:r w:rsidRPr="00CA4237">
        <w:rPr>
          <w:lang w:val="en-GB"/>
        </w:rPr>
        <w:t xml:space="preserve">These Explanatory Notes relate to the </w:t>
      </w:r>
      <w:r>
        <w:rPr>
          <w:rStyle w:val="ENIntroTextChar"/>
          <w:sz w:val="20"/>
          <w:lang w:val="en-GB"/>
        </w:rPr>
        <w:t>Intellectual Property (Unjustified Threats)</w:t>
      </w:r>
      <w:r>
        <w:rPr>
          <w:lang w:val="en-GB"/>
        </w:rPr>
        <w:t xml:space="preserve"> Bill [HL]</w:t>
      </w:r>
      <w:r w:rsidRPr="00CA4237">
        <w:rPr>
          <w:lang w:val="en-GB"/>
        </w:rPr>
        <w:t xml:space="preserve"> </w:t>
      </w:r>
      <w:r>
        <w:rPr>
          <w:lang w:val="en-GB"/>
        </w:rPr>
        <w:t>as introduced in the House of Lords</w:t>
      </w:r>
      <w:r w:rsidRPr="00CA4237">
        <w:rPr>
          <w:lang w:val="en-GB"/>
        </w:rPr>
        <w:t xml:space="preserve"> on </w:t>
      </w:r>
      <w:r w:rsidRPr="008B2DA2">
        <w:t>[AUTOGENERATED]</w:t>
      </w:r>
      <w:r w:rsidRPr="00CA4237">
        <w:rPr>
          <w:lang w:val="en-GB"/>
        </w:rPr>
        <w:t xml:space="preserve"> (</w:t>
      </w:r>
      <w:r>
        <w:rPr>
          <w:rStyle w:val="ENIntroTextChar"/>
          <w:sz w:val="20"/>
          <w:lang w:val="en-GB"/>
        </w:rPr>
        <w:t>HL Bill</w:t>
      </w:r>
      <w:r w:rsidRPr="00CA4237">
        <w:rPr>
          <w:lang w:val="en-GB"/>
        </w:rPr>
        <w:t xml:space="preserve"> </w:t>
      </w:r>
      <w:r>
        <w:rPr>
          <w:lang w:val="en-GB"/>
        </w:rPr>
        <w:t>[AUTOGENERATED])</w:t>
      </w:r>
      <w:r w:rsidRPr="00CA4237">
        <w:rPr>
          <w:lang w:val="en-GB"/>
        </w:rPr>
        <w:t xml:space="preserve">. </w:t>
      </w:r>
    </w:p>
    <w:p w14:paraId="13546A52" w14:textId="77777777" w:rsidR="009A43D0" w:rsidRPr="00CA4237" w:rsidRDefault="009A43D0" w:rsidP="00AE7634"/>
    <w:p w14:paraId="287F7959" w14:textId="77777777" w:rsidR="009A43D0" w:rsidRPr="00CA4237" w:rsidRDefault="009A43D0" w:rsidP="00866B9D">
      <w:pPr>
        <w:pStyle w:val="BackPageText"/>
      </w:pPr>
      <w:r w:rsidRPr="00CA4237">
        <w:t>__________________________________________________________</w:t>
      </w:r>
    </w:p>
    <w:p w14:paraId="3D5F0F98" w14:textId="77777777" w:rsidR="009A43D0" w:rsidRPr="00CA4237" w:rsidRDefault="009A43D0" w:rsidP="00524AEF">
      <w:pPr>
        <w:pStyle w:val="StyleENIntroText16pt"/>
        <w:rPr>
          <w:lang w:val="en-GB"/>
        </w:rPr>
      </w:pPr>
      <w:r>
        <w:rPr>
          <w:lang w:val="en-GB"/>
        </w:rPr>
        <w:t>Ordered by the House of Lords to be p</w:t>
      </w:r>
      <w:r w:rsidRPr="00CA4237">
        <w:rPr>
          <w:lang w:val="en-GB"/>
        </w:rPr>
        <w:t xml:space="preserve">rinted, </w:t>
      </w:r>
      <w:r w:rsidRPr="008B2DA2">
        <w:t>[AUTOGENERATED]</w:t>
      </w:r>
    </w:p>
    <w:p w14:paraId="02E5FFE8" w14:textId="77777777" w:rsidR="009A43D0" w:rsidRPr="00CA4237" w:rsidRDefault="009A43D0" w:rsidP="00866B9D">
      <w:pPr>
        <w:pStyle w:val="BackPageText"/>
      </w:pPr>
      <w:r w:rsidRPr="00CA4237">
        <w:t>__________________________________________________________</w:t>
      </w:r>
    </w:p>
    <w:p w14:paraId="4C9717E9" w14:textId="77777777" w:rsidR="009A43D0" w:rsidRPr="00CA4237" w:rsidRDefault="009A43D0" w:rsidP="00AE7634"/>
    <w:p w14:paraId="5B7D1B10" w14:textId="77777777" w:rsidR="009A43D0" w:rsidRDefault="009A43D0" w:rsidP="0002300F">
      <w:pPr>
        <w:pStyle w:val="StyleENIntroTextLatinPalatinoLinotypeAuto"/>
        <w:rPr>
          <w:lang w:val="en-GB"/>
        </w:rPr>
      </w:pPr>
      <w:r w:rsidRPr="00CA4237">
        <w:rPr>
          <w:lang w:val="en-GB"/>
        </w:rPr>
        <w:t xml:space="preserve">© Parliamentary copyright </w:t>
      </w:r>
      <w:r w:rsidRPr="008B2DA2">
        <w:t>[AUTOGENERATED]</w:t>
      </w:r>
    </w:p>
    <w:p w14:paraId="6984285A" w14:textId="77777777" w:rsidR="009A43D0" w:rsidRPr="00CA4237" w:rsidRDefault="009A43D0" w:rsidP="0002300F">
      <w:pPr>
        <w:pStyle w:val="StyleENIntroTextLatinPalatinoLinotypeAuto"/>
      </w:pPr>
    </w:p>
    <w:p w14:paraId="0E0CE1FC" w14:textId="77777777" w:rsidR="009A43D0" w:rsidRPr="00CA4237" w:rsidRDefault="009A43D0" w:rsidP="00866B9D">
      <w:pPr>
        <w:pStyle w:val="BackPageText"/>
      </w:pPr>
      <w:r w:rsidRPr="00CA4237">
        <w:t xml:space="preserve">This publication may be reproduced under the terms of </w:t>
      </w:r>
      <w:r>
        <w:t xml:space="preserve">the </w:t>
      </w:r>
      <w:r w:rsidRPr="00CA4237">
        <w:t>Open Parliament Licence which is published at www.parliament.uk/site-information/copyright</w:t>
      </w:r>
    </w:p>
    <w:p w14:paraId="1F46397F" w14:textId="77777777" w:rsidR="009A43D0" w:rsidRPr="00CA4237" w:rsidRDefault="009A43D0" w:rsidP="00AE7634"/>
    <w:p w14:paraId="64187269" w14:textId="77777777" w:rsidR="009A43D0" w:rsidRPr="0076586A" w:rsidRDefault="009A43D0" w:rsidP="0076586A">
      <w:pPr>
        <w:pStyle w:val="StyleMainTextBoldAllcapsExpandedby01pt"/>
        <w:rPr>
          <w:b w:val="0"/>
        </w:rPr>
      </w:pPr>
      <w:r w:rsidRPr="0076586A">
        <w:rPr>
          <w:b w:val="0"/>
        </w:rPr>
        <w:t xml:space="preserve">PUBLISHED BY authority of </w:t>
      </w:r>
      <w:r>
        <w:rPr>
          <w:b w:val="0"/>
        </w:rPr>
        <w:t>the House of Lords</w:t>
      </w:r>
      <w:r w:rsidRPr="0076586A">
        <w:rPr>
          <w:b w:val="0"/>
        </w:rPr>
        <w:t xml:space="preserve"> </w:t>
      </w:r>
    </w:p>
    <w:p w14:paraId="18EA059B" w14:textId="77777777" w:rsidR="009A43D0" w:rsidRPr="00CA4237" w:rsidRDefault="009A43D0" w:rsidP="00AE7634"/>
    <w:p w14:paraId="64E5CE84" w14:textId="77777777" w:rsidR="009A43D0" w:rsidRPr="00CA4237" w:rsidRDefault="009A43D0" w:rsidP="00866B9D">
      <w:pPr>
        <w:pStyle w:val="BackPageText"/>
      </w:pPr>
      <w:r w:rsidRPr="00CA4237">
        <w:t>LONDON - THE STATIONERY OFFICE LIMITED</w:t>
      </w:r>
    </w:p>
    <w:p w14:paraId="5F309B88" w14:textId="77777777" w:rsidR="009A43D0" w:rsidRPr="00CA4237" w:rsidRDefault="009A43D0" w:rsidP="00AE7634">
      <w:r w:rsidRPr="00CA4237">
        <w:tab/>
      </w:r>
    </w:p>
    <w:p w14:paraId="66CB9ABA" w14:textId="77777777" w:rsidR="009A43D0" w:rsidRPr="00CA4237" w:rsidRDefault="009A43D0" w:rsidP="00866B9D">
      <w:pPr>
        <w:pStyle w:val="BackPageText"/>
      </w:pPr>
      <w:r w:rsidRPr="00CA4237">
        <w:t xml:space="preserve">Printed In the United Kingdom by </w:t>
      </w:r>
      <w:r>
        <w:t>T</w:t>
      </w:r>
      <w:r w:rsidRPr="00CA4237">
        <w:t>he Stationery Office Limited</w:t>
      </w:r>
    </w:p>
    <w:p w14:paraId="2BFBC81C" w14:textId="77777777" w:rsidR="009A43D0" w:rsidRDefault="009A43D0" w:rsidP="00AE7634"/>
    <w:p w14:paraId="75389B48" w14:textId="77777777" w:rsidR="009A43D0" w:rsidRDefault="009A43D0" w:rsidP="00AE7634"/>
    <w:p w14:paraId="17AA1371" w14:textId="77777777" w:rsidR="009A43D0" w:rsidRDefault="009A43D0" w:rsidP="00AE7634"/>
    <w:p w14:paraId="72B89A4F" w14:textId="77777777" w:rsidR="009A43D0" w:rsidRPr="00CA4237" w:rsidRDefault="009A43D0" w:rsidP="00866B9D">
      <w:pPr>
        <w:pStyle w:val="BackPageText"/>
      </w:pPr>
      <w:r w:rsidRPr="00CA4237">
        <w:t>£ FOR TSO USE</w:t>
      </w:r>
    </w:p>
    <w:p w14:paraId="2F04B4BF" w14:textId="77777777" w:rsidR="009A43D0" w:rsidRPr="00CA4237" w:rsidRDefault="009A43D0" w:rsidP="00AE7634"/>
    <w:p w14:paraId="6296DA87" w14:textId="77777777" w:rsidR="009A43D0" w:rsidRPr="00CA4237" w:rsidRDefault="009A43D0" w:rsidP="00A27BF0">
      <w:pPr>
        <w:pStyle w:val="ParaMainText"/>
        <w:rPr>
          <w:lang w:val="en-GB"/>
        </w:rPr>
      </w:pPr>
    </w:p>
    <w:sectPr w:rsidR="009A43D0" w:rsidRPr="00CA4237" w:rsidSect="00E409F6">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134" w:right="1134" w:bottom="1673" w:left="1701"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F32B" w14:textId="77777777" w:rsidR="00965B2E" w:rsidRDefault="00965B2E">
      <w:r>
        <w:separator/>
      </w:r>
    </w:p>
  </w:endnote>
  <w:endnote w:type="continuationSeparator" w:id="0">
    <w:p w14:paraId="30D79D2A" w14:textId="77777777" w:rsidR="00965B2E" w:rsidRDefault="0096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Neue-Bold">
    <w:altName w:val="Helvetica Neue"/>
    <w:panose1 w:val="00000000000000000000"/>
    <w:charset w:val="4D"/>
    <w:family w:val="auto"/>
    <w:notTrueType/>
    <w:pitch w:val="default"/>
    <w:sig w:usb0="00000003" w:usb1="00000000" w:usb2="00000000" w:usb3="00000000" w:csb0="00000001" w:csb1="00000000"/>
  </w:font>
  <w:font w:name="RdgSwift-Regular">
    <w:altName w:val="Times New Roman"/>
    <w:panose1 w:val="00000000000000000000"/>
    <w:charset w:val="00"/>
    <w:family w:val="auto"/>
    <w:notTrueType/>
    <w:pitch w:val="variable"/>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BoldPalatinoLinot">
    <w:altName w:val="Times New Roman"/>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BB0E" w14:textId="77777777" w:rsidR="00BB4EBB" w:rsidRDefault="00BB4EBB" w:rsidP="000815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0E885" w14:textId="77777777" w:rsidR="00BB4EBB" w:rsidRDefault="00BB4EBB" w:rsidP="00A127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4F55" w14:textId="77777777" w:rsidR="00BB4EBB" w:rsidRDefault="00BB4EBB" w:rsidP="005B1515">
    <w:pPr>
      <w:pStyle w:val="Footer"/>
      <w:framePr w:w="441" w:h="311" w:hRule="exact" w:wrap="around" w:vAnchor="text" w:hAnchor="page" w:x="5869" w:y="700"/>
      <w:jc w:val="center"/>
    </w:pPr>
    <w:r>
      <w:fldChar w:fldCharType="begin"/>
    </w:r>
    <w:r>
      <w:instrText xml:space="preserve"> PAGE   \* MERGEFORMAT </w:instrText>
    </w:r>
    <w:r>
      <w:fldChar w:fldCharType="separate"/>
    </w:r>
    <w:r w:rsidR="00E35D6A">
      <w:rPr>
        <w:noProof/>
      </w:rPr>
      <w:t>16</w:t>
    </w:r>
    <w:r>
      <w:rPr>
        <w:noProof/>
      </w:rPr>
      <w:fldChar w:fldCharType="end"/>
    </w:r>
  </w:p>
  <w:p w14:paraId="27255F26" w14:textId="77777777" w:rsidR="00BB4EBB" w:rsidRPr="006A0D49" w:rsidRDefault="00BB4EBB" w:rsidP="005B1515">
    <w:pPr>
      <w:pStyle w:val="Footer"/>
      <w:framePr w:w="441" w:h="311" w:hRule="exact" w:wrap="around" w:vAnchor="text" w:hAnchor="page" w:x="5869" w:y="700"/>
      <w:jc w:val="right"/>
      <w:rPr>
        <w:rStyle w:val="PageNumber"/>
        <w:rFonts w:ascii="Helvetica Neue" w:hAnsi="Helvetica Neue"/>
      </w:rPr>
    </w:pPr>
    <w:r>
      <w:fldChar w:fldCharType="begin"/>
    </w:r>
    <w:r>
      <w:instrText xml:space="preserve">PAGE  </w:instrText>
    </w:r>
    <w:r>
      <w:fldChar w:fldCharType="separate"/>
    </w:r>
    <w:r w:rsidR="00E35D6A">
      <w:rPr>
        <w:noProof/>
      </w:rPr>
      <w:t>16</w:t>
    </w:r>
    <w:r>
      <w:rPr>
        <w:noProof/>
      </w:rPr>
      <w:fldChar w:fldCharType="end"/>
    </w:r>
  </w:p>
  <w:p w14:paraId="5FC0049A" w14:textId="77777777" w:rsidR="00BB4EBB" w:rsidRPr="00A03A24" w:rsidRDefault="00BB4EBB" w:rsidP="00AE7634">
    <w:pPr>
      <w:pStyle w:val="Footer"/>
    </w:pPr>
    <w:r w:rsidRPr="00E272B9">
      <w:rPr>
        <w:rStyle w:val="FooterText"/>
      </w:rPr>
      <w:t>These Explanatory Notes relate to the</w:t>
    </w:r>
    <w:r w:rsidRPr="00164F74">
      <w:t xml:space="preserve"> </w:t>
    </w:r>
    <w:r>
      <w:rPr>
        <w:rStyle w:val="FooterText"/>
      </w:rPr>
      <w:t>Intellectual Property (Unjustified Threats)</w:t>
    </w:r>
    <w:r w:rsidRPr="00164F74">
      <w:t xml:space="preserve"> </w:t>
    </w:r>
    <w:r>
      <w:rPr>
        <w:rStyle w:val="FooterText"/>
      </w:rPr>
      <w:t>Bill [HL]</w:t>
    </w:r>
    <w:r w:rsidRPr="000E4419">
      <w:t xml:space="preserve"> </w:t>
    </w:r>
    <w:r>
      <w:rPr>
        <w:rStyle w:val="FooterText"/>
      </w:rPr>
      <w:t>as introduced in the House of Lords</w:t>
    </w:r>
    <w:r w:rsidRPr="000E4419">
      <w:t xml:space="preserve"> </w:t>
    </w:r>
    <w:r w:rsidRPr="00E272B9">
      <w:rPr>
        <w:rStyle w:val="FooterText"/>
      </w:rPr>
      <w:t>on</w:t>
    </w:r>
    <w:r w:rsidRPr="000E4419">
      <w:t xml:space="preserve"> </w:t>
    </w:r>
    <w:r w:rsidRPr="008B2DA2">
      <w:t>Bill/Act</w:t>
    </w:r>
    <w:r w:rsidRPr="000E4419">
      <w:t xml:space="preserve"> </w:t>
    </w:r>
    <w:r w:rsidRPr="00E272B9">
      <w:rPr>
        <w:rStyle w:val="FooterText"/>
      </w:rPr>
      <w:t>(</w:t>
    </w:r>
    <w:r>
      <w:rPr>
        <w:rStyle w:val="FooterText"/>
      </w:rPr>
      <w:t>HL Bill</w:t>
    </w:r>
    <w:r w:rsidRPr="000E4419">
      <w:t xml:space="preserve"> </w:t>
    </w:r>
    <w:r>
      <w:rPr>
        <w:rStyle w:val="FooterText"/>
      </w:rPr>
      <w:t>[AUTOGENERATED]</w:t>
    </w:r>
    <w:r w:rsidRPr="00E272B9">
      <w:rPr>
        <w:rStyle w:val="FooterText"/>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076"/>
      <w:gridCol w:w="4077"/>
    </w:tblGrid>
    <w:tr w:rsidR="00BB4EBB" w:rsidRPr="00234BEC" w14:paraId="3C56F1AA" w14:textId="77777777" w:rsidTr="00234BEC">
      <w:tc>
        <w:tcPr>
          <w:tcW w:w="4076" w:type="dxa"/>
        </w:tcPr>
        <w:p w14:paraId="38F3EAF6" w14:textId="77777777" w:rsidR="00BB4EBB" w:rsidRPr="00234BEC" w:rsidRDefault="00BB4EBB" w:rsidP="00BC5859">
          <w:pPr>
            <w:pStyle w:val="Footer"/>
          </w:pPr>
          <w:r w:rsidRPr="00234BEC">
            <w:rPr>
              <w:rStyle w:val="FooterChar"/>
            </w:rPr>
            <w:t>HL Bill</w:t>
          </w:r>
          <w:r w:rsidRPr="00234BEC">
            <w:t xml:space="preserve"> </w:t>
          </w:r>
          <w:r w:rsidRPr="00234BEC">
            <w:rPr>
              <w:rStyle w:val="FooterChar"/>
            </w:rPr>
            <w:t>[AUTOGENERATED]</w:t>
          </w:r>
          <w:r w:rsidRPr="00234BEC">
            <w:t>–EN</w:t>
          </w:r>
        </w:p>
      </w:tc>
      <w:tc>
        <w:tcPr>
          <w:tcW w:w="4077" w:type="dxa"/>
        </w:tcPr>
        <w:p w14:paraId="0089AA4D" w14:textId="77777777" w:rsidR="00BB4EBB" w:rsidRPr="00234BEC" w:rsidRDefault="00BB4EBB" w:rsidP="00234BEC">
          <w:pPr>
            <w:pStyle w:val="Footer"/>
            <w:jc w:val="right"/>
          </w:pPr>
          <w:r w:rsidRPr="00234BEC">
            <w:rPr>
              <w:rStyle w:val="PlaceholderText"/>
            </w:rPr>
            <w:t>[Session</w:t>
          </w:r>
          <w:r w:rsidRPr="00234BEC">
            <w:t>]</w:t>
          </w:r>
        </w:p>
      </w:tc>
    </w:tr>
  </w:tbl>
  <w:p w14:paraId="6E81C83E" w14:textId="77777777" w:rsidR="00BB4EBB" w:rsidRDefault="00BB4EBB" w:rsidP="00B1183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36F9" w14:textId="77777777" w:rsidR="00965B2E" w:rsidRDefault="00965B2E">
      <w:r>
        <w:separator/>
      </w:r>
    </w:p>
  </w:footnote>
  <w:footnote w:type="continuationSeparator" w:id="0">
    <w:p w14:paraId="2CAB9188" w14:textId="77777777" w:rsidR="00965B2E" w:rsidRDefault="00965B2E">
      <w:r>
        <w:continuationSeparator/>
      </w:r>
    </w:p>
  </w:footnote>
  <w:footnote w:id="1">
    <w:p w14:paraId="78825DB3" w14:textId="77777777" w:rsidR="00BB4EBB" w:rsidRDefault="00BB4EBB" w:rsidP="00A71286">
      <w:pPr>
        <w:pStyle w:val="FootnoteText"/>
      </w:pPr>
      <w:r>
        <w:rPr>
          <w:rStyle w:val="FootnoteReference"/>
        </w:rPr>
        <w:footnoteRef/>
      </w:r>
      <w:r>
        <w:t xml:space="preserve"> Section 32, Patents, Designs, and Trade Marks Act 1883. </w:t>
      </w:r>
    </w:p>
  </w:footnote>
  <w:footnote w:id="2">
    <w:p w14:paraId="3C51927D" w14:textId="77777777" w:rsidR="00BB4EBB" w:rsidRDefault="00BB4EBB">
      <w:pPr>
        <w:pStyle w:val="FootnoteText"/>
      </w:pPr>
      <w:r>
        <w:rPr>
          <w:rStyle w:val="FootnoteReference"/>
        </w:rPr>
        <w:footnoteRef/>
      </w:r>
      <w:r>
        <w:t xml:space="preserve"> Section 77, Patents Act 1977.</w:t>
      </w:r>
    </w:p>
  </w:footnote>
  <w:footnote w:id="3">
    <w:p w14:paraId="206DA5FF" w14:textId="77777777" w:rsidR="00BB4EBB" w:rsidRDefault="00BB4EBB">
      <w:pPr>
        <w:pStyle w:val="FootnoteText"/>
      </w:pPr>
      <w:r>
        <w:rPr>
          <w:rStyle w:val="FootnoteReference"/>
        </w:rPr>
        <w:footnoteRef/>
      </w:r>
      <w:r>
        <w:t xml:space="preserve"> Paragraph 6 of t</w:t>
      </w:r>
      <w:r w:rsidRPr="00DC754B">
        <w:t>he Community Trade Mark Regulations 2006 (SI</w:t>
      </w:r>
      <w:r>
        <w:t xml:space="preserve"> </w:t>
      </w:r>
      <w:r w:rsidRPr="00DC754B">
        <w:t>2006 No 1027)</w:t>
      </w:r>
      <w:r>
        <w:t>.</w:t>
      </w:r>
    </w:p>
  </w:footnote>
  <w:footnote w:id="4">
    <w:p w14:paraId="2985E049" w14:textId="77777777" w:rsidR="00BB4EBB" w:rsidRDefault="00BB4EBB">
      <w:pPr>
        <w:pStyle w:val="FootnoteText"/>
      </w:pPr>
      <w:r>
        <w:rPr>
          <w:rStyle w:val="FootnoteReference"/>
        </w:rPr>
        <w:footnoteRef/>
      </w:r>
      <w:r>
        <w:t xml:space="preserve"> </w:t>
      </w:r>
      <w:r w:rsidRPr="00DC754B">
        <w:t>SI 2005/2339</w:t>
      </w:r>
      <w:r>
        <w:t>.</w:t>
      </w:r>
    </w:p>
  </w:footnote>
  <w:footnote w:id="5">
    <w:p w14:paraId="0FFA1049" w14:textId="11E93DD9" w:rsidR="00BB4EBB" w:rsidRDefault="00BB4EBB" w:rsidP="0064050A">
      <w:pPr>
        <w:pStyle w:val="FootnoteText"/>
      </w:pPr>
      <w:r>
        <w:rPr>
          <w:rStyle w:val="FootnoteReference"/>
        </w:rPr>
        <w:footnoteRef/>
      </w:r>
      <w:r>
        <w:t xml:space="preserve"> Schedule A3 will apply certain provisions of the Patents Act 1977 to the European Patent wi</w:t>
      </w:r>
      <w:r w:rsidR="002A4F6B">
        <w:t>th unitary effect – a new, single patent right which extends across many EU countries</w:t>
      </w:r>
      <w:r>
        <w:t>. The schedule will be inserted into the 1977 Act when the Patents (European patent with Unitary Effect and Unified Patent Court) Order 2016 (SI 2016/388) comes into force. SI 2016/388</w:t>
      </w:r>
      <w:r w:rsidR="00D553FA">
        <w:t xml:space="preserve"> </w:t>
      </w:r>
      <w:r>
        <w:t xml:space="preserve">will come into force when the Unified Patent Court Agreement comes into effect. </w:t>
      </w:r>
    </w:p>
  </w:footnote>
  <w:footnote w:id="6">
    <w:p w14:paraId="074F8A1A" w14:textId="77777777" w:rsidR="00BB4EBB" w:rsidRDefault="00BB4EBB" w:rsidP="0064050A">
      <w:pPr>
        <w:pStyle w:val="FootnoteText"/>
      </w:pPr>
      <w:r>
        <w:rPr>
          <w:rStyle w:val="FootnoteReference"/>
        </w:rPr>
        <w:footnoteRef/>
      </w:r>
      <w:r>
        <w:t xml:space="preserve"> SI 2006/1027.</w:t>
      </w:r>
    </w:p>
  </w:footnote>
  <w:footnote w:id="7">
    <w:p w14:paraId="1171C929" w14:textId="77777777" w:rsidR="00BB4EBB" w:rsidRDefault="00BB4EBB" w:rsidP="0064050A">
      <w:pPr>
        <w:pStyle w:val="FootnoteText"/>
      </w:pPr>
      <w:r>
        <w:rPr>
          <w:rStyle w:val="FootnoteReference"/>
        </w:rPr>
        <w:footnoteRef/>
      </w:r>
      <w:r>
        <w:t xml:space="preserve"> There is one less section for design right as it is not a registered right. </w:t>
      </w:r>
    </w:p>
  </w:footnote>
  <w:footnote w:id="8">
    <w:p w14:paraId="553EE8D5" w14:textId="77777777" w:rsidR="00BB4EBB" w:rsidRDefault="00BB4EBB" w:rsidP="0064050A">
      <w:pPr>
        <w:pStyle w:val="FootnoteText"/>
      </w:pPr>
      <w:r>
        <w:rPr>
          <w:rStyle w:val="FootnoteReference"/>
        </w:rPr>
        <w:footnoteRef/>
      </w:r>
      <w:r>
        <w:t xml:space="preserve"> SI 2005/2339.</w:t>
      </w:r>
    </w:p>
  </w:footnote>
  <w:footnote w:id="9">
    <w:p w14:paraId="69772365" w14:textId="77777777" w:rsidR="00BB4EBB" w:rsidRDefault="00BB4EBB" w:rsidP="00476F11">
      <w:pPr>
        <w:pStyle w:val="FootnoteText"/>
      </w:pPr>
      <w:r>
        <w:rPr>
          <w:rStyle w:val="FootnoteReference"/>
        </w:rPr>
        <w:footnoteRef/>
      </w:r>
      <w:r>
        <w:t xml:space="preserve"> </w:t>
      </w:r>
      <w:bookmarkStart w:id="33" w:name="OLE_LINK2"/>
      <w:bookmarkStart w:id="34" w:name="OLE_LINK1"/>
      <w:r>
        <w:t xml:space="preserve">Section 21 for trade marks, section 26 for registered designs, section 253 for design right, and regulation 2 for Community designs. </w:t>
      </w:r>
      <w:bookmarkEnd w:id="33"/>
      <w:bookmarkEnd w:id="34"/>
    </w:p>
  </w:footnote>
  <w:footnote w:id="10">
    <w:p w14:paraId="1A95C8BD" w14:textId="77777777" w:rsidR="00BB4EBB" w:rsidRDefault="00BB4EBB" w:rsidP="00A4235C">
      <w:pPr>
        <w:pStyle w:val="FootnoteText"/>
      </w:pPr>
      <w:r>
        <w:rPr>
          <w:rStyle w:val="FootnoteReference"/>
        </w:rPr>
        <w:footnoteRef/>
      </w:r>
      <w:r>
        <w:t xml:space="preserve"> [2010] EWHC 1666 (Ch); [2011] EWCA Civ 618.</w:t>
      </w:r>
    </w:p>
  </w:footnote>
  <w:footnote w:id="11">
    <w:p w14:paraId="7F42B57A" w14:textId="77777777" w:rsidR="00BB4EBB" w:rsidRDefault="00BB4EBB" w:rsidP="00A4235C">
      <w:pPr>
        <w:pStyle w:val="FootnoteText"/>
      </w:pPr>
      <w:r>
        <w:rPr>
          <w:rStyle w:val="FootnoteReference"/>
        </w:rPr>
        <w:footnoteRef/>
      </w:r>
      <w:r>
        <w:t xml:space="preserve"> The threat need not exclusively relate to suing in UK courts.</w:t>
      </w:r>
    </w:p>
  </w:footnote>
  <w:footnote w:id="12">
    <w:p w14:paraId="3D38F9B7" w14:textId="77777777" w:rsidR="00BB4EBB" w:rsidRDefault="00BB4EBB" w:rsidP="00476F11">
      <w:pPr>
        <w:pStyle w:val="FootnoteText"/>
      </w:pPr>
      <w:r>
        <w:rPr>
          <w:rStyle w:val="FootnoteReference"/>
        </w:rPr>
        <w:footnoteRef/>
      </w:r>
      <w:r>
        <w:t xml:space="preserve"> See</w:t>
      </w:r>
      <w:r>
        <w:rPr>
          <w:i/>
        </w:rPr>
        <w:t xml:space="preserve"> Challender v Royle </w:t>
      </w:r>
      <w:r>
        <w:t>(1887) 4 RPC 362 at 375.</w:t>
      </w:r>
    </w:p>
  </w:footnote>
  <w:footnote w:id="13">
    <w:p w14:paraId="4DD0A6A4" w14:textId="77777777" w:rsidR="00BB4EBB" w:rsidRDefault="00BB4EBB" w:rsidP="00476F11">
      <w:pPr>
        <w:pStyle w:val="FootnoteText"/>
      </w:pPr>
      <w:r>
        <w:rPr>
          <w:rStyle w:val="FootnoteReference"/>
        </w:rPr>
        <w:footnoteRef/>
      </w:r>
      <w:r>
        <w:t xml:space="preserve"> In </w:t>
      </w:r>
      <w:r>
        <w:rPr>
          <w:i/>
        </w:rPr>
        <w:t xml:space="preserve">Global Flood Defence Systems Ltd v Van den Noort Innovations </w:t>
      </w:r>
      <w:r>
        <w:t>BV [2015] EWHC 153 (IPEC), the allegation put up on a webpage was that a product, similar to one the threatener was retailing, infringed its patent. The court held the test to be how this would be understood by a reasonable person in the position of a member of the flood prevention industry looking to buy such a product.</w:t>
      </w:r>
    </w:p>
  </w:footnote>
  <w:footnote w:id="14">
    <w:p w14:paraId="5895AE27" w14:textId="77777777" w:rsidR="00BB4EBB" w:rsidRDefault="00BB4EBB" w:rsidP="0095375B">
      <w:pPr>
        <w:pStyle w:val="FootnoteText"/>
      </w:pPr>
      <w:r>
        <w:rPr>
          <w:rStyle w:val="FootnoteReference"/>
        </w:rPr>
        <w:footnoteRef/>
      </w:r>
      <w:r>
        <w:t xml:space="preserve"> The equivalents are section 21A for trade marks, section 26A for registered designs, section 253A for design right, and regulation 2A for Community designs.</w:t>
      </w:r>
    </w:p>
  </w:footnote>
  <w:footnote w:id="15">
    <w:p w14:paraId="01470070" w14:textId="77777777" w:rsidR="00BB4EBB" w:rsidRDefault="00BB4EBB" w:rsidP="00476F11">
      <w:pPr>
        <w:pStyle w:val="FootnoteText"/>
      </w:pPr>
      <w:r>
        <w:rPr>
          <w:rStyle w:val="FootnoteReference"/>
        </w:rPr>
        <w:footnoteRef/>
      </w:r>
      <w:r>
        <w:t xml:space="preserve"> See </w:t>
      </w:r>
      <w:r>
        <w:rPr>
          <w:i/>
        </w:rPr>
        <w:t>Brain v Ingledew Brown Bennison and Garrett (No 3)</w:t>
      </w:r>
      <w:r>
        <w:t xml:space="preserve"> [1997-98] Info TLR 329, [1997] FSR 511 at 520 by Laddie J.</w:t>
      </w:r>
    </w:p>
  </w:footnote>
  <w:footnote w:id="16">
    <w:p w14:paraId="1BE87C3E" w14:textId="0DECBFAC" w:rsidR="00BB4EBB" w:rsidRDefault="00BB4EBB" w:rsidP="00476F11">
      <w:pPr>
        <w:pStyle w:val="FootnoteText"/>
      </w:pPr>
      <w:r>
        <w:rPr>
          <w:rStyle w:val="FootnoteReference"/>
        </w:rPr>
        <w:footnoteRef/>
      </w:r>
      <w:r>
        <w:t xml:space="preserve"> The existing exceptions are Patents Act 1977, section 70(4); Trade Marks Act 1994, sections 21(1)(a),(b) and (c); Registered Designs Act 1949, section 26(2A); Copyright, Designs and Patents Act 1988, section 253(3) and Community Design Regulations 2005, rule 2(5).</w:t>
      </w:r>
    </w:p>
  </w:footnote>
  <w:footnote w:id="17">
    <w:p w14:paraId="40F308CD" w14:textId="77777777" w:rsidR="00BB4EBB" w:rsidRDefault="00BB4EBB" w:rsidP="00476F11">
      <w:pPr>
        <w:pStyle w:val="FootnoteText"/>
      </w:pPr>
      <w:r>
        <w:rPr>
          <w:rStyle w:val="FootnoteReference"/>
        </w:rPr>
        <w:footnoteRef/>
      </w:r>
      <w:r>
        <w:t xml:space="preserve"> </w:t>
      </w:r>
      <w:r>
        <w:rPr>
          <w:rFonts w:cs="Arial"/>
          <w:szCs w:val="19"/>
        </w:rPr>
        <w:t>[1996] RPC 361</w:t>
      </w:r>
      <w:r>
        <w:rPr>
          <w:szCs w:val="19"/>
        </w:rPr>
        <w:t>.</w:t>
      </w:r>
    </w:p>
  </w:footnote>
  <w:footnote w:id="18">
    <w:p w14:paraId="46A5813E" w14:textId="77777777" w:rsidR="00BB4EBB" w:rsidRDefault="00BB4EBB" w:rsidP="00476F11">
      <w:pPr>
        <w:pStyle w:val="FootnoteText"/>
      </w:pPr>
      <w:r>
        <w:rPr>
          <w:rStyle w:val="FootnoteReference"/>
        </w:rPr>
        <w:footnoteRef/>
      </w:r>
      <w:r>
        <w:t xml:space="preserve"> Section 21B for trade marks, section 26B for registered designs, section 253B for design right, and regulation 2B for Community designs.</w:t>
      </w:r>
    </w:p>
  </w:footnote>
  <w:footnote w:id="19">
    <w:p w14:paraId="565C04BC" w14:textId="77777777" w:rsidR="00BB4EBB" w:rsidRDefault="00BB4EBB" w:rsidP="00515CE0">
      <w:pPr>
        <w:pStyle w:val="FootnoteText"/>
      </w:pPr>
      <w:r>
        <w:rPr>
          <w:rStyle w:val="FootnoteReference"/>
        </w:rPr>
        <w:footnoteRef/>
      </w:r>
      <w:r>
        <w:t xml:space="preserve"> The equivalents are section 21C(1) for trade marks, section 26C(1) for registered designs, section 253C(1) for design right, and regulation 2C(1) for Community designs.</w:t>
      </w:r>
    </w:p>
  </w:footnote>
  <w:footnote w:id="20">
    <w:p w14:paraId="232E78A4" w14:textId="77777777" w:rsidR="00BB4EBB" w:rsidRDefault="00BB4EBB" w:rsidP="00476F11">
      <w:pPr>
        <w:pStyle w:val="FootnoteText"/>
      </w:pPr>
      <w:r>
        <w:rPr>
          <w:rStyle w:val="FootnoteReference"/>
        </w:rPr>
        <w:footnoteRef/>
      </w:r>
      <w:r>
        <w:t xml:space="preserve"> See </w:t>
      </w:r>
      <w:r>
        <w:rPr>
          <w:i/>
        </w:rPr>
        <w:t>Ungar v Sugg</w:t>
      </w:r>
      <w:r>
        <w:t xml:space="preserve"> (1892) 9 RPC 114.</w:t>
      </w:r>
    </w:p>
  </w:footnote>
  <w:footnote w:id="21">
    <w:p w14:paraId="48D6E4F9" w14:textId="77777777" w:rsidR="00BB4EBB" w:rsidRDefault="00BB4EBB" w:rsidP="00476F11">
      <w:pPr>
        <w:pStyle w:val="FootnoteText"/>
      </w:pPr>
      <w:r>
        <w:rPr>
          <w:rStyle w:val="FootnoteReference"/>
        </w:rPr>
        <w:footnoteRef/>
      </w:r>
      <w:r>
        <w:t xml:space="preserve"> Section 21C(2) for trade marks, section 26C(2) for registered designs, section 253C(2) for design right, and regulation 2C(2) for Community designs.</w:t>
      </w:r>
    </w:p>
  </w:footnote>
  <w:footnote w:id="22">
    <w:p w14:paraId="771B038A" w14:textId="77777777" w:rsidR="00BB4EBB" w:rsidRDefault="00BB4EBB" w:rsidP="00476F11">
      <w:pPr>
        <w:pStyle w:val="FootnoteText"/>
      </w:pPr>
      <w:r>
        <w:rPr>
          <w:rStyle w:val="FootnoteReference"/>
        </w:rPr>
        <w:footnoteRef/>
      </w:r>
      <w:r>
        <w:t xml:space="preserve"> See </w:t>
      </w:r>
      <w:r>
        <w:rPr>
          <w:i/>
        </w:rPr>
        <w:t>Oragon Teknika v Hoffmann – La Roche</w:t>
      </w:r>
      <w:r>
        <w:t xml:space="preserve"> [1996] FSR 383.</w:t>
      </w:r>
    </w:p>
  </w:footnote>
  <w:footnote w:id="23">
    <w:p w14:paraId="6263B23A" w14:textId="77777777" w:rsidR="00BB4EBB" w:rsidRDefault="00BB4EBB" w:rsidP="00476F11">
      <w:pPr>
        <w:pStyle w:val="FootnoteText"/>
      </w:pPr>
      <w:r>
        <w:rPr>
          <w:rStyle w:val="FootnoteReference"/>
        </w:rPr>
        <w:footnoteRef/>
      </w:r>
      <w:r>
        <w:t xml:space="preserve"> Section 21C(3) for trade marks, section 26C(3) for registered designs, section 253C(3) for design right, and regulation 2C(3) for Community designs.</w:t>
      </w:r>
    </w:p>
  </w:footnote>
  <w:footnote w:id="24">
    <w:p w14:paraId="25B946E5" w14:textId="77777777" w:rsidR="00BB4EBB" w:rsidRDefault="00BB4EBB" w:rsidP="003E2D37">
      <w:pPr>
        <w:pStyle w:val="FootnoteText"/>
        <w:rPr>
          <w:rFonts w:cs="Arial"/>
          <w:szCs w:val="19"/>
        </w:rPr>
      </w:pPr>
      <w:r w:rsidRPr="00B42FAC">
        <w:rPr>
          <w:rStyle w:val="FootnoteReference"/>
          <w:rFonts w:asciiTheme="minorHAnsi" w:hAnsiTheme="minorHAnsi"/>
        </w:rPr>
        <w:footnoteRef/>
      </w:r>
      <w:r w:rsidRPr="00B42FAC">
        <w:rPr>
          <w:rFonts w:asciiTheme="minorHAnsi" w:hAnsiTheme="minorHAnsi"/>
        </w:rPr>
        <w:t xml:space="preserve"> </w:t>
      </w:r>
      <w:r w:rsidRPr="00B42FAC">
        <w:rPr>
          <w:rFonts w:asciiTheme="minorHAnsi" w:hAnsiTheme="minorHAnsi" w:cs="Arial-ItalicMT"/>
          <w:i/>
          <w:iCs/>
          <w:szCs w:val="19"/>
        </w:rPr>
        <w:t>Brain v Ingledew Brown Bennison &amp; Garrett</w:t>
      </w:r>
      <w:r>
        <w:rPr>
          <w:rFonts w:cs="Arial"/>
          <w:szCs w:val="19"/>
        </w:rPr>
        <w:t xml:space="preserve"> [1995] FSR 552</w:t>
      </w:r>
      <w:r>
        <w:rPr>
          <w:rFonts w:cs="Arial"/>
        </w:rPr>
        <w:t xml:space="preserve">; </w:t>
      </w:r>
      <w:r>
        <w:rPr>
          <w:rFonts w:cs="Arial"/>
          <w:szCs w:val="19"/>
        </w:rPr>
        <w:t>[1996] FSR 341</w:t>
      </w:r>
      <w:r>
        <w:rPr>
          <w:rFonts w:cs="Arial"/>
        </w:rPr>
        <w:t xml:space="preserve">; </w:t>
      </w:r>
      <w:r>
        <w:rPr>
          <w:rFonts w:cs="Arial"/>
          <w:szCs w:val="19"/>
        </w:rPr>
        <w:t>[1997] FSR 271</w:t>
      </w:r>
      <w:r>
        <w:rPr>
          <w:rFonts w:cs="Arial"/>
        </w:rPr>
        <w:t xml:space="preserve"> and </w:t>
      </w:r>
      <w:r>
        <w:rPr>
          <w:rFonts w:cs="Arial"/>
          <w:szCs w:val="19"/>
        </w:rPr>
        <w:t xml:space="preserve">[1997] FSR 511. </w:t>
      </w:r>
    </w:p>
    <w:p w14:paraId="4FE18147" w14:textId="77777777" w:rsidR="00BB4EBB" w:rsidRDefault="00BB4EBB" w:rsidP="003E2D37">
      <w:pPr>
        <w:pStyle w:val="FootnoteText"/>
      </w:pPr>
    </w:p>
  </w:footnote>
  <w:footnote w:id="25">
    <w:p w14:paraId="19296294" w14:textId="34ED3A04" w:rsidR="00FF1AB5" w:rsidRDefault="00FF1AB5">
      <w:pPr>
        <w:pStyle w:val="FootnoteText"/>
      </w:pPr>
      <w:r>
        <w:rPr>
          <w:rStyle w:val="FootnoteReference"/>
        </w:rPr>
        <w:footnoteRef/>
      </w:r>
      <w:r>
        <w:t xml:space="preserve"> The schedule will be inserted into the 1977 Act when the Patents (European patent with Unitary Effect and Unified Patent Court) Order 2016 (SI 2016/388) comes into force. SI 2016/388</w:t>
      </w:r>
      <w:r w:rsidR="00DD261F">
        <w:t xml:space="preserve"> </w:t>
      </w:r>
      <w:r>
        <w:t>will come into force when the Unified Patent Court Agreement comes into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C9E4" w14:textId="77777777" w:rsidR="00BB4EBB" w:rsidRDefault="00BB4EBB">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680D" w14:textId="77777777" w:rsidR="00BB4EBB" w:rsidRDefault="00BB4EB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014" w14:textId="77777777" w:rsidR="00BB4EBB" w:rsidRDefault="00BB4EB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E2D06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386E8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66A04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8742F2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2442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A42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CCDE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812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A45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9C9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35440"/>
    <w:multiLevelType w:val="hybridMultilevel"/>
    <w:tmpl w:val="B2E8ED30"/>
    <w:lvl w:ilvl="0" w:tplc="048A728E">
      <w:start w:val="1"/>
      <w:numFmt w:val="decimal"/>
      <w:lvlText w:val="Chapter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AA85067"/>
    <w:multiLevelType w:val="hybridMultilevel"/>
    <w:tmpl w:val="A57026CA"/>
    <w:lvl w:ilvl="0" w:tplc="7D84A536">
      <w:start w:val="1"/>
      <w:numFmt w:val="bullet"/>
      <w:pStyle w:val="ENBodyTextBullets"/>
      <w:lvlText w:val=""/>
      <w:lvlJc w:val="left"/>
      <w:pPr>
        <w:ind w:left="2880" w:hanging="360"/>
      </w:pPr>
      <w:rPr>
        <w:rFonts w:ascii="Symbol" w:hAnsi="Symbol" w:hint="default"/>
        <w:color w:val="4F81BD"/>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F355DF9"/>
    <w:multiLevelType w:val="hybridMultilevel"/>
    <w:tmpl w:val="207C8C52"/>
    <w:lvl w:ilvl="0" w:tplc="A7200A44">
      <w:start w:val="1"/>
      <w:numFmt w:val="decimal"/>
      <w:lvlText w:val="Clause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6166565"/>
    <w:multiLevelType w:val="hybridMultilevel"/>
    <w:tmpl w:val="0CEADF38"/>
    <w:lvl w:ilvl="0" w:tplc="CD802510">
      <w:start w:val="1"/>
      <w:numFmt w:val="bullet"/>
      <w:lvlText w:val=""/>
      <w:lvlJc w:val="left"/>
      <w:pPr>
        <w:ind w:left="720" w:hanging="360"/>
      </w:pPr>
      <w:rPr>
        <w:rFonts w:ascii="Symbol" w:hAnsi="Symbol" w:hint="default"/>
        <w:color w:val="548DD4"/>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73C8E"/>
    <w:multiLevelType w:val="hybridMultilevel"/>
    <w:tmpl w:val="16229CB8"/>
    <w:lvl w:ilvl="0" w:tplc="E98C3E98">
      <w:start w:val="1"/>
      <w:numFmt w:val="decimal"/>
      <w:pStyle w:val="ParaNumbered"/>
      <w:lvlText w:val="%1 "/>
      <w:lvlJc w:val="left"/>
      <w:pPr>
        <w:ind w:left="1069"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D1234B3"/>
    <w:multiLevelType w:val="hybridMultilevel"/>
    <w:tmpl w:val="6E40FDCE"/>
    <w:lvl w:ilvl="0" w:tplc="5F8625AA">
      <w:start w:val="1"/>
      <w:numFmt w:val="decimal"/>
      <w:pStyle w:val="SectionHeading"/>
      <w:lvlText w:val="Section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8186907"/>
    <w:multiLevelType w:val="hybridMultilevel"/>
    <w:tmpl w:val="3476DB72"/>
    <w:lvl w:ilvl="0" w:tplc="0AB07ADE">
      <w:start w:val="1"/>
      <w:numFmt w:val="bullet"/>
      <w:pStyle w:val="ENbodytextsub-bulletENmaintext"/>
      <w:lvlText w:val=""/>
      <w:lvlJc w:val="left"/>
      <w:pPr>
        <w:tabs>
          <w:tab w:val="num" w:pos="907"/>
        </w:tabs>
        <w:ind w:left="907" w:hanging="306"/>
      </w:pPr>
      <w:rPr>
        <w:rFonts w:ascii="Symbol" w:hAnsi="Symbol" w:hint="default"/>
        <w:color w:val="4F81BD"/>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F611FB"/>
    <w:multiLevelType w:val="hybridMultilevel"/>
    <w:tmpl w:val="16A0486A"/>
    <w:name w:val="MyListTemplate24"/>
    <w:lvl w:ilvl="0" w:tplc="9F8E9C06">
      <w:start w:val="1"/>
      <w:numFmt w:val="decimal"/>
      <w:lvlText w:val="4.%1"/>
      <w:lvlJc w:val="left"/>
      <w:pPr>
        <w:tabs>
          <w:tab w:val="num" w:pos="786"/>
        </w:tabs>
        <w:ind w:left="786" w:hanging="360"/>
      </w:pPr>
      <w:rPr>
        <w:rFonts w:cs="Times New Roman"/>
      </w:rPr>
    </w:lvl>
    <w:lvl w:ilvl="1" w:tplc="08090017">
      <w:start w:val="1"/>
      <w:numFmt w:val="lowerLetter"/>
      <w:lvlText w:val="%2)"/>
      <w:lvlJc w:val="left"/>
      <w:pPr>
        <w:tabs>
          <w:tab w:val="num" w:pos="2312"/>
        </w:tabs>
        <w:ind w:left="2312" w:hanging="360"/>
      </w:pPr>
      <w:rPr>
        <w:rFonts w:cs="Times New Roman"/>
      </w:rPr>
    </w:lvl>
    <w:lvl w:ilvl="2" w:tplc="0809001B">
      <w:start w:val="1"/>
      <w:numFmt w:val="lowerRoman"/>
      <w:lvlText w:val="%3."/>
      <w:lvlJc w:val="right"/>
      <w:pPr>
        <w:tabs>
          <w:tab w:val="num" w:pos="3032"/>
        </w:tabs>
        <w:ind w:left="3032" w:hanging="180"/>
      </w:pPr>
      <w:rPr>
        <w:rFonts w:cs="Times New Roman"/>
      </w:rPr>
    </w:lvl>
    <w:lvl w:ilvl="3" w:tplc="0809000F">
      <w:start w:val="1"/>
      <w:numFmt w:val="decimal"/>
      <w:lvlText w:val="%4."/>
      <w:lvlJc w:val="left"/>
      <w:pPr>
        <w:tabs>
          <w:tab w:val="num" w:pos="3752"/>
        </w:tabs>
        <w:ind w:left="3752" w:hanging="360"/>
      </w:pPr>
      <w:rPr>
        <w:rFonts w:cs="Times New Roman"/>
      </w:rPr>
    </w:lvl>
    <w:lvl w:ilvl="4" w:tplc="20F4ACCE">
      <w:start w:val="1"/>
      <w:numFmt w:val="decimal"/>
      <w:lvlText w:val="(%5)"/>
      <w:lvlJc w:val="left"/>
      <w:pPr>
        <w:tabs>
          <w:tab w:val="num" w:pos="4577"/>
        </w:tabs>
        <w:ind w:left="4577" w:hanging="465"/>
      </w:pPr>
      <w:rPr>
        <w:rFonts w:cs="Times New Roman"/>
      </w:rPr>
    </w:lvl>
    <w:lvl w:ilvl="5" w:tplc="0809001B">
      <w:start w:val="1"/>
      <w:numFmt w:val="lowerRoman"/>
      <w:lvlText w:val="%6."/>
      <w:lvlJc w:val="right"/>
      <w:pPr>
        <w:tabs>
          <w:tab w:val="num" w:pos="5192"/>
        </w:tabs>
        <w:ind w:left="5192" w:hanging="180"/>
      </w:pPr>
      <w:rPr>
        <w:rFonts w:cs="Times New Roman"/>
      </w:rPr>
    </w:lvl>
    <w:lvl w:ilvl="6" w:tplc="0809000F">
      <w:start w:val="1"/>
      <w:numFmt w:val="decimal"/>
      <w:lvlText w:val="%7."/>
      <w:lvlJc w:val="left"/>
      <w:pPr>
        <w:tabs>
          <w:tab w:val="num" w:pos="5912"/>
        </w:tabs>
        <w:ind w:left="5912" w:hanging="360"/>
      </w:pPr>
      <w:rPr>
        <w:rFonts w:cs="Times New Roman"/>
      </w:rPr>
    </w:lvl>
    <w:lvl w:ilvl="7" w:tplc="08090019">
      <w:start w:val="1"/>
      <w:numFmt w:val="lowerLetter"/>
      <w:lvlText w:val="%8."/>
      <w:lvlJc w:val="left"/>
      <w:pPr>
        <w:tabs>
          <w:tab w:val="num" w:pos="6632"/>
        </w:tabs>
        <w:ind w:left="6632" w:hanging="360"/>
      </w:pPr>
      <w:rPr>
        <w:rFonts w:cs="Times New Roman"/>
      </w:rPr>
    </w:lvl>
    <w:lvl w:ilvl="8" w:tplc="0809001B">
      <w:start w:val="1"/>
      <w:numFmt w:val="lowerRoman"/>
      <w:lvlText w:val="%9."/>
      <w:lvlJc w:val="right"/>
      <w:pPr>
        <w:tabs>
          <w:tab w:val="num" w:pos="7352"/>
        </w:tabs>
        <w:ind w:left="7352" w:hanging="180"/>
      </w:pPr>
      <w:rPr>
        <w:rFonts w:cs="Times New Roman"/>
      </w:rPr>
    </w:lvl>
  </w:abstractNum>
  <w:abstractNum w:abstractNumId="18" w15:restartNumberingAfterBreak="0">
    <w:nsid w:val="603D3EAF"/>
    <w:multiLevelType w:val="hybridMultilevel"/>
    <w:tmpl w:val="F2A2F57A"/>
    <w:lvl w:ilvl="0" w:tplc="046CEF7A">
      <w:start w:val="1"/>
      <w:numFmt w:val="decimal"/>
      <w:lvlText w:val="Part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D6209C4"/>
    <w:multiLevelType w:val="hybridMultilevel"/>
    <w:tmpl w:val="3768F198"/>
    <w:lvl w:ilvl="0" w:tplc="CD802510">
      <w:start w:val="1"/>
      <w:numFmt w:val="bullet"/>
      <w:pStyle w:val="ENIntroTextBulleted"/>
      <w:lvlText w:val=""/>
      <w:lvlJc w:val="left"/>
      <w:pPr>
        <w:ind w:left="720" w:hanging="360"/>
      </w:pPr>
      <w:rPr>
        <w:rFonts w:ascii="Symbol" w:hAnsi="Symbol" w:hint="default"/>
        <w:color w:val="548DD4"/>
        <w:sz w:val="3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26A0A"/>
    <w:multiLevelType w:val="hybridMultilevel"/>
    <w:tmpl w:val="69627118"/>
    <w:lvl w:ilvl="0" w:tplc="33746120">
      <w:start w:val="1"/>
      <w:numFmt w:val="bullet"/>
      <w:pStyle w:val="ENtabletextsub-bulletsTables"/>
      <w:lvlText w:val=""/>
      <w:lvlJc w:val="left"/>
      <w:pPr>
        <w:tabs>
          <w:tab w:val="num" w:pos="794"/>
        </w:tabs>
        <w:ind w:left="794" w:hanging="454"/>
      </w:pPr>
      <w:rPr>
        <w:rFonts w:ascii="Symbol" w:hAnsi="Symbol" w:hint="default"/>
        <w:color w:val="4F81B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735626"/>
    <w:multiLevelType w:val="hybridMultilevel"/>
    <w:tmpl w:val="2D0EBFEC"/>
    <w:lvl w:ilvl="0" w:tplc="69E4EBA2">
      <w:start w:val="1"/>
      <w:numFmt w:val="decimal"/>
      <w:pStyle w:val="ScheduleHeading"/>
      <w:lvlText w:val="Schedule %1: "/>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E060E78"/>
    <w:multiLevelType w:val="hybridMultilevel"/>
    <w:tmpl w:val="70585684"/>
    <w:lvl w:ilvl="0" w:tplc="868641D4">
      <w:start w:val="1"/>
      <w:numFmt w:val="bullet"/>
      <w:pStyle w:val="ParaBulleted"/>
      <w:lvlText w:val=""/>
      <w:lvlJc w:val="left"/>
      <w:pPr>
        <w:ind w:left="1778" w:hanging="360"/>
      </w:pPr>
      <w:rPr>
        <w:rFonts w:ascii="Symbol" w:hAnsi="Symbol" w:hint="default"/>
        <w:color w:val="4F81BD"/>
        <w:sz w:val="32"/>
        <w:u w:color="FFFFFF"/>
      </w:rPr>
    </w:lvl>
    <w:lvl w:ilvl="1" w:tplc="08090003">
      <w:start w:val="1"/>
      <w:numFmt w:val="bullet"/>
      <w:lvlText w:val="o"/>
      <w:lvlJc w:val="left"/>
      <w:pPr>
        <w:ind w:left="2574" w:hanging="360"/>
      </w:pPr>
      <w:rPr>
        <w:rFonts w:ascii="Courier New" w:hAnsi="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032262092">
    <w:abstractNumId w:val="11"/>
  </w:num>
  <w:num w:numId="2" w16cid:durableId="1023675484">
    <w:abstractNumId w:val="16"/>
  </w:num>
  <w:num w:numId="3" w16cid:durableId="1845168524">
    <w:abstractNumId w:val="20"/>
  </w:num>
  <w:num w:numId="4" w16cid:durableId="962075312">
    <w:abstractNumId w:val="19"/>
  </w:num>
  <w:num w:numId="5" w16cid:durableId="903832228">
    <w:abstractNumId w:val="14"/>
  </w:num>
  <w:num w:numId="6" w16cid:durableId="368845424">
    <w:abstractNumId w:val="21"/>
  </w:num>
  <w:num w:numId="7" w16cid:durableId="1340548212">
    <w:abstractNumId w:val="10"/>
  </w:num>
  <w:num w:numId="8" w16cid:durableId="287855747">
    <w:abstractNumId w:val="12"/>
  </w:num>
  <w:num w:numId="9" w16cid:durableId="1365715218">
    <w:abstractNumId w:val="18"/>
  </w:num>
  <w:num w:numId="10" w16cid:durableId="1923292931">
    <w:abstractNumId w:val="15"/>
  </w:num>
  <w:num w:numId="11" w16cid:durableId="1309479147">
    <w:abstractNumId w:val="22"/>
  </w:num>
  <w:num w:numId="12" w16cid:durableId="1961105928">
    <w:abstractNumId w:val="14"/>
    <w:lvlOverride w:ilvl="0">
      <w:startOverride w:val="1"/>
    </w:lvlOverride>
  </w:num>
  <w:num w:numId="13" w16cid:durableId="1325357157">
    <w:abstractNumId w:val="9"/>
  </w:num>
  <w:num w:numId="14" w16cid:durableId="453259022">
    <w:abstractNumId w:val="7"/>
  </w:num>
  <w:num w:numId="15" w16cid:durableId="718286246">
    <w:abstractNumId w:val="6"/>
  </w:num>
  <w:num w:numId="16" w16cid:durableId="383917114">
    <w:abstractNumId w:val="5"/>
  </w:num>
  <w:num w:numId="17" w16cid:durableId="642540268">
    <w:abstractNumId w:val="4"/>
  </w:num>
  <w:num w:numId="18" w16cid:durableId="219295883">
    <w:abstractNumId w:val="8"/>
  </w:num>
  <w:num w:numId="19" w16cid:durableId="630206651">
    <w:abstractNumId w:val="3"/>
  </w:num>
  <w:num w:numId="20" w16cid:durableId="1488935100">
    <w:abstractNumId w:val="2"/>
  </w:num>
  <w:num w:numId="21" w16cid:durableId="174346132">
    <w:abstractNumId w:val="1"/>
  </w:num>
  <w:num w:numId="22" w16cid:durableId="1777365047">
    <w:abstractNumId w:val="0"/>
  </w:num>
  <w:num w:numId="23" w16cid:durableId="69039429">
    <w:abstractNumId w:val="13"/>
  </w:num>
  <w:num w:numId="24" w16cid:durableId="1667443549">
    <w:abstractNumId w:val="19"/>
    <w:lvlOverride w:ilvl="0">
      <w:startOverride w:val="1"/>
    </w:lvlOverride>
  </w:num>
  <w:num w:numId="25" w16cid:durableId="61677666">
    <w:abstractNumId w:val="13"/>
  </w:num>
  <w:num w:numId="26" w16cid:durableId="760415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51498">
    <w:abstractNumId w:val="17"/>
  </w:num>
  <w:num w:numId="28" w16cid:durableId="1435369577">
    <w:abstractNumId w:val="14"/>
    <w:lvlOverride w:ilvl="0">
      <w:startOverride w:val="1"/>
    </w:lvlOverride>
  </w:num>
  <w:num w:numId="29" w16cid:durableId="574633620">
    <w:abstractNumId w:val="14"/>
    <w:lvlOverride w:ilvl="0">
      <w:startOverride w:val="1"/>
    </w:lvlOverride>
  </w:num>
  <w:num w:numId="30" w16cid:durableId="2020965866">
    <w:abstractNumId w:val="14"/>
    <w:lvlOverride w:ilvl="0">
      <w:startOverride w:val="1"/>
    </w:lvlOverride>
  </w:num>
  <w:num w:numId="31" w16cid:durableId="1368333929">
    <w:abstractNumId w:val="14"/>
    <w:lvlOverride w:ilvl="0">
      <w:startOverride w:val="1"/>
    </w:lvlOverride>
  </w:num>
  <w:num w:numId="32" w16cid:durableId="1266771223">
    <w:abstractNumId w:val="14"/>
    <w:lvlOverride w:ilvl="0">
      <w:startOverride w:val="1"/>
    </w:lvlOverride>
  </w:num>
  <w:num w:numId="33" w16cid:durableId="888689630">
    <w:abstractNumId w:val="14"/>
    <w:lvlOverride w:ilvl="0">
      <w:startOverride w:val="1"/>
    </w:lvlOverride>
  </w:num>
  <w:num w:numId="34" w16cid:durableId="1388409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3202307">
    <w:abstractNumId w:val="14"/>
    <w:lvlOverride w:ilvl="0">
      <w:startOverride w:val="1"/>
    </w:lvlOverride>
  </w:num>
  <w:num w:numId="36" w16cid:durableId="1325669055">
    <w:abstractNumId w:val="14"/>
    <w:lvlOverride w:ilvl="0">
      <w:startOverride w:val="1"/>
    </w:lvlOverride>
  </w:num>
  <w:num w:numId="37" w16cid:durableId="554586291">
    <w:abstractNumId w:val="1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formsDesig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1"/>
    <w:rsid w:val="00001318"/>
    <w:rsid w:val="00004D1F"/>
    <w:rsid w:val="00004DFE"/>
    <w:rsid w:val="0000775E"/>
    <w:rsid w:val="00007D9E"/>
    <w:rsid w:val="000112DC"/>
    <w:rsid w:val="00014DEC"/>
    <w:rsid w:val="0002300F"/>
    <w:rsid w:val="000268DC"/>
    <w:rsid w:val="0003386D"/>
    <w:rsid w:val="000338CB"/>
    <w:rsid w:val="000412BB"/>
    <w:rsid w:val="000415F3"/>
    <w:rsid w:val="000429FD"/>
    <w:rsid w:val="00042B08"/>
    <w:rsid w:val="00043D78"/>
    <w:rsid w:val="00045D82"/>
    <w:rsid w:val="00046CD5"/>
    <w:rsid w:val="00050013"/>
    <w:rsid w:val="00050601"/>
    <w:rsid w:val="0005350B"/>
    <w:rsid w:val="000540B0"/>
    <w:rsid w:val="000578FC"/>
    <w:rsid w:val="00061E87"/>
    <w:rsid w:val="00065579"/>
    <w:rsid w:val="00065776"/>
    <w:rsid w:val="00065D36"/>
    <w:rsid w:val="00065ECF"/>
    <w:rsid w:val="000700CC"/>
    <w:rsid w:val="000701B8"/>
    <w:rsid w:val="0007069A"/>
    <w:rsid w:val="000719F9"/>
    <w:rsid w:val="00072270"/>
    <w:rsid w:val="000732B8"/>
    <w:rsid w:val="00075057"/>
    <w:rsid w:val="000750B7"/>
    <w:rsid w:val="00076797"/>
    <w:rsid w:val="0007714D"/>
    <w:rsid w:val="00077901"/>
    <w:rsid w:val="000815DA"/>
    <w:rsid w:val="0008456A"/>
    <w:rsid w:val="00084703"/>
    <w:rsid w:val="00086349"/>
    <w:rsid w:val="00095AEB"/>
    <w:rsid w:val="00096150"/>
    <w:rsid w:val="000969FF"/>
    <w:rsid w:val="00097181"/>
    <w:rsid w:val="000A1BE6"/>
    <w:rsid w:val="000A4160"/>
    <w:rsid w:val="000A60B6"/>
    <w:rsid w:val="000A6A75"/>
    <w:rsid w:val="000A7943"/>
    <w:rsid w:val="000A7ADE"/>
    <w:rsid w:val="000B2F29"/>
    <w:rsid w:val="000B6C3B"/>
    <w:rsid w:val="000B746B"/>
    <w:rsid w:val="000B7AE4"/>
    <w:rsid w:val="000C63A7"/>
    <w:rsid w:val="000C7E66"/>
    <w:rsid w:val="000D45D3"/>
    <w:rsid w:val="000D4C89"/>
    <w:rsid w:val="000D7E14"/>
    <w:rsid w:val="000E4419"/>
    <w:rsid w:val="000E45AE"/>
    <w:rsid w:val="000F0367"/>
    <w:rsid w:val="000F09B4"/>
    <w:rsid w:val="000F120C"/>
    <w:rsid w:val="000F4123"/>
    <w:rsid w:val="000F4A3B"/>
    <w:rsid w:val="000F6DE6"/>
    <w:rsid w:val="00103E71"/>
    <w:rsid w:val="001045E9"/>
    <w:rsid w:val="001045F1"/>
    <w:rsid w:val="00104E20"/>
    <w:rsid w:val="001153DA"/>
    <w:rsid w:val="001172FE"/>
    <w:rsid w:val="0012054F"/>
    <w:rsid w:val="001208B2"/>
    <w:rsid w:val="001221E5"/>
    <w:rsid w:val="001237E2"/>
    <w:rsid w:val="00124DF5"/>
    <w:rsid w:val="00131985"/>
    <w:rsid w:val="001322E6"/>
    <w:rsid w:val="0013437D"/>
    <w:rsid w:val="00136467"/>
    <w:rsid w:val="00140508"/>
    <w:rsid w:val="00143E02"/>
    <w:rsid w:val="001525AB"/>
    <w:rsid w:val="001542E6"/>
    <w:rsid w:val="0015534E"/>
    <w:rsid w:val="00156AA2"/>
    <w:rsid w:val="0016101E"/>
    <w:rsid w:val="00164F74"/>
    <w:rsid w:val="00172811"/>
    <w:rsid w:val="00174D63"/>
    <w:rsid w:val="00181EA1"/>
    <w:rsid w:val="0018232A"/>
    <w:rsid w:val="001877AD"/>
    <w:rsid w:val="00187E14"/>
    <w:rsid w:val="00197FDB"/>
    <w:rsid w:val="001A132D"/>
    <w:rsid w:val="001A3DF4"/>
    <w:rsid w:val="001A4879"/>
    <w:rsid w:val="001A4B8A"/>
    <w:rsid w:val="001A5370"/>
    <w:rsid w:val="001A58C9"/>
    <w:rsid w:val="001A6943"/>
    <w:rsid w:val="001B0FCA"/>
    <w:rsid w:val="001B3803"/>
    <w:rsid w:val="001B509F"/>
    <w:rsid w:val="001B581E"/>
    <w:rsid w:val="001B7156"/>
    <w:rsid w:val="001B7CBA"/>
    <w:rsid w:val="001C294E"/>
    <w:rsid w:val="001C3AFF"/>
    <w:rsid w:val="001C4482"/>
    <w:rsid w:val="001C7E43"/>
    <w:rsid w:val="001D1AF0"/>
    <w:rsid w:val="001D1F68"/>
    <w:rsid w:val="001D354B"/>
    <w:rsid w:val="001D669A"/>
    <w:rsid w:val="001E0F8B"/>
    <w:rsid w:val="001E6B3D"/>
    <w:rsid w:val="001F0BE5"/>
    <w:rsid w:val="001F2D93"/>
    <w:rsid w:val="001F36D8"/>
    <w:rsid w:val="001F3C7A"/>
    <w:rsid w:val="00200C09"/>
    <w:rsid w:val="002042BC"/>
    <w:rsid w:val="00206464"/>
    <w:rsid w:val="00211760"/>
    <w:rsid w:val="002139F7"/>
    <w:rsid w:val="0021515C"/>
    <w:rsid w:val="002161B4"/>
    <w:rsid w:val="0021625A"/>
    <w:rsid w:val="00216BF3"/>
    <w:rsid w:val="00217D23"/>
    <w:rsid w:val="0022481F"/>
    <w:rsid w:val="00224C34"/>
    <w:rsid w:val="00225AD7"/>
    <w:rsid w:val="002318A8"/>
    <w:rsid w:val="00232A21"/>
    <w:rsid w:val="00234BEC"/>
    <w:rsid w:val="00236709"/>
    <w:rsid w:val="00236DD3"/>
    <w:rsid w:val="002463AF"/>
    <w:rsid w:val="00247AB1"/>
    <w:rsid w:val="002525FC"/>
    <w:rsid w:val="00253CA4"/>
    <w:rsid w:val="00256D46"/>
    <w:rsid w:val="00260FF4"/>
    <w:rsid w:val="0026345E"/>
    <w:rsid w:val="002642C6"/>
    <w:rsid w:val="00266EE5"/>
    <w:rsid w:val="0027009A"/>
    <w:rsid w:val="00271DB8"/>
    <w:rsid w:val="0027282E"/>
    <w:rsid w:val="00273B69"/>
    <w:rsid w:val="00273C4C"/>
    <w:rsid w:val="002833D1"/>
    <w:rsid w:val="00284909"/>
    <w:rsid w:val="00286630"/>
    <w:rsid w:val="00287AE9"/>
    <w:rsid w:val="002901F5"/>
    <w:rsid w:val="002966BE"/>
    <w:rsid w:val="0029699E"/>
    <w:rsid w:val="002A02DD"/>
    <w:rsid w:val="002A05AA"/>
    <w:rsid w:val="002A1E05"/>
    <w:rsid w:val="002A2D0D"/>
    <w:rsid w:val="002A3C6B"/>
    <w:rsid w:val="002A4CD0"/>
    <w:rsid w:val="002A4F6B"/>
    <w:rsid w:val="002A6C13"/>
    <w:rsid w:val="002A7886"/>
    <w:rsid w:val="002B432B"/>
    <w:rsid w:val="002B44BC"/>
    <w:rsid w:val="002B5B54"/>
    <w:rsid w:val="002B7C3B"/>
    <w:rsid w:val="002C116F"/>
    <w:rsid w:val="002C4107"/>
    <w:rsid w:val="002C7832"/>
    <w:rsid w:val="002D09AF"/>
    <w:rsid w:val="002D2657"/>
    <w:rsid w:val="002D4E22"/>
    <w:rsid w:val="002D6CFF"/>
    <w:rsid w:val="002E0272"/>
    <w:rsid w:val="002E0461"/>
    <w:rsid w:val="002E0B3C"/>
    <w:rsid w:val="002E67F4"/>
    <w:rsid w:val="002F0561"/>
    <w:rsid w:val="002F25E0"/>
    <w:rsid w:val="002F3226"/>
    <w:rsid w:val="002F3D6A"/>
    <w:rsid w:val="002F6B94"/>
    <w:rsid w:val="003039D2"/>
    <w:rsid w:val="00311764"/>
    <w:rsid w:val="00312AD8"/>
    <w:rsid w:val="00312E5F"/>
    <w:rsid w:val="00321AAB"/>
    <w:rsid w:val="003256E3"/>
    <w:rsid w:val="00325FC8"/>
    <w:rsid w:val="0032619F"/>
    <w:rsid w:val="003416C8"/>
    <w:rsid w:val="00342544"/>
    <w:rsid w:val="00343FD3"/>
    <w:rsid w:val="00350530"/>
    <w:rsid w:val="0035622C"/>
    <w:rsid w:val="0036268E"/>
    <w:rsid w:val="00362757"/>
    <w:rsid w:val="0036347F"/>
    <w:rsid w:val="003638D6"/>
    <w:rsid w:val="00365276"/>
    <w:rsid w:val="00371BCB"/>
    <w:rsid w:val="00373D55"/>
    <w:rsid w:val="003743AA"/>
    <w:rsid w:val="00375FF7"/>
    <w:rsid w:val="00376177"/>
    <w:rsid w:val="00386BD4"/>
    <w:rsid w:val="00391D9E"/>
    <w:rsid w:val="003925B4"/>
    <w:rsid w:val="00393B49"/>
    <w:rsid w:val="00394D45"/>
    <w:rsid w:val="003978EA"/>
    <w:rsid w:val="00397B71"/>
    <w:rsid w:val="003A448B"/>
    <w:rsid w:val="003A5D4B"/>
    <w:rsid w:val="003B0D69"/>
    <w:rsid w:val="003B3C0E"/>
    <w:rsid w:val="003B463F"/>
    <w:rsid w:val="003C0433"/>
    <w:rsid w:val="003C1DD1"/>
    <w:rsid w:val="003C3054"/>
    <w:rsid w:val="003C3349"/>
    <w:rsid w:val="003D027C"/>
    <w:rsid w:val="003D0578"/>
    <w:rsid w:val="003D34FD"/>
    <w:rsid w:val="003E2980"/>
    <w:rsid w:val="003E2D37"/>
    <w:rsid w:val="003E440A"/>
    <w:rsid w:val="003E5213"/>
    <w:rsid w:val="003E56CA"/>
    <w:rsid w:val="003E6936"/>
    <w:rsid w:val="003E7FD0"/>
    <w:rsid w:val="003F25D6"/>
    <w:rsid w:val="003F2DD6"/>
    <w:rsid w:val="003F3107"/>
    <w:rsid w:val="00400DB1"/>
    <w:rsid w:val="00400EB7"/>
    <w:rsid w:val="00402646"/>
    <w:rsid w:val="004070EE"/>
    <w:rsid w:val="00413C5A"/>
    <w:rsid w:val="0041649F"/>
    <w:rsid w:val="00416650"/>
    <w:rsid w:val="00422075"/>
    <w:rsid w:val="00424480"/>
    <w:rsid w:val="004247ED"/>
    <w:rsid w:val="00425CEA"/>
    <w:rsid w:val="00427B8C"/>
    <w:rsid w:val="004312CA"/>
    <w:rsid w:val="00432968"/>
    <w:rsid w:val="004373CA"/>
    <w:rsid w:val="00442F12"/>
    <w:rsid w:val="0044491F"/>
    <w:rsid w:val="00444E06"/>
    <w:rsid w:val="004518AA"/>
    <w:rsid w:val="00455297"/>
    <w:rsid w:val="004552A2"/>
    <w:rsid w:val="004577DB"/>
    <w:rsid w:val="00460ADB"/>
    <w:rsid w:val="0046220F"/>
    <w:rsid w:val="00464007"/>
    <w:rsid w:val="00465828"/>
    <w:rsid w:val="00466442"/>
    <w:rsid w:val="00467065"/>
    <w:rsid w:val="00467BCA"/>
    <w:rsid w:val="00474F15"/>
    <w:rsid w:val="00476F11"/>
    <w:rsid w:val="00476F40"/>
    <w:rsid w:val="00482C0F"/>
    <w:rsid w:val="00482F36"/>
    <w:rsid w:val="00484165"/>
    <w:rsid w:val="0048550F"/>
    <w:rsid w:val="00485893"/>
    <w:rsid w:val="004868B2"/>
    <w:rsid w:val="004A0D5D"/>
    <w:rsid w:val="004A448F"/>
    <w:rsid w:val="004A4998"/>
    <w:rsid w:val="004A620E"/>
    <w:rsid w:val="004A7094"/>
    <w:rsid w:val="004B22CD"/>
    <w:rsid w:val="004B38A5"/>
    <w:rsid w:val="004B40BF"/>
    <w:rsid w:val="004B50F3"/>
    <w:rsid w:val="004B5206"/>
    <w:rsid w:val="004B5D0E"/>
    <w:rsid w:val="004B7004"/>
    <w:rsid w:val="004B7976"/>
    <w:rsid w:val="004C268A"/>
    <w:rsid w:val="004C37C8"/>
    <w:rsid w:val="004C6A61"/>
    <w:rsid w:val="004C6EB0"/>
    <w:rsid w:val="004C72A4"/>
    <w:rsid w:val="004D14CE"/>
    <w:rsid w:val="004D1C89"/>
    <w:rsid w:val="004D2B07"/>
    <w:rsid w:val="004D65E1"/>
    <w:rsid w:val="004D78E5"/>
    <w:rsid w:val="004E0D77"/>
    <w:rsid w:val="004E1F74"/>
    <w:rsid w:val="004E620B"/>
    <w:rsid w:val="004E6CD3"/>
    <w:rsid w:val="004F1D54"/>
    <w:rsid w:val="004F482F"/>
    <w:rsid w:val="004F7414"/>
    <w:rsid w:val="004F7B56"/>
    <w:rsid w:val="005009A0"/>
    <w:rsid w:val="00504B8C"/>
    <w:rsid w:val="005100F9"/>
    <w:rsid w:val="005126F1"/>
    <w:rsid w:val="005150EA"/>
    <w:rsid w:val="00515CE0"/>
    <w:rsid w:val="00515E3D"/>
    <w:rsid w:val="00517166"/>
    <w:rsid w:val="00520E83"/>
    <w:rsid w:val="0052134E"/>
    <w:rsid w:val="00524AEF"/>
    <w:rsid w:val="0052563F"/>
    <w:rsid w:val="00525F8D"/>
    <w:rsid w:val="00526C7D"/>
    <w:rsid w:val="005274F0"/>
    <w:rsid w:val="0053170D"/>
    <w:rsid w:val="00533FE9"/>
    <w:rsid w:val="005353D2"/>
    <w:rsid w:val="00535C4E"/>
    <w:rsid w:val="005377B7"/>
    <w:rsid w:val="005377C9"/>
    <w:rsid w:val="0054044F"/>
    <w:rsid w:val="00553065"/>
    <w:rsid w:val="00554FEE"/>
    <w:rsid w:val="005600B7"/>
    <w:rsid w:val="00560523"/>
    <w:rsid w:val="00561574"/>
    <w:rsid w:val="00562FA7"/>
    <w:rsid w:val="00570F3C"/>
    <w:rsid w:val="00573D03"/>
    <w:rsid w:val="00574358"/>
    <w:rsid w:val="00576BC2"/>
    <w:rsid w:val="00576DF6"/>
    <w:rsid w:val="00580CAD"/>
    <w:rsid w:val="0058102D"/>
    <w:rsid w:val="00582FC8"/>
    <w:rsid w:val="00584414"/>
    <w:rsid w:val="00584C91"/>
    <w:rsid w:val="00587098"/>
    <w:rsid w:val="00591510"/>
    <w:rsid w:val="00591779"/>
    <w:rsid w:val="0059596A"/>
    <w:rsid w:val="00597039"/>
    <w:rsid w:val="005A0888"/>
    <w:rsid w:val="005A2759"/>
    <w:rsid w:val="005A58A6"/>
    <w:rsid w:val="005B1515"/>
    <w:rsid w:val="005B74BE"/>
    <w:rsid w:val="005B7954"/>
    <w:rsid w:val="005C0B1D"/>
    <w:rsid w:val="005C0EC5"/>
    <w:rsid w:val="005C27D3"/>
    <w:rsid w:val="005C35B9"/>
    <w:rsid w:val="005C5FA8"/>
    <w:rsid w:val="005C781A"/>
    <w:rsid w:val="005D0F14"/>
    <w:rsid w:val="005D26ED"/>
    <w:rsid w:val="005D2DFD"/>
    <w:rsid w:val="005D5C40"/>
    <w:rsid w:val="005D7BA7"/>
    <w:rsid w:val="005E19D6"/>
    <w:rsid w:val="005E3886"/>
    <w:rsid w:val="005F0377"/>
    <w:rsid w:val="005F0BCC"/>
    <w:rsid w:val="005F0C99"/>
    <w:rsid w:val="005F4902"/>
    <w:rsid w:val="005F51AA"/>
    <w:rsid w:val="005F5909"/>
    <w:rsid w:val="005F6F2A"/>
    <w:rsid w:val="0060139C"/>
    <w:rsid w:val="00603868"/>
    <w:rsid w:val="00603E87"/>
    <w:rsid w:val="00604148"/>
    <w:rsid w:val="00606E7A"/>
    <w:rsid w:val="00611210"/>
    <w:rsid w:val="0061277B"/>
    <w:rsid w:val="006145FB"/>
    <w:rsid w:val="0061470F"/>
    <w:rsid w:val="00621BA2"/>
    <w:rsid w:val="006223FC"/>
    <w:rsid w:val="00623791"/>
    <w:rsid w:val="0062744F"/>
    <w:rsid w:val="00627E68"/>
    <w:rsid w:val="00630235"/>
    <w:rsid w:val="00630E92"/>
    <w:rsid w:val="0064050A"/>
    <w:rsid w:val="00641A9A"/>
    <w:rsid w:val="006437E5"/>
    <w:rsid w:val="006447A5"/>
    <w:rsid w:val="00644999"/>
    <w:rsid w:val="00645C26"/>
    <w:rsid w:val="00646432"/>
    <w:rsid w:val="00647DC6"/>
    <w:rsid w:val="00650620"/>
    <w:rsid w:val="00650CAA"/>
    <w:rsid w:val="00650F94"/>
    <w:rsid w:val="00651509"/>
    <w:rsid w:val="00651F8A"/>
    <w:rsid w:val="00653129"/>
    <w:rsid w:val="00653232"/>
    <w:rsid w:val="006549E2"/>
    <w:rsid w:val="006552DB"/>
    <w:rsid w:val="00657CA4"/>
    <w:rsid w:val="00665F7C"/>
    <w:rsid w:val="00667233"/>
    <w:rsid w:val="006703C1"/>
    <w:rsid w:val="0067310B"/>
    <w:rsid w:val="00673D70"/>
    <w:rsid w:val="0067675A"/>
    <w:rsid w:val="006773BB"/>
    <w:rsid w:val="0067758B"/>
    <w:rsid w:val="0068052E"/>
    <w:rsid w:val="00681728"/>
    <w:rsid w:val="006824BD"/>
    <w:rsid w:val="00682A6F"/>
    <w:rsid w:val="00682DC2"/>
    <w:rsid w:val="00687DC2"/>
    <w:rsid w:val="00692B01"/>
    <w:rsid w:val="00697D27"/>
    <w:rsid w:val="006A0D49"/>
    <w:rsid w:val="006A5D03"/>
    <w:rsid w:val="006B0984"/>
    <w:rsid w:val="006B213C"/>
    <w:rsid w:val="006B369D"/>
    <w:rsid w:val="006C3A1D"/>
    <w:rsid w:val="006C6293"/>
    <w:rsid w:val="006D271F"/>
    <w:rsid w:val="006E2A06"/>
    <w:rsid w:val="006E4441"/>
    <w:rsid w:val="006F55EB"/>
    <w:rsid w:val="00700344"/>
    <w:rsid w:val="00701E77"/>
    <w:rsid w:val="00702E7C"/>
    <w:rsid w:val="007060CE"/>
    <w:rsid w:val="0071298B"/>
    <w:rsid w:val="007137FC"/>
    <w:rsid w:val="00713D2A"/>
    <w:rsid w:val="00713D93"/>
    <w:rsid w:val="00715398"/>
    <w:rsid w:val="00717A7E"/>
    <w:rsid w:val="00720C2B"/>
    <w:rsid w:val="00724F8D"/>
    <w:rsid w:val="00733E35"/>
    <w:rsid w:val="00733F75"/>
    <w:rsid w:val="0073646C"/>
    <w:rsid w:val="00736CEC"/>
    <w:rsid w:val="00736D11"/>
    <w:rsid w:val="00737CFF"/>
    <w:rsid w:val="007412C1"/>
    <w:rsid w:val="007414FF"/>
    <w:rsid w:val="007415D9"/>
    <w:rsid w:val="00745301"/>
    <w:rsid w:val="00747511"/>
    <w:rsid w:val="00747843"/>
    <w:rsid w:val="00750FCE"/>
    <w:rsid w:val="00751C98"/>
    <w:rsid w:val="007522C3"/>
    <w:rsid w:val="0075493E"/>
    <w:rsid w:val="0075569C"/>
    <w:rsid w:val="00755C7D"/>
    <w:rsid w:val="00755E48"/>
    <w:rsid w:val="00761EE5"/>
    <w:rsid w:val="0076586A"/>
    <w:rsid w:val="0076716B"/>
    <w:rsid w:val="007749D0"/>
    <w:rsid w:val="0077541F"/>
    <w:rsid w:val="00775F0C"/>
    <w:rsid w:val="00777C5D"/>
    <w:rsid w:val="00780411"/>
    <w:rsid w:val="00781869"/>
    <w:rsid w:val="00781AF1"/>
    <w:rsid w:val="00781D27"/>
    <w:rsid w:val="00782D13"/>
    <w:rsid w:val="007940EC"/>
    <w:rsid w:val="007959B1"/>
    <w:rsid w:val="00797BAC"/>
    <w:rsid w:val="007A12C9"/>
    <w:rsid w:val="007A1691"/>
    <w:rsid w:val="007A59A5"/>
    <w:rsid w:val="007A6EFE"/>
    <w:rsid w:val="007A78B5"/>
    <w:rsid w:val="007B0239"/>
    <w:rsid w:val="007B2F44"/>
    <w:rsid w:val="007B3E78"/>
    <w:rsid w:val="007C5FD7"/>
    <w:rsid w:val="007D05D0"/>
    <w:rsid w:val="007D6FAE"/>
    <w:rsid w:val="007E51FC"/>
    <w:rsid w:val="007E7D3B"/>
    <w:rsid w:val="007F5B35"/>
    <w:rsid w:val="007F6ABB"/>
    <w:rsid w:val="00802439"/>
    <w:rsid w:val="008036B6"/>
    <w:rsid w:val="00806877"/>
    <w:rsid w:val="00807507"/>
    <w:rsid w:val="00813D29"/>
    <w:rsid w:val="00821B03"/>
    <w:rsid w:val="00830FA1"/>
    <w:rsid w:val="00835128"/>
    <w:rsid w:val="0084175D"/>
    <w:rsid w:val="00843620"/>
    <w:rsid w:val="00844FA8"/>
    <w:rsid w:val="00846E41"/>
    <w:rsid w:val="008515C2"/>
    <w:rsid w:val="00853D59"/>
    <w:rsid w:val="00854994"/>
    <w:rsid w:val="00855908"/>
    <w:rsid w:val="00860871"/>
    <w:rsid w:val="00865777"/>
    <w:rsid w:val="00865877"/>
    <w:rsid w:val="00866B2F"/>
    <w:rsid w:val="00866B9D"/>
    <w:rsid w:val="00866FA3"/>
    <w:rsid w:val="008671EE"/>
    <w:rsid w:val="008717BC"/>
    <w:rsid w:val="008732BA"/>
    <w:rsid w:val="00874A20"/>
    <w:rsid w:val="0087697A"/>
    <w:rsid w:val="00880C3A"/>
    <w:rsid w:val="00885CE8"/>
    <w:rsid w:val="00891405"/>
    <w:rsid w:val="008919E3"/>
    <w:rsid w:val="008959DB"/>
    <w:rsid w:val="0089657C"/>
    <w:rsid w:val="008A0B43"/>
    <w:rsid w:val="008A0FD1"/>
    <w:rsid w:val="008A11AE"/>
    <w:rsid w:val="008A3F85"/>
    <w:rsid w:val="008B20DD"/>
    <w:rsid w:val="008B2DA2"/>
    <w:rsid w:val="008B63E2"/>
    <w:rsid w:val="008B7453"/>
    <w:rsid w:val="008C0188"/>
    <w:rsid w:val="008C0EB2"/>
    <w:rsid w:val="008C3080"/>
    <w:rsid w:val="008C5D45"/>
    <w:rsid w:val="008C79E6"/>
    <w:rsid w:val="008D09BA"/>
    <w:rsid w:val="008D25E2"/>
    <w:rsid w:val="008D4368"/>
    <w:rsid w:val="008D47CC"/>
    <w:rsid w:val="008D62C6"/>
    <w:rsid w:val="008E0566"/>
    <w:rsid w:val="008E1107"/>
    <w:rsid w:val="008E2D5E"/>
    <w:rsid w:val="008E38DA"/>
    <w:rsid w:val="008E62E5"/>
    <w:rsid w:val="008E66A1"/>
    <w:rsid w:val="008E7902"/>
    <w:rsid w:val="008F140E"/>
    <w:rsid w:val="008F2015"/>
    <w:rsid w:val="008F3320"/>
    <w:rsid w:val="008F7D67"/>
    <w:rsid w:val="00901DE5"/>
    <w:rsid w:val="00902E8E"/>
    <w:rsid w:val="009113D9"/>
    <w:rsid w:val="00912915"/>
    <w:rsid w:val="00912ABF"/>
    <w:rsid w:val="00913013"/>
    <w:rsid w:val="009204CC"/>
    <w:rsid w:val="00921DA9"/>
    <w:rsid w:val="00922955"/>
    <w:rsid w:val="00922B46"/>
    <w:rsid w:val="009245E7"/>
    <w:rsid w:val="0092520A"/>
    <w:rsid w:val="0092700D"/>
    <w:rsid w:val="009307D2"/>
    <w:rsid w:val="00933688"/>
    <w:rsid w:val="00940707"/>
    <w:rsid w:val="009448BF"/>
    <w:rsid w:val="00946E94"/>
    <w:rsid w:val="009512EB"/>
    <w:rsid w:val="0095375B"/>
    <w:rsid w:val="00953C71"/>
    <w:rsid w:val="00954484"/>
    <w:rsid w:val="00954ABE"/>
    <w:rsid w:val="00960BE7"/>
    <w:rsid w:val="00961DDE"/>
    <w:rsid w:val="0096299C"/>
    <w:rsid w:val="00963FB8"/>
    <w:rsid w:val="00965B2E"/>
    <w:rsid w:val="00967143"/>
    <w:rsid w:val="00967558"/>
    <w:rsid w:val="00970E42"/>
    <w:rsid w:val="009769D7"/>
    <w:rsid w:val="00980D71"/>
    <w:rsid w:val="0098128F"/>
    <w:rsid w:val="00984F71"/>
    <w:rsid w:val="00990A79"/>
    <w:rsid w:val="009912D0"/>
    <w:rsid w:val="0099148F"/>
    <w:rsid w:val="00994F48"/>
    <w:rsid w:val="0099583D"/>
    <w:rsid w:val="00996067"/>
    <w:rsid w:val="009A08C2"/>
    <w:rsid w:val="009A0E00"/>
    <w:rsid w:val="009A43D0"/>
    <w:rsid w:val="009A4422"/>
    <w:rsid w:val="009A460C"/>
    <w:rsid w:val="009B0D8E"/>
    <w:rsid w:val="009B2ED0"/>
    <w:rsid w:val="009B4D4E"/>
    <w:rsid w:val="009B662C"/>
    <w:rsid w:val="009C2A3D"/>
    <w:rsid w:val="009C32E2"/>
    <w:rsid w:val="009C5ED4"/>
    <w:rsid w:val="009D1AD9"/>
    <w:rsid w:val="009D52F0"/>
    <w:rsid w:val="009D5753"/>
    <w:rsid w:val="009E0D41"/>
    <w:rsid w:val="009E0E72"/>
    <w:rsid w:val="009E2B26"/>
    <w:rsid w:val="009E3985"/>
    <w:rsid w:val="009E3ABB"/>
    <w:rsid w:val="009E4C04"/>
    <w:rsid w:val="009E5712"/>
    <w:rsid w:val="009E6433"/>
    <w:rsid w:val="009F2D8C"/>
    <w:rsid w:val="009F580F"/>
    <w:rsid w:val="009F5D5E"/>
    <w:rsid w:val="009F718B"/>
    <w:rsid w:val="00A02CEC"/>
    <w:rsid w:val="00A03A24"/>
    <w:rsid w:val="00A03FF2"/>
    <w:rsid w:val="00A0529F"/>
    <w:rsid w:val="00A05C1F"/>
    <w:rsid w:val="00A05C6D"/>
    <w:rsid w:val="00A1272A"/>
    <w:rsid w:val="00A13602"/>
    <w:rsid w:val="00A156B3"/>
    <w:rsid w:val="00A16675"/>
    <w:rsid w:val="00A24CCB"/>
    <w:rsid w:val="00A26176"/>
    <w:rsid w:val="00A277D1"/>
    <w:rsid w:val="00A27BF0"/>
    <w:rsid w:val="00A33BBF"/>
    <w:rsid w:val="00A343D8"/>
    <w:rsid w:val="00A40FF3"/>
    <w:rsid w:val="00A411D4"/>
    <w:rsid w:val="00A4235C"/>
    <w:rsid w:val="00A44239"/>
    <w:rsid w:val="00A443A2"/>
    <w:rsid w:val="00A4512A"/>
    <w:rsid w:val="00A45955"/>
    <w:rsid w:val="00A463DC"/>
    <w:rsid w:val="00A50706"/>
    <w:rsid w:val="00A5124A"/>
    <w:rsid w:val="00A53F46"/>
    <w:rsid w:val="00A54703"/>
    <w:rsid w:val="00A54A82"/>
    <w:rsid w:val="00A54F50"/>
    <w:rsid w:val="00A56509"/>
    <w:rsid w:val="00A61694"/>
    <w:rsid w:val="00A6355D"/>
    <w:rsid w:val="00A63915"/>
    <w:rsid w:val="00A703C5"/>
    <w:rsid w:val="00A70846"/>
    <w:rsid w:val="00A71286"/>
    <w:rsid w:val="00A84DB1"/>
    <w:rsid w:val="00A86181"/>
    <w:rsid w:val="00A93348"/>
    <w:rsid w:val="00A9482C"/>
    <w:rsid w:val="00A952AE"/>
    <w:rsid w:val="00A95A00"/>
    <w:rsid w:val="00A968BA"/>
    <w:rsid w:val="00AA0508"/>
    <w:rsid w:val="00AA1AE3"/>
    <w:rsid w:val="00AA3DE9"/>
    <w:rsid w:val="00AA5842"/>
    <w:rsid w:val="00AA6A0E"/>
    <w:rsid w:val="00AB164B"/>
    <w:rsid w:val="00AB1DE4"/>
    <w:rsid w:val="00AB4244"/>
    <w:rsid w:val="00AC2C9E"/>
    <w:rsid w:val="00AC3BCE"/>
    <w:rsid w:val="00AC478E"/>
    <w:rsid w:val="00AD157F"/>
    <w:rsid w:val="00AD1DD2"/>
    <w:rsid w:val="00AE6054"/>
    <w:rsid w:val="00AE6718"/>
    <w:rsid w:val="00AE7634"/>
    <w:rsid w:val="00AE7F80"/>
    <w:rsid w:val="00AF421E"/>
    <w:rsid w:val="00AF57B4"/>
    <w:rsid w:val="00AF7902"/>
    <w:rsid w:val="00AF7FB1"/>
    <w:rsid w:val="00B0718F"/>
    <w:rsid w:val="00B0766D"/>
    <w:rsid w:val="00B07ED8"/>
    <w:rsid w:val="00B11807"/>
    <w:rsid w:val="00B11839"/>
    <w:rsid w:val="00B1321D"/>
    <w:rsid w:val="00B207FC"/>
    <w:rsid w:val="00B2082F"/>
    <w:rsid w:val="00B2210D"/>
    <w:rsid w:val="00B235A4"/>
    <w:rsid w:val="00B3023D"/>
    <w:rsid w:val="00B32E4F"/>
    <w:rsid w:val="00B405F5"/>
    <w:rsid w:val="00B41D59"/>
    <w:rsid w:val="00B42FAC"/>
    <w:rsid w:val="00B44FE0"/>
    <w:rsid w:val="00B471B9"/>
    <w:rsid w:val="00B533FB"/>
    <w:rsid w:val="00B534C2"/>
    <w:rsid w:val="00B552A8"/>
    <w:rsid w:val="00B576CD"/>
    <w:rsid w:val="00B57916"/>
    <w:rsid w:val="00B60729"/>
    <w:rsid w:val="00B620D5"/>
    <w:rsid w:val="00B63885"/>
    <w:rsid w:val="00B640AD"/>
    <w:rsid w:val="00B64887"/>
    <w:rsid w:val="00B71497"/>
    <w:rsid w:val="00B729BF"/>
    <w:rsid w:val="00B7335E"/>
    <w:rsid w:val="00B74454"/>
    <w:rsid w:val="00B75395"/>
    <w:rsid w:val="00B7563B"/>
    <w:rsid w:val="00B76227"/>
    <w:rsid w:val="00B77167"/>
    <w:rsid w:val="00B82BD9"/>
    <w:rsid w:val="00B84F37"/>
    <w:rsid w:val="00B908E1"/>
    <w:rsid w:val="00B9163A"/>
    <w:rsid w:val="00B941FF"/>
    <w:rsid w:val="00B94E2E"/>
    <w:rsid w:val="00BA22A1"/>
    <w:rsid w:val="00BA25A1"/>
    <w:rsid w:val="00BA29CB"/>
    <w:rsid w:val="00BA4049"/>
    <w:rsid w:val="00BA4C39"/>
    <w:rsid w:val="00BA5F9A"/>
    <w:rsid w:val="00BA64ED"/>
    <w:rsid w:val="00BB0976"/>
    <w:rsid w:val="00BB0989"/>
    <w:rsid w:val="00BB4B72"/>
    <w:rsid w:val="00BB4EBB"/>
    <w:rsid w:val="00BB671A"/>
    <w:rsid w:val="00BC1FB3"/>
    <w:rsid w:val="00BC27DF"/>
    <w:rsid w:val="00BC36D7"/>
    <w:rsid w:val="00BC5859"/>
    <w:rsid w:val="00BC5A8D"/>
    <w:rsid w:val="00BD0C7A"/>
    <w:rsid w:val="00BD1310"/>
    <w:rsid w:val="00BD3501"/>
    <w:rsid w:val="00BD5671"/>
    <w:rsid w:val="00BD6209"/>
    <w:rsid w:val="00BE2584"/>
    <w:rsid w:val="00BE3056"/>
    <w:rsid w:val="00BE3DB1"/>
    <w:rsid w:val="00BE3F12"/>
    <w:rsid w:val="00BE6F1B"/>
    <w:rsid w:val="00BF2BB1"/>
    <w:rsid w:val="00BF53EE"/>
    <w:rsid w:val="00BF78A6"/>
    <w:rsid w:val="00C009A7"/>
    <w:rsid w:val="00C05CE5"/>
    <w:rsid w:val="00C11797"/>
    <w:rsid w:val="00C168B7"/>
    <w:rsid w:val="00C208D0"/>
    <w:rsid w:val="00C21C22"/>
    <w:rsid w:val="00C238BE"/>
    <w:rsid w:val="00C26589"/>
    <w:rsid w:val="00C26D8E"/>
    <w:rsid w:val="00C3232B"/>
    <w:rsid w:val="00C323F7"/>
    <w:rsid w:val="00C325BA"/>
    <w:rsid w:val="00C325FA"/>
    <w:rsid w:val="00C36BB8"/>
    <w:rsid w:val="00C44539"/>
    <w:rsid w:val="00C463AF"/>
    <w:rsid w:val="00C54216"/>
    <w:rsid w:val="00C568F0"/>
    <w:rsid w:val="00C56B0B"/>
    <w:rsid w:val="00C60CFD"/>
    <w:rsid w:val="00C6279F"/>
    <w:rsid w:val="00C62CB6"/>
    <w:rsid w:val="00C631F0"/>
    <w:rsid w:val="00C6363E"/>
    <w:rsid w:val="00C63801"/>
    <w:rsid w:val="00C652BA"/>
    <w:rsid w:val="00C6623E"/>
    <w:rsid w:val="00C7043E"/>
    <w:rsid w:val="00C7178B"/>
    <w:rsid w:val="00C72CA2"/>
    <w:rsid w:val="00C738C8"/>
    <w:rsid w:val="00C73A3E"/>
    <w:rsid w:val="00C75A48"/>
    <w:rsid w:val="00C8763D"/>
    <w:rsid w:val="00C90D4A"/>
    <w:rsid w:val="00C91B4D"/>
    <w:rsid w:val="00C9557F"/>
    <w:rsid w:val="00C96D91"/>
    <w:rsid w:val="00C96D98"/>
    <w:rsid w:val="00C978BE"/>
    <w:rsid w:val="00CA4237"/>
    <w:rsid w:val="00CA4315"/>
    <w:rsid w:val="00CA7B68"/>
    <w:rsid w:val="00CB11B3"/>
    <w:rsid w:val="00CB1989"/>
    <w:rsid w:val="00CB19FD"/>
    <w:rsid w:val="00CB1B2A"/>
    <w:rsid w:val="00CB3229"/>
    <w:rsid w:val="00CB5299"/>
    <w:rsid w:val="00CB73B9"/>
    <w:rsid w:val="00CC0D71"/>
    <w:rsid w:val="00CC28D2"/>
    <w:rsid w:val="00CC38AD"/>
    <w:rsid w:val="00CC3C31"/>
    <w:rsid w:val="00CC5C30"/>
    <w:rsid w:val="00CD149B"/>
    <w:rsid w:val="00CD54B2"/>
    <w:rsid w:val="00CD662D"/>
    <w:rsid w:val="00CE2BAA"/>
    <w:rsid w:val="00CE2ED5"/>
    <w:rsid w:val="00CE3859"/>
    <w:rsid w:val="00CE4C0D"/>
    <w:rsid w:val="00CE5A4F"/>
    <w:rsid w:val="00CF350E"/>
    <w:rsid w:val="00CF3B6E"/>
    <w:rsid w:val="00CF4471"/>
    <w:rsid w:val="00D0199A"/>
    <w:rsid w:val="00D04744"/>
    <w:rsid w:val="00D063E5"/>
    <w:rsid w:val="00D113FA"/>
    <w:rsid w:val="00D11D7D"/>
    <w:rsid w:val="00D12E20"/>
    <w:rsid w:val="00D1722C"/>
    <w:rsid w:val="00D20630"/>
    <w:rsid w:val="00D234D1"/>
    <w:rsid w:val="00D2596A"/>
    <w:rsid w:val="00D25977"/>
    <w:rsid w:val="00D26AB7"/>
    <w:rsid w:val="00D27537"/>
    <w:rsid w:val="00D32BCE"/>
    <w:rsid w:val="00D35BED"/>
    <w:rsid w:val="00D35F1B"/>
    <w:rsid w:val="00D36222"/>
    <w:rsid w:val="00D36426"/>
    <w:rsid w:val="00D36651"/>
    <w:rsid w:val="00D37E25"/>
    <w:rsid w:val="00D43F7E"/>
    <w:rsid w:val="00D51596"/>
    <w:rsid w:val="00D553FA"/>
    <w:rsid w:val="00D5799E"/>
    <w:rsid w:val="00D6185B"/>
    <w:rsid w:val="00D62C3B"/>
    <w:rsid w:val="00D63CBB"/>
    <w:rsid w:val="00D67058"/>
    <w:rsid w:val="00D72286"/>
    <w:rsid w:val="00D727FF"/>
    <w:rsid w:val="00D72E04"/>
    <w:rsid w:val="00D74ADC"/>
    <w:rsid w:val="00D90637"/>
    <w:rsid w:val="00D954E1"/>
    <w:rsid w:val="00D95E12"/>
    <w:rsid w:val="00D966D8"/>
    <w:rsid w:val="00DA1000"/>
    <w:rsid w:val="00DA1653"/>
    <w:rsid w:val="00DA2ED1"/>
    <w:rsid w:val="00DA4602"/>
    <w:rsid w:val="00DA744F"/>
    <w:rsid w:val="00DB10BA"/>
    <w:rsid w:val="00DB46AF"/>
    <w:rsid w:val="00DB54E0"/>
    <w:rsid w:val="00DB573D"/>
    <w:rsid w:val="00DB603E"/>
    <w:rsid w:val="00DB79B2"/>
    <w:rsid w:val="00DC19E5"/>
    <w:rsid w:val="00DC5A39"/>
    <w:rsid w:val="00DC754B"/>
    <w:rsid w:val="00DD206E"/>
    <w:rsid w:val="00DD261F"/>
    <w:rsid w:val="00DD4E4E"/>
    <w:rsid w:val="00DD530A"/>
    <w:rsid w:val="00DD6DE0"/>
    <w:rsid w:val="00DE0F11"/>
    <w:rsid w:val="00DE27BC"/>
    <w:rsid w:val="00DF22FE"/>
    <w:rsid w:val="00DF27C7"/>
    <w:rsid w:val="00E01562"/>
    <w:rsid w:val="00E06019"/>
    <w:rsid w:val="00E0682F"/>
    <w:rsid w:val="00E076DF"/>
    <w:rsid w:val="00E07F49"/>
    <w:rsid w:val="00E124B6"/>
    <w:rsid w:val="00E1385C"/>
    <w:rsid w:val="00E151B3"/>
    <w:rsid w:val="00E152BF"/>
    <w:rsid w:val="00E15C5E"/>
    <w:rsid w:val="00E17A8F"/>
    <w:rsid w:val="00E21941"/>
    <w:rsid w:val="00E2209B"/>
    <w:rsid w:val="00E236EC"/>
    <w:rsid w:val="00E26988"/>
    <w:rsid w:val="00E272B9"/>
    <w:rsid w:val="00E273F3"/>
    <w:rsid w:val="00E318D8"/>
    <w:rsid w:val="00E35916"/>
    <w:rsid w:val="00E35D6A"/>
    <w:rsid w:val="00E4076B"/>
    <w:rsid w:val="00E4083C"/>
    <w:rsid w:val="00E409F6"/>
    <w:rsid w:val="00E410F6"/>
    <w:rsid w:val="00E464F1"/>
    <w:rsid w:val="00E467D9"/>
    <w:rsid w:val="00E50BD0"/>
    <w:rsid w:val="00E51CED"/>
    <w:rsid w:val="00E55FB6"/>
    <w:rsid w:val="00E602CD"/>
    <w:rsid w:val="00E6105D"/>
    <w:rsid w:val="00E616FB"/>
    <w:rsid w:val="00E61E06"/>
    <w:rsid w:val="00E62A87"/>
    <w:rsid w:val="00E62B57"/>
    <w:rsid w:val="00E6324D"/>
    <w:rsid w:val="00E718E1"/>
    <w:rsid w:val="00E73B6D"/>
    <w:rsid w:val="00E77D0E"/>
    <w:rsid w:val="00E77F7A"/>
    <w:rsid w:val="00E80594"/>
    <w:rsid w:val="00E83AC8"/>
    <w:rsid w:val="00E909A3"/>
    <w:rsid w:val="00E925F1"/>
    <w:rsid w:val="00E952E3"/>
    <w:rsid w:val="00EA27F4"/>
    <w:rsid w:val="00EA68DF"/>
    <w:rsid w:val="00EB24A6"/>
    <w:rsid w:val="00EB5B35"/>
    <w:rsid w:val="00EB6470"/>
    <w:rsid w:val="00EC1236"/>
    <w:rsid w:val="00EC40F4"/>
    <w:rsid w:val="00EC4FF9"/>
    <w:rsid w:val="00EC5CA6"/>
    <w:rsid w:val="00EC66B9"/>
    <w:rsid w:val="00EC70CF"/>
    <w:rsid w:val="00ED18AB"/>
    <w:rsid w:val="00ED31CB"/>
    <w:rsid w:val="00ED3346"/>
    <w:rsid w:val="00ED7B08"/>
    <w:rsid w:val="00EE02E2"/>
    <w:rsid w:val="00EE5C92"/>
    <w:rsid w:val="00EF084F"/>
    <w:rsid w:val="00EF0944"/>
    <w:rsid w:val="00EF0EFF"/>
    <w:rsid w:val="00EF13EB"/>
    <w:rsid w:val="00EF2DC9"/>
    <w:rsid w:val="00EF2DFE"/>
    <w:rsid w:val="00EF493D"/>
    <w:rsid w:val="00EF50B5"/>
    <w:rsid w:val="00EF5798"/>
    <w:rsid w:val="00EF6A95"/>
    <w:rsid w:val="00F056EA"/>
    <w:rsid w:val="00F07EB2"/>
    <w:rsid w:val="00F12788"/>
    <w:rsid w:val="00F203E8"/>
    <w:rsid w:val="00F211B4"/>
    <w:rsid w:val="00F23FE0"/>
    <w:rsid w:val="00F248D8"/>
    <w:rsid w:val="00F25939"/>
    <w:rsid w:val="00F31522"/>
    <w:rsid w:val="00F32830"/>
    <w:rsid w:val="00F36A39"/>
    <w:rsid w:val="00F4017E"/>
    <w:rsid w:val="00F41B92"/>
    <w:rsid w:val="00F43223"/>
    <w:rsid w:val="00F4644B"/>
    <w:rsid w:val="00F47348"/>
    <w:rsid w:val="00F476E8"/>
    <w:rsid w:val="00F51502"/>
    <w:rsid w:val="00F5548F"/>
    <w:rsid w:val="00F561D1"/>
    <w:rsid w:val="00F618A3"/>
    <w:rsid w:val="00F630BE"/>
    <w:rsid w:val="00F63A6F"/>
    <w:rsid w:val="00F66B06"/>
    <w:rsid w:val="00F66CA6"/>
    <w:rsid w:val="00F70D28"/>
    <w:rsid w:val="00F728AE"/>
    <w:rsid w:val="00F72E5E"/>
    <w:rsid w:val="00F76AE8"/>
    <w:rsid w:val="00F91710"/>
    <w:rsid w:val="00F926CA"/>
    <w:rsid w:val="00F96265"/>
    <w:rsid w:val="00F96984"/>
    <w:rsid w:val="00FA5001"/>
    <w:rsid w:val="00FA51AA"/>
    <w:rsid w:val="00FB02BF"/>
    <w:rsid w:val="00FC0981"/>
    <w:rsid w:val="00FC0C43"/>
    <w:rsid w:val="00FC1400"/>
    <w:rsid w:val="00FC2811"/>
    <w:rsid w:val="00FC2871"/>
    <w:rsid w:val="00FC2C1A"/>
    <w:rsid w:val="00FC382E"/>
    <w:rsid w:val="00FC62ED"/>
    <w:rsid w:val="00FC6917"/>
    <w:rsid w:val="00FD2009"/>
    <w:rsid w:val="00FD2BCF"/>
    <w:rsid w:val="00FD6AE0"/>
    <w:rsid w:val="00FE02D9"/>
    <w:rsid w:val="00FE2640"/>
    <w:rsid w:val="00FE5154"/>
    <w:rsid w:val="00FE591F"/>
    <w:rsid w:val="00FF1AB5"/>
    <w:rsid w:val="00FF230A"/>
    <w:rsid w:val="00FF5AD2"/>
    <w:rsid w:val="00FF5BD0"/>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DA78910"/>
  <w15:docId w15:val="{5161EEBF-65D2-4B6C-B6ED-D96E4607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D2"/>
    <w:pPr>
      <w:spacing w:after="200" w:line="276" w:lineRule="auto"/>
    </w:pPr>
    <w:rPr>
      <w:sz w:val="22"/>
      <w:szCs w:val="22"/>
      <w:lang w:eastAsia="en-US"/>
    </w:rPr>
  </w:style>
  <w:style w:type="paragraph" w:styleId="Heading1">
    <w:name w:val="heading 1"/>
    <w:basedOn w:val="Normal"/>
    <w:next w:val="ParaNumbered"/>
    <w:link w:val="Heading1Char"/>
    <w:uiPriority w:val="99"/>
    <w:qFormat/>
    <w:rsid w:val="0013437D"/>
    <w:pPr>
      <w:spacing w:before="480" w:after="0"/>
      <w:contextualSpacing/>
      <w:outlineLvl w:val="0"/>
    </w:pPr>
    <w:rPr>
      <w:rFonts w:ascii="Arial" w:hAnsi="Arial"/>
      <w:b/>
      <w:bCs/>
      <w:color w:val="0070C0"/>
      <w:sz w:val="36"/>
      <w:szCs w:val="28"/>
    </w:rPr>
  </w:style>
  <w:style w:type="paragraph" w:styleId="Heading2">
    <w:name w:val="heading 2"/>
    <w:basedOn w:val="Heading1"/>
    <w:next w:val="ParaNumbered"/>
    <w:link w:val="Heading2Char"/>
    <w:uiPriority w:val="99"/>
    <w:qFormat/>
    <w:rsid w:val="001208B2"/>
    <w:pPr>
      <w:spacing w:before="240"/>
      <w:outlineLvl w:val="1"/>
    </w:pPr>
    <w:rPr>
      <w:sz w:val="32"/>
      <w:szCs w:val="32"/>
    </w:rPr>
  </w:style>
  <w:style w:type="paragraph" w:styleId="Heading3">
    <w:name w:val="heading 3"/>
    <w:basedOn w:val="Heading2"/>
    <w:next w:val="ParaNumbered"/>
    <w:link w:val="Heading3Char"/>
    <w:uiPriority w:val="99"/>
    <w:qFormat/>
    <w:rsid w:val="001208B2"/>
    <w:pPr>
      <w:spacing w:before="180"/>
      <w:ind w:firstLine="1"/>
      <w:outlineLvl w:val="2"/>
    </w:pPr>
    <w:rPr>
      <w:sz w:val="28"/>
    </w:rPr>
  </w:style>
  <w:style w:type="paragraph" w:styleId="Heading4">
    <w:name w:val="heading 4"/>
    <w:basedOn w:val="Heading3"/>
    <w:next w:val="ParaNumbered"/>
    <w:link w:val="Heading4Char"/>
    <w:uiPriority w:val="99"/>
    <w:qFormat/>
    <w:rsid w:val="005A2759"/>
    <w:pPr>
      <w:spacing w:before="120"/>
      <w:ind w:firstLine="0"/>
      <w:outlineLvl w:val="3"/>
    </w:pPr>
    <w:rPr>
      <w:rFonts w:ascii="Palatino Linotype" w:hAnsi="Palatino Linotype"/>
      <w:b w:val="0"/>
      <w:sz w:val="24"/>
    </w:rPr>
  </w:style>
  <w:style w:type="paragraph" w:styleId="Heading5">
    <w:name w:val="heading 5"/>
    <w:basedOn w:val="Heading4"/>
    <w:next w:val="ParaNumbered"/>
    <w:link w:val="Heading5Char"/>
    <w:uiPriority w:val="99"/>
    <w:qFormat/>
    <w:locked/>
    <w:rsid w:val="00CC28D2"/>
    <w:pPr>
      <w:spacing w:before="200"/>
      <w:outlineLvl w:val="4"/>
    </w:pPr>
    <w:rPr>
      <w:b/>
      <w:color w:val="000000"/>
      <w:sz w:val="22"/>
      <w:u w:val="single"/>
    </w:rPr>
  </w:style>
  <w:style w:type="paragraph" w:styleId="Heading6">
    <w:name w:val="heading 6"/>
    <w:basedOn w:val="Normal"/>
    <w:next w:val="Normal"/>
    <w:link w:val="Heading6Char"/>
    <w:uiPriority w:val="99"/>
    <w:qFormat/>
    <w:locked/>
    <w:rsid w:val="00266E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locked/>
    <w:rsid w:val="00266EE5"/>
    <w:pPr>
      <w:spacing w:after="0"/>
      <w:outlineLvl w:val="6"/>
    </w:pPr>
    <w:rPr>
      <w:rFonts w:ascii="Cambria" w:hAnsi="Cambria"/>
      <w:i/>
      <w:iCs/>
    </w:rPr>
  </w:style>
  <w:style w:type="paragraph" w:styleId="Heading8">
    <w:name w:val="heading 8"/>
    <w:basedOn w:val="Normal"/>
    <w:next w:val="Normal"/>
    <w:link w:val="Heading8Char"/>
    <w:uiPriority w:val="99"/>
    <w:qFormat/>
    <w:locked/>
    <w:rsid w:val="00266EE5"/>
    <w:pPr>
      <w:spacing w:after="0"/>
      <w:outlineLvl w:val="7"/>
    </w:pPr>
    <w:rPr>
      <w:rFonts w:ascii="Cambria" w:hAnsi="Cambria"/>
      <w:sz w:val="20"/>
      <w:szCs w:val="20"/>
    </w:rPr>
  </w:style>
  <w:style w:type="paragraph" w:styleId="Heading9">
    <w:name w:val="heading 9"/>
    <w:basedOn w:val="Normal"/>
    <w:next w:val="Normal"/>
    <w:link w:val="Heading9Char"/>
    <w:uiPriority w:val="99"/>
    <w:qFormat/>
    <w:locked/>
    <w:rsid w:val="00266E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3437D"/>
    <w:rPr>
      <w:rFonts w:ascii="Arial" w:hAnsi="Arial" w:cs="Times New Roman"/>
      <w:b/>
      <w:bCs/>
      <w:color w:val="0070C0"/>
      <w:sz w:val="28"/>
      <w:szCs w:val="28"/>
    </w:rPr>
  </w:style>
  <w:style w:type="character" w:customStyle="1" w:styleId="Heading2Char">
    <w:name w:val="Heading 2 Char"/>
    <w:link w:val="Heading2"/>
    <w:uiPriority w:val="99"/>
    <w:locked/>
    <w:rsid w:val="001208B2"/>
    <w:rPr>
      <w:rFonts w:ascii="HelveticaNeue-Bold" w:hAnsi="HelveticaNeue-Bold" w:cs="Times New Roman"/>
      <w:b/>
      <w:bCs/>
      <w:color w:val="0070C0"/>
      <w:sz w:val="32"/>
      <w:szCs w:val="32"/>
    </w:rPr>
  </w:style>
  <w:style w:type="character" w:customStyle="1" w:styleId="Heading3Char">
    <w:name w:val="Heading 3 Char"/>
    <w:link w:val="Heading3"/>
    <w:uiPriority w:val="99"/>
    <w:locked/>
    <w:rsid w:val="001208B2"/>
    <w:rPr>
      <w:rFonts w:ascii="HelveticaNeue-Bold" w:hAnsi="HelveticaNeue-Bold" w:cs="Times New Roman"/>
      <w:b/>
      <w:bCs/>
      <w:color w:val="0070C0"/>
      <w:sz w:val="32"/>
      <w:szCs w:val="32"/>
    </w:rPr>
  </w:style>
  <w:style w:type="character" w:customStyle="1" w:styleId="Heading4Char">
    <w:name w:val="Heading 4 Char"/>
    <w:link w:val="Heading4"/>
    <w:uiPriority w:val="99"/>
    <w:locked/>
    <w:rsid w:val="005A2759"/>
    <w:rPr>
      <w:rFonts w:ascii="Palatino Linotype" w:hAnsi="Palatino Linotype" w:cs="Times New Roman"/>
      <w:bCs/>
      <w:color w:val="0070C0"/>
      <w:sz w:val="32"/>
      <w:szCs w:val="32"/>
      <w:lang w:val="en-GB"/>
    </w:rPr>
  </w:style>
  <w:style w:type="character" w:customStyle="1" w:styleId="Heading5Char">
    <w:name w:val="Heading 5 Char"/>
    <w:link w:val="Heading5"/>
    <w:uiPriority w:val="99"/>
    <w:semiHidden/>
    <w:locked/>
    <w:rsid w:val="00CC28D2"/>
    <w:rPr>
      <w:rFonts w:ascii="Palatino Linotype" w:hAnsi="Palatino Linotype" w:cs="Times New Roman"/>
      <w:b/>
      <w:bCs/>
      <w:color w:val="000000"/>
      <w:sz w:val="32"/>
      <w:szCs w:val="32"/>
      <w:u w:val="single"/>
    </w:rPr>
  </w:style>
  <w:style w:type="character" w:customStyle="1" w:styleId="Heading6Char">
    <w:name w:val="Heading 6 Char"/>
    <w:link w:val="Heading6"/>
    <w:uiPriority w:val="99"/>
    <w:semiHidden/>
    <w:locked/>
    <w:rsid w:val="00266EE5"/>
    <w:rPr>
      <w:rFonts w:ascii="Cambria" w:hAnsi="Cambria" w:cs="Times New Roman"/>
      <w:b/>
      <w:bCs/>
      <w:i/>
      <w:iCs/>
      <w:color w:val="7F7F7F"/>
    </w:rPr>
  </w:style>
  <w:style w:type="character" w:customStyle="1" w:styleId="Heading7Char">
    <w:name w:val="Heading 7 Char"/>
    <w:link w:val="Heading7"/>
    <w:uiPriority w:val="99"/>
    <w:semiHidden/>
    <w:locked/>
    <w:rsid w:val="00266EE5"/>
    <w:rPr>
      <w:rFonts w:ascii="Cambria" w:hAnsi="Cambria" w:cs="Times New Roman"/>
      <w:i/>
      <w:iCs/>
    </w:rPr>
  </w:style>
  <w:style w:type="character" w:customStyle="1" w:styleId="Heading8Char">
    <w:name w:val="Heading 8 Char"/>
    <w:link w:val="Heading8"/>
    <w:uiPriority w:val="99"/>
    <w:semiHidden/>
    <w:locked/>
    <w:rsid w:val="00266EE5"/>
    <w:rPr>
      <w:rFonts w:ascii="Cambria" w:hAnsi="Cambria" w:cs="Times New Roman"/>
      <w:sz w:val="20"/>
      <w:szCs w:val="20"/>
    </w:rPr>
  </w:style>
  <w:style w:type="character" w:customStyle="1" w:styleId="Heading9Char">
    <w:name w:val="Heading 9 Char"/>
    <w:link w:val="Heading9"/>
    <w:uiPriority w:val="99"/>
    <w:semiHidden/>
    <w:locked/>
    <w:rsid w:val="00266EE5"/>
    <w:rPr>
      <w:rFonts w:ascii="Cambria" w:hAnsi="Cambria" w:cs="Times New Roman"/>
      <w:i/>
      <w:iCs/>
      <w:spacing w:val="5"/>
      <w:sz w:val="20"/>
      <w:szCs w:val="20"/>
    </w:rPr>
  </w:style>
  <w:style w:type="paragraph" w:customStyle="1" w:styleId="NoParagraphStyle">
    <w:name w:val="[No Paragraph Style]"/>
    <w:link w:val="NoParagraphStyleChar"/>
    <w:uiPriority w:val="99"/>
    <w:locked/>
    <w:rsid w:val="0067758B"/>
    <w:pPr>
      <w:widowControl w:val="0"/>
      <w:autoSpaceDE w:val="0"/>
      <w:autoSpaceDN w:val="0"/>
      <w:adjustRightInd w:val="0"/>
      <w:spacing w:after="200" w:line="288" w:lineRule="auto"/>
      <w:textAlignment w:val="center"/>
    </w:pPr>
    <w:rPr>
      <w:rFonts w:ascii="RdgSwift-Regular" w:hAnsi="RdgSwift-Regular" w:cs="RdgSwift-Regular"/>
      <w:color w:val="000000"/>
      <w:szCs w:val="24"/>
      <w:lang w:val="en-US" w:eastAsia="en-US"/>
    </w:rPr>
  </w:style>
  <w:style w:type="paragraph" w:customStyle="1" w:styleId="ENBilltitle">
    <w:name w:val="EN Bill title"/>
    <w:basedOn w:val="NoParagraphStyle"/>
    <w:uiPriority w:val="99"/>
    <w:locked/>
    <w:rsid w:val="0013437D"/>
    <w:pPr>
      <w:suppressAutoHyphens/>
      <w:spacing w:after="240" w:line="480" w:lineRule="atLeast"/>
    </w:pPr>
    <w:rPr>
      <w:rFonts w:ascii="Arial" w:hAnsi="Arial" w:cs="HelveticaNeue-Bold"/>
      <w:b/>
      <w:bCs/>
      <w:caps/>
      <w:spacing w:val="2"/>
      <w:sz w:val="44"/>
      <w:szCs w:val="48"/>
    </w:rPr>
  </w:style>
  <w:style w:type="paragraph" w:customStyle="1" w:styleId="ENnotestitle">
    <w:name w:val="EN notes title"/>
    <w:basedOn w:val="NoParagraphStyle"/>
    <w:uiPriority w:val="99"/>
    <w:locked/>
    <w:rsid w:val="0067758B"/>
    <w:pPr>
      <w:suppressAutoHyphens/>
      <w:spacing w:after="720" w:line="480" w:lineRule="atLeast"/>
    </w:pPr>
    <w:rPr>
      <w:rFonts w:ascii="HelveticaNeue" w:hAnsi="HelveticaNeue" w:cs="HelveticaNeue"/>
      <w:caps/>
      <w:spacing w:val="2"/>
      <w:sz w:val="44"/>
      <w:szCs w:val="48"/>
    </w:rPr>
  </w:style>
  <w:style w:type="paragraph" w:customStyle="1" w:styleId="ENHeading1Category">
    <w:name w:val="EN Heading (1) : Category"/>
    <w:basedOn w:val="NoParagraphStyle"/>
    <w:link w:val="ENHeading1CategoryChar"/>
    <w:uiPriority w:val="99"/>
    <w:locked/>
    <w:rsid w:val="0013437D"/>
    <w:pPr>
      <w:keepNext/>
      <w:keepLines/>
      <w:suppressAutoHyphens/>
      <w:spacing w:before="480" w:after="240" w:line="480" w:lineRule="atLeast"/>
    </w:pPr>
    <w:rPr>
      <w:rFonts w:ascii="Arial" w:hAnsi="Arial" w:cs="HelveticaNeue-Bold"/>
      <w:b/>
      <w:bCs/>
      <w:color w:val="0076BF"/>
      <w:sz w:val="36"/>
      <w:szCs w:val="36"/>
    </w:rPr>
  </w:style>
  <w:style w:type="paragraph" w:customStyle="1" w:styleId="ENBodyText">
    <w:name w:val="EN Body Text"/>
    <w:basedOn w:val="NoParagraphStyle"/>
    <w:link w:val="ENBodyTextChar"/>
    <w:uiPriority w:val="99"/>
    <w:locked/>
    <w:rsid w:val="002F0561"/>
    <w:pPr>
      <w:suppressAutoHyphens/>
      <w:spacing w:after="150" w:line="300" w:lineRule="atLeast"/>
    </w:pPr>
    <w:rPr>
      <w:rFonts w:ascii="PalatinoLinotype-Roman" w:hAnsi="PalatinoLinotype-Roman" w:cs="PalatinoLinotype-Roman"/>
    </w:rPr>
  </w:style>
  <w:style w:type="paragraph" w:customStyle="1" w:styleId="ENBodyTextBullets">
    <w:name w:val="EN Body Text + Bullets"/>
    <w:basedOn w:val="NoParagraphStyle"/>
    <w:link w:val="ENBodyTextBulletsChar"/>
    <w:uiPriority w:val="99"/>
    <w:locked/>
    <w:rsid w:val="00E318D8"/>
    <w:pPr>
      <w:numPr>
        <w:numId w:val="1"/>
      </w:numPr>
      <w:suppressAutoHyphens/>
      <w:spacing w:after="150" w:line="300" w:lineRule="atLeast"/>
      <w:ind w:left="357" w:hanging="357"/>
    </w:pPr>
    <w:rPr>
      <w:rFonts w:ascii="PalatinoLinotype-Roman" w:hAnsi="PalatinoLinotype-Roman" w:cs="PalatinoLinotype-Roman"/>
    </w:rPr>
  </w:style>
  <w:style w:type="paragraph" w:customStyle="1" w:styleId="MinisterialSign-offName">
    <w:name w:val="Ministerial Sign-off Name"/>
    <w:basedOn w:val="NoParagraphStyle"/>
    <w:link w:val="MinisterialSign-offNameChar"/>
    <w:uiPriority w:val="99"/>
    <w:locked/>
    <w:rsid w:val="002F0561"/>
    <w:pPr>
      <w:suppressAutoHyphens/>
      <w:spacing w:before="300" w:line="300" w:lineRule="atLeast"/>
    </w:pPr>
    <w:rPr>
      <w:rFonts w:ascii="PalatinoLinotype-Bold" w:hAnsi="PalatinoLinotype-Bold" w:cs="PalatinoLinotype-Bold"/>
      <w:b/>
      <w:bCs/>
    </w:rPr>
  </w:style>
  <w:style w:type="paragraph" w:customStyle="1" w:styleId="MinisterialSign-offTitleDate">
    <w:name w:val="Ministerial Sign-off Title+Date"/>
    <w:basedOn w:val="NoParagraphStyle"/>
    <w:uiPriority w:val="99"/>
    <w:locked/>
    <w:rsid w:val="002F0561"/>
    <w:pPr>
      <w:suppressAutoHyphens/>
      <w:spacing w:line="300" w:lineRule="atLeast"/>
    </w:pPr>
    <w:rPr>
      <w:rFonts w:ascii="PalatinoLinotype-Bold" w:hAnsi="PalatinoLinotype-Bold" w:cs="PalatinoLinotype-Bold"/>
      <w:b/>
      <w:bCs/>
    </w:rPr>
  </w:style>
  <w:style w:type="paragraph" w:customStyle="1" w:styleId="ENBodyTextNumbered">
    <w:name w:val="EN Body Text + Numbered"/>
    <w:basedOn w:val="NoParagraphStyle"/>
    <w:link w:val="ENBodyTextNumberedChar"/>
    <w:uiPriority w:val="99"/>
    <w:locked/>
    <w:rsid w:val="002F0561"/>
    <w:pPr>
      <w:suppressAutoHyphens/>
      <w:spacing w:after="150" w:line="300" w:lineRule="atLeast"/>
      <w:ind w:left="600" w:hanging="600"/>
    </w:pPr>
    <w:rPr>
      <w:rFonts w:ascii="PalatinoLinotype-Roman" w:hAnsi="PalatinoLinotype-Roman" w:cs="PalatinoLinotype-Roman"/>
    </w:rPr>
  </w:style>
  <w:style w:type="paragraph" w:customStyle="1" w:styleId="ENbodytextwithindentENmaintext">
    <w:name w:val="EN body text with indent (EN main text)"/>
    <w:basedOn w:val="NoParagraphStyle"/>
    <w:uiPriority w:val="99"/>
    <w:locked/>
    <w:rsid w:val="002F0561"/>
    <w:pPr>
      <w:suppressAutoHyphens/>
      <w:spacing w:after="150" w:line="300" w:lineRule="atLeast"/>
      <w:ind w:left="600"/>
    </w:pPr>
    <w:rPr>
      <w:rFonts w:ascii="PalatinoLinotype-Roman" w:hAnsi="PalatinoLinotype-Roman" w:cs="PalatinoLinotype-Roman"/>
    </w:rPr>
  </w:style>
  <w:style w:type="paragraph" w:customStyle="1" w:styleId="ENbodytextsub-bulletENmaintext">
    <w:name w:val="EN body text sub-bullet (EN main text)"/>
    <w:basedOn w:val="NoParagraphStyle"/>
    <w:uiPriority w:val="99"/>
    <w:locked/>
    <w:rsid w:val="00E718E1"/>
    <w:pPr>
      <w:numPr>
        <w:numId w:val="2"/>
      </w:numPr>
      <w:suppressAutoHyphens/>
      <w:spacing w:after="150" w:line="300" w:lineRule="atLeast"/>
    </w:pPr>
    <w:rPr>
      <w:rFonts w:ascii="PalatinoLinotype-Roman" w:hAnsi="PalatinoLinotype-Roman" w:cs="PalatinoLinotype-Roman"/>
    </w:rPr>
  </w:style>
  <w:style w:type="paragraph" w:customStyle="1" w:styleId="ENpartheading3ENHeadings">
    <w:name w:val="EN part heading 3 (EN Headings)"/>
    <w:basedOn w:val="NoParagraphStyle"/>
    <w:uiPriority w:val="99"/>
    <w:locked/>
    <w:rsid w:val="002F0561"/>
    <w:pPr>
      <w:keepNext/>
      <w:keepLines/>
      <w:suppressAutoHyphens/>
      <w:spacing w:before="480" w:after="240" w:line="480" w:lineRule="atLeast"/>
    </w:pPr>
    <w:rPr>
      <w:rFonts w:ascii="HelveticaNeue-Bold" w:hAnsi="HelveticaNeue-Bold" w:cs="HelveticaNeue-Bold"/>
      <w:b/>
      <w:bCs/>
      <w:color w:val="0076BF"/>
      <w:sz w:val="32"/>
      <w:szCs w:val="32"/>
    </w:rPr>
  </w:style>
  <w:style w:type="paragraph" w:customStyle="1" w:styleId="ENHeading3ClauseSchedule">
    <w:name w:val="EN Heading (3) : Clause + Schedule"/>
    <w:basedOn w:val="NoParagraphStyle"/>
    <w:uiPriority w:val="99"/>
    <w:locked/>
    <w:rsid w:val="002F0561"/>
    <w:pPr>
      <w:keepNext/>
      <w:keepLines/>
      <w:suppressAutoHyphens/>
      <w:spacing w:before="180" w:after="180" w:line="360" w:lineRule="atLeast"/>
    </w:pPr>
    <w:rPr>
      <w:rFonts w:ascii="HelveticaNeue-Bold" w:hAnsi="HelveticaNeue-Bold" w:cs="HelveticaNeue-Bold"/>
      <w:b/>
      <w:bCs/>
      <w:color w:val="0076BF"/>
      <w:sz w:val="28"/>
      <w:szCs w:val="28"/>
    </w:rPr>
  </w:style>
  <w:style w:type="paragraph" w:customStyle="1" w:styleId="ENtableheadingsTables">
    <w:name w:val="EN table headings (Tables"/>
    <w:aliases w:val="captions,examples)"/>
    <w:basedOn w:val="NoParagraphStyle"/>
    <w:uiPriority w:val="99"/>
    <w:locked/>
    <w:rsid w:val="002F0561"/>
    <w:pPr>
      <w:suppressAutoHyphens/>
      <w:spacing w:before="120" w:after="120" w:line="240" w:lineRule="atLeast"/>
    </w:pPr>
    <w:rPr>
      <w:rFonts w:ascii="HelveticaNeue-Bold" w:hAnsi="HelveticaNeue-Bold" w:cs="HelveticaNeue-Bold"/>
      <w:b/>
      <w:bCs/>
      <w:szCs w:val="20"/>
    </w:rPr>
  </w:style>
  <w:style w:type="paragraph" w:customStyle="1" w:styleId="ENtabletext">
    <w:name w:val="EN table text"/>
    <w:basedOn w:val="NoParagraphStyle"/>
    <w:uiPriority w:val="99"/>
    <w:rsid w:val="002F0561"/>
    <w:pPr>
      <w:suppressAutoHyphens/>
      <w:spacing w:after="120" w:line="240" w:lineRule="atLeast"/>
    </w:pPr>
    <w:rPr>
      <w:rFonts w:ascii="HelveticaNeue" w:hAnsi="HelveticaNeue" w:cs="HelveticaNeue"/>
      <w:szCs w:val="20"/>
    </w:rPr>
  </w:style>
  <w:style w:type="paragraph" w:customStyle="1" w:styleId="ENFootnotetextENotherfeatures">
    <w:name w:val="EN Footnote text (EN other features)"/>
    <w:basedOn w:val="Normal"/>
    <w:uiPriority w:val="99"/>
    <w:locked/>
    <w:rsid w:val="00D72286"/>
    <w:pPr>
      <w:keepLines/>
      <w:suppressAutoHyphens/>
      <w:spacing w:after="80" w:line="240" w:lineRule="auto"/>
      <w:ind w:left="284" w:hanging="284"/>
    </w:pPr>
    <w:rPr>
      <w:rFonts w:ascii="HelveticaNeue" w:hAnsi="HelveticaNeue" w:cs="HelveticaNeue"/>
      <w:sz w:val="12"/>
      <w:szCs w:val="19"/>
    </w:rPr>
  </w:style>
  <w:style w:type="paragraph" w:customStyle="1" w:styleId="ENtablenumberedtextTables">
    <w:name w:val="EN table numbered text (Tables"/>
    <w:aliases w:val="captions3,examples)3"/>
    <w:basedOn w:val="NoParagraphStyle"/>
    <w:uiPriority w:val="99"/>
    <w:locked/>
    <w:rsid w:val="002F0561"/>
    <w:pPr>
      <w:suppressAutoHyphens/>
      <w:spacing w:after="120" w:line="240" w:lineRule="atLeast"/>
      <w:ind w:left="360" w:hanging="360"/>
    </w:pPr>
    <w:rPr>
      <w:rFonts w:ascii="HelveticaNeue" w:hAnsi="HelveticaNeue" w:cs="HelveticaNeue"/>
      <w:szCs w:val="20"/>
    </w:rPr>
  </w:style>
  <w:style w:type="paragraph" w:customStyle="1" w:styleId="ENtabletextsub-bulletsTables">
    <w:name w:val="EN table text sub-bullets (Tables"/>
    <w:aliases w:val="captions2,examples)2"/>
    <w:basedOn w:val="NoParagraphStyle"/>
    <w:uiPriority w:val="99"/>
    <w:locked/>
    <w:rsid w:val="00E718E1"/>
    <w:pPr>
      <w:numPr>
        <w:numId w:val="3"/>
      </w:numPr>
      <w:suppressAutoHyphens/>
      <w:spacing w:after="120" w:line="240" w:lineRule="atLeast"/>
    </w:pPr>
    <w:rPr>
      <w:rFonts w:ascii="HelveticaNeue" w:hAnsi="HelveticaNeue" w:cs="HelveticaNeue"/>
      <w:szCs w:val="20"/>
    </w:rPr>
  </w:style>
  <w:style w:type="paragraph" w:customStyle="1" w:styleId="ENexampleheading5Tables">
    <w:name w:val="EN example heading 5 (Tables"/>
    <w:aliases w:val="captions1,examples)1"/>
    <w:basedOn w:val="NoParagraphStyle"/>
    <w:uiPriority w:val="99"/>
    <w:locked/>
    <w:rsid w:val="002F0561"/>
    <w:pPr>
      <w:keepNext/>
      <w:keepLines/>
      <w:suppressAutoHyphens/>
      <w:spacing w:before="180" w:after="180" w:line="300" w:lineRule="atLeast"/>
    </w:pPr>
    <w:rPr>
      <w:rFonts w:ascii="HelveticaNeue" w:hAnsi="HelveticaNeue" w:cs="HelveticaNeue"/>
      <w:color w:val="0076BF"/>
      <w:sz w:val="26"/>
      <w:szCs w:val="26"/>
    </w:rPr>
  </w:style>
  <w:style w:type="character" w:customStyle="1" w:styleId="ENbodyboldemphasis">
    <w:name w:val="EN body bold emphasis"/>
    <w:uiPriority w:val="99"/>
    <w:locked/>
    <w:rsid w:val="002F0561"/>
    <w:rPr>
      <w:rFonts w:ascii="PalatinoLinotype-Bold" w:hAnsi="PalatinoLinotype-Bold"/>
      <w:b/>
    </w:rPr>
  </w:style>
  <w:style w:type="character" w:customStyle="1" w:styleId="footnotenumber">
    <w:name w:val="footnote number"/>
    <w:uiPriority w:val="99"/>
    <w:locked/>
    <w:rsid w:val="002F25E0"/>
    <w:rPr>
      <w:rFonts w:ascii="HelveticaNeue" w:hAnsi="HelveticaNeue"/>
      <w:sz w:val="19"/>
      <w:vertAlign w:val="superscript"/>
    </w:rPr>
  </w:style>
  <w:style w:type="character" w:styleId="Hyperlink">
    <w:name w:val="Hyperlink"/>
    <w:uiPriority w:val="99"/>
    <w:rsid w:val="00F25939"/>
    <w:rPr>
      <w:rFonts w:cs="Times New Roman"/>
      <w:color w:val="0070C0"/>
      <w:w w:val="100"/>
      <w:u w:val="single" w:color="0070C0"/>
    </w:rPr>
  </w:style>
  <w:style w:type="character" w:customStyle="1" w:styleId="blue">
    <w:name w:val="blue"/>
    <w:uiPriority w:val="99"/>
    <w:locked/>
    <w:rsid w:val="002F0561"/>
    <w:rPr>
      <w:color w:val="0076BF"/>
    </w:rPr>
  </w:style>
  <w:style w:type="character" w:styleId="FollowedHyperlink">
    <w:name w:val="FollowedHyperlink"/>
    <w:uiPriority w:val="99"/>
    <w:semiHidden/>
    <w:locked/>
    <w:rsid w:val="00E718E1"/>
    <w:rPr>
      <w:rFonts w:cs="Times New Roman"/>
      <w:color w:val="800080"/>
      <w:u w:val="single"/>
    </w:rPr>
  </w:style>
  <w:style w:type="character" w:styleId="FootnoteReference">
    <w:name w:val="footnote reference"/>
    <w:uiPriority w:val="99"/>
    <w:rsid w:val="00B9163A"/>
    <w:rPr>
      <w:rFonts w:ascii="Calibri" w:hAnsi="Calibri" w:cs="Times New Roman"/>
      <w:sz w:val="18"/>
    </w:rPr>
  </w:style>
  <w:style w:type="paragraph" w:styleId="Header">
    <w:name w:val="header"/>
    <w:basedOn w:val="Normal"/>
    <w:link w:val="HeaderChar"/>
    <w:uiPriority w:val="99"/>
    <w:locked/>
    <w:rsid w:val="00A1272A"/>
    <w:pPr>
      <w:tabs>
        <w:tab w:val="center" w:pos="4320"/>
        <w:tab w:val="right" w:pos="8640"/>
      </w:tabs>
    </w:pPr>
  </w:style>
  <w:style w:type="character" w:customStyle="1" w:styleId="HeaderChar">
    <w:name w:val="Header Char"/>
    <w:link w:val="Header"/>
    <w:uiPriority w:val="99"/>
    <w:locked/>
    <w:rsid w:val="00A1272A"/>
    <w:rPr>
      <w:rFonts w:cs="Times New Roman"/>
    </w:rPr>
  </w:style>
  <w:style w:type="paragraph" w:styleId="Footer">
    <w:name w:val="footer"/>
    <w:basedOn w:val="Normal"/>
    <w:link w:val="FooterChar"/>
    <w:uiPriority w:val="99"/>
    <w:locked/>
    <w:rsid w:val="00B7335E"/>
    <w:pPr>
      <w:tabs>
        <w:tab w:val="center" w:pos="4320"/>
        <w:tab w:val="right" w:pos="8640"/>
      </w:tabs>
    </w:pPr>
    <w:rPr>
      <w:sz w:val="20"/>
    </w:rPr>
  </w:style>
  <w:style w:type="character" w:customStyle="1" w:styleId="FooterChar">
    <w:name w:val="Footer Char"/>
    <w:link w:val="Footer"/>
    <w:uiPriority w:val="99"/>
    <w:locked/>
    <w:rsid w:val="00B7335E"/>
    <w:rPr>
      <w:rFonts w:cs="Times New Roman"/>
      <w:sz w:val="20"/>
      <w:lang w:val="en-GB"/>
    </w:rPr>
  </w:style>
  <w:style w:type="paragraph" w:customStyle="1" w:styleId="ENRunningfooterENotherfeatures">
    <w:name w:val="EN Running footer (EN other features)"/>
    <w:basedOn w:val="NoParagraphStyle"/>
    <w:uiPriority w:val="99"/>
    <w:locked/>
    <w:rsid w:val="00A1272A"/>
    <w:pPr>
      <w:tabs>
        <w:tab w:val="center" w:pos="4300"/>
      </w:tabs>
      <w:suppressAutoHyphens/>
      <w:spacing w:after="150" w:line="240" w:lineRule="atLeast"/>
    </w:pPr>
    <w:rPr>
      <w:rFonts w:ascii="HelveticaNeue-Italic" w:hAnsi="HelveticaNeue-Italic" w:cs="HelveticaNeue-Italic"/>
      <w:i/>
      <w:iCs/>
      <w:sz w:val="18"/>
      <w:szCs w:val="18"/>
    </w:rPr>
  </w:style>
  <w:style w:type="character" w:styleId="PageNumber">
    <w:name w:val="page number"/>
    <w:uiPriority w:val="99"/>
    <w:semiHidden/>
    <w:locked/>
    <w:rsid w:val="00A1272A"/>
    <w:rPr>
      <w:rFonts w:cs="Times New Roman"/>
    </w:rPr>
  </w:style>
  <w:style w:type="character" w:styleId="PlaceholderText">
    <w:name w:val="Placeholder Text"/>
    <w:uiPriority w:val="99"/>
    <w:locked/>
    <w:rsid w:val="00256D46"/>
    <w:rPr>
      <w:rFonts w:cs="Times New Roman"/>
      <w:color w:val="808080"/>
    </w:rPr>
  </w:style>
  <w:style w:type="paragraph" w:styleId="BalloonText">
    <w:name w:val="Balloon Text"/>
    <w:basedOn w:val="Normal"/>
    <w:link w:val="BalloonTextChar"/>
    <w:uiPriority w:val="99"/>
    <w:semiHidden/>
    <w:locked/>
    <w:rsid w:val="00256D46"/>
    <w:rPr>
      <w:rFonts w:ascii="Tahoma" w:hAnsi="Tahoma" w:cs="Tahoma"/>
      <w:sz w:val="16"/>
      <w:szCs w:val="16"/>
    </w:rPr>
  </w:style>
  <w:style w:type="character" w:customStyle="1" w:styleId="BalloonTextChar">
    <w:name w:val="Balloon Text Char"/>
    <w:link w:val="BalloonText"/>
    <w:uiPriority w:val="99"/>
    <w:semiHidden/>
    <w:locked/>
    <w:rsid w:val="00256D46"/>
    <w:rPr>
      <w:rFonts w:ascii="Tahoma" w:hAnsi="Tahoma" w:cs="Tahoma"/>
      <w:sz w:val="16"/>
      <w:szCs w:val="16"/>
      <w:lang w:eastAsia="en-US"/>
    </w:rPr>
  </w:style>
  <w:style w:type="table" w:styleId="TableGrid">
    <w:name w:val="Table Grid"/>
    <w:basedOn w:val="TableNormal"/>
    <w:uiPriority w:val="99"/>
    <w:locked/>
    <w:rsid w:val="00B11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5F0C99"/>
    <w:rPr>
      <w:caps/>
      <w:spacing w:val="10"/>
      <w:sz w:val="18"/>
      <w:szCs w:val="18"/>
    </w:rPr>
  </w:style>
  <w:style w:type="paragraph" w:styleId="Title">
    <w:name w:val="Title"/>
    <w:basedOn w:val="Normal"/>
    <w:next w:val="Normal"/>
    <w:link w:val="TitleChar"/>
    <w:uiPriority w:val="99"/>
    <w:qFormat/>
    <w:locked/>
    <w:rsid w:val="00266EE5"/>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99"/>
    <w:locked/>
    <w:rsid w:val="00266EE5"/>
    <w:rPr>
      <w:rFonts w:ascii="Cambria" w:hAnsi="Cambria" w:cs="Times New Roman"/>
      <w:spacing w:val="5"/>
      <w:sz w:val="52"/>
      <w:szCs w:val="52"/>
    </w:rPr>
  </w:style>
  <w:style w:type="paragraph" w:styleId="Subtitle">
    <w:name w:val="Subtitle"/>
    <w:basedOn w:val="Normal"/>
    <w:next w:val="Normal"/>
    <w:link w:val="SubtitleChar"/>
    <w:uiPriority w:val="99"/>
    <w:qFormat/>
    <w:locked/>
    <w:rsid w:val="00266EE5"/>
    <w:pPr>
      <w:spacing w:after="600"/>
    </w:pPr>
    <w:rPr>
      <w:rFonts w:ascii="Cambria" w:hAnsi="Cambria"/>
      <w:i/>
      <w:iCs/>
      <w:spacing w:val="13"/>
      <w:sz w:val="24"/>
      <w:szCs w:val="24"/>
    </w:rPr>
  </w:style>
  <w:style w:type="character" w:customStyle="1" w:styleId="SubtitleChar">
    <w:name w:val="Subtitle Char"/>
    <w:link w:val="Subtitle"/>
    <w:uiPriority w:val="99"/>
    <w:locked/>
    <w:rsid w:val="00266EE5"/>
    <w:rPr>
      <w:rFonts w:ascii="Cambria" w:hAnsi="Cambria" w:cs="Times New Roman"/>
      <w:i/>
      <w:iCs/>
      <w:spacing w:val="13"/>
      <w:sz w:val="24"/>
      <w:szCs w:val="24"/>
    </w:rPr>
  </w:style>
  <w:style w:type="character" w:styleId="Strong">
    <w:name w:val="Strong"/>
    <w:uiPriority w:val="99"/>
    <w:qFormat/>
    <w:locked/>
    <w:rsid w:val="00266EE5"/>
    <w:rPr>
      <w:rFonts w:cs="Times New Roman"/>
      <w:b/>
    </w:rPr>
  </w:style>
  <w:style w:type="character" w:styleId="Emphasis">
    <w:name w:val="Emphasis"/>
    <w:uiPriority w:val="99"/>
    <w:qFormat/>
    <w:locked/>
    <w:rsid w:val="00266EE5"/>
    <w:rPr>
      <w:rFonts w:cs="Times New Roman"/>
      <w:b/>
      <w:i/>
      <w:spacing w:val="10"/>
      <w:shd w:val="clear" w:color="auto" w:fill="auto"/>
    </w:rPr>
  </w:style>
  <w:style w:type="paragraph" w:styleId="NoSpacing">
    <w:name w:val="No Spacing"/>
    <w:basedOn w:val="Normal"/>
    <w:link w:val="NoSpacingChar"/>
    <w:uiPriority w:val="99"/>
    <w:qFormat/>
    <w:locked/>
    <w:rsid w:val="00266EE5"/>
    <w:pPr>
      <w:spacing w:after="0" w:line="240" w:lineRule="auto"/>
    </w:pPr>
  </w:style>
  <w:style w:type="character" w:customStyle="1" w:styleId="NoSpacingChar">
    <w:name w:val="No Spacing Char"/>
    <w:link w:val="NoSpacing"/>
    <w:uiPriority w:val="99"/>
    <w:locked/>
    <w:rsid w:val="005F0C99"/>
    <w:rPr>
      <w:rFonts w:cs="Times New Roman"/>
    </w:rPr>
  </w:style>
  <w:style w:type="paragraph" w:styleId="ListParagraph">
    <w:name w:val="List Paragraph"/>
    <w:basedOn w:val="Normal"/>
    <w:uiPriority w:val="99"/>
    <w:qFormat/>
    <w:locked/>
    <w:rsid w:val="00266EE5"/>
    <w:pPr>
      <w:ind w:left="720"/>
      <w:contextualSpacing/>
    </w:pPr>
  </w:style>
  <w:style w:type="paragraph" w:styleId="Quote">
    <w:name w:val="Quote"/>
    <w:basedOn w:val="Normal"/>
    <w:next w:val="Normal"/>
    <w:link w:val="QuoteChar"/>
    <w:uiPriority w:val="99"/>
    <w:qFormat/>
    <w:locked/>
    <w:rsid w:val="00266EE5"/>
    <w:pPr>
      <w:spacing w:before="200" w:after="0"/>
      <w:ind w:left="360" w:right="360"/>
    </w:pPr>
    <w:rPr>
      <w:i/>
      <w:iCs/>
    </w:rPr>
  </w:style>
  <w:style w:type="character" w:customStyle="1" w:styleId="QuoteChar">
    <w:name w:val="Quote Char"/>
    <w:link w:val="Quote"/>
    <w:uiPriority w:val="99"/>
    <w:locked/>
    <w:rsid w:val="00266EE5"/>
    <w:rPr>
      <w:rFonts w:cs="Times New Roman"/>
      <w:i/>
      <w:iCs/>
    </w:rPr>
  </w:style>
  <w:style w:type="paragraph" w:styleId="IntenseQuote">
    <w:name w:val="Intense Quote"/>
    <w:basedOn w:val="Normal"/>
    <w:next w:val="Normal"/>
    <w:link w:val="IntenseQuoteChar"/>
    <w:uiPriority w:val="99"/>
    <w:qFormat/>
    <w:locked/>
    <w:rsid w:val="00266E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266EE5"/>
    <w:rPr>
      <w:rFonts w:cs="Times New Roman"/>
      <w:b/>
      <w:bCs/>
      <w:i/>
      <w:iCs/>
    </w:rPr>
  </w:style>
  <w:style w:type="character" w:styleId="SubtleEmphasis">
    <w:name w:val="Subtle Emphasis"/>
    <w:uiPriority w:val="99"/>
    <w:qFormat/>
    <w:locked/>
    <w:rsid w:val="00266EE5"/>
    <w:rPr>
      <w:rFonts w:cs="Times New Roman"/>
      <w:i/>
    </w:rPr>
  </w:style>
  <w:style w:type="character" w:styleId="IntenseEmphasis">
    <w:name w:val="Intense Emphasis"/>
    <w:uiPriority w:val="99"/>
    <w:qFormat/>
    <w:locked/>
    <w:rsid w:val="00266EE5"/>
    <w:rPr>
      <w:rFonts w:cs="Times New Roman"/>
      <w:b/>
    </w:rPr>
  </w:style>
  <w:style w:type="character" w:styleId="SubtleReference">
    <w:name w:val="Subtle Reference"/>
    <w:uiPriority w:val="99"/>
    <w:qFormat/>
    <w:locked/>
    <w:rsid w:val="00266EE5"/>
    <w:rPr>
      <w:rFonts w:cs="Times New Roman"/>
      <w:smallCaps/>
    </w:rPr>
  </w:style>
  <w:style w:type="character" w:styleId="IntenseReference">
    <w:name w:val="Intense Reference"/>
    <w:uiPriority w:val="99"/>
    <w:qFormat/>
    <w:locked/>
    <w:rsid w:val="00266EE5"/>
    <w:rPr>
      <w:rFonts w:cs="Times New Roman"/>
      <w:smallCaps/>
      <w:spacing w:val="5"/>
      <w:u w:val="single"/>
    </w:rPr>
  </w:style>
  <w:style w:type="character" w:styleId="BookTitle">
    <w:name w:val="Book Title"/>
    <w:uiPriority w:val="99"/>
    <w:qFormat/>
    <w:locked/>
    <w:rsid w:val="00266EE5"/>
    <w:rPr>
      <w:rFonts w:cs="Times New Roman"/>
      <w:i/>
      <w:smallCaps/>
      <w:spacing w:val="5"/>
    </w:rPr>
  </w:style>
  <w:style w:type="paragraph" w:styleId="TOCHeading">
    <w:name w:val="TOC Heading"/>
    <w:basedOn w:val="Heading1"/>
    <w:next w:val="Normal"/>
    <w:uiPriority w:val="99"/>
    <w:qFormat/>
    <w:locked/>
    <w:rsid w:val="00266EE5"/>
    <w:pPr>
      <w:outlineLvl w:val="9"/>
    </w:pPr>
  </w:style>
  <w:style w:type="character" w:customStyle="1" w:styleId="Style1">
    <w:name w:val="Style1"/>
    <w:uiPriority w:val="99"/>
    <w:locked/>
    <w:rsid w:val="005C27D3"/>
    <w:rPr>
      <w:rFonts w:cs="Times New Roman"/>
      <w:caps/>
      <w:sz w:val="24"/>
    </w:rPr>
  </w:style>
  <w:style w:type="character" w:customStyle="1" w:styleId="CapitalisedStyle">
    <w:name w:val="Capitalised Style"/>
    <w:uiPriority w:val="99"/>
    <w:locked/>
    <w:rsid w:val="005C27D3"/>
    <w:rPr>
      <w:rFonts w:cs="Times New Roman"/>
      <w:caps/>
    </w:rPr>
  </w:style>
  <w:style w:type="character" w:customStyle="1" w:styleId="CapitalisedStyle1">
    <w:name w:val="Capitalised Style 1"/>
    <w:uiPriority w:val="99"/>
    <w:locked/>
    <w:rsid w:val="00174D63"/>
    <w:rPr>
      <w:rFonts w:cs="Times New Roman"/>
      <w:caps/>
    </w:rPr>
  </w:style>
  <w:style w:type="character" w:customStyle="1" w:styleId="Style2">
    <w:name w:val="Style2"/>
    <w:uiPriority w:val="99"/>
    <w:locked/>
    <w:rsid w:val="005C27D3"/>
    <w:rPr>
      <w:rFonts w:cs="Times New Roman"/>
    </w:rPr>
  </w:style>
  <w:style w:type="paragraph" w:styleId="FootnoteText">
    <w:name w:val="footnote text"/>
    <w:aliases w:val="F: Footnote Text,Char"/>
    <w:basedOn w:val="Normal"/>
    <w:link w:val="FootnoteTextChar"/>
    <w:uiPriority w:val="99"/>
    <w:semiHidden/>
    <w:rsid w:val="002F25E0"/>
    <w:pPr>
      <w:spacing w:after="0" w:line="240" w:lineRule="auto"/>
    </w:pPr>
    <w:rPr>
      <w:sz w:val="18"/>
      <w:szCs w:val="20"/>
    </w:rPr>
  </w:style>
  <w:style w:type="character" w:customStyle="1" w:styleId="FootnoteTextChar">
    <w:name w:val="Footnote Text Char"/>
    <w:aliases w:val="F: Footnote Text Char,Char Char"/>
    <w:link w:val="FootnoteText"/>
    <w:uiPriority w:val="99"/>
    <w:semiHidden/>
    <w:locked/>
    <w:rsid w:val="002F25E0"/>
    <w:rPr>
      <w:rFonts w:cs="Times New Roman"/>
      <w:sz w:val="20"/>
      <w:szCs w:val="20"/>
    </w:rPr>
  </w:style>
  <w:style w:type="paragraph" w:styleId="TOC1">
    <w:name w:val="toc 1"/>
    <w:basedOn w:val="Normal"/>
    <w:next w:val="Normal"/>
    <w:autoRedefine/>
    <w:uiPriority w:val="39"/>
    <w:rsid w:val="0067758B"/>
    <w:pPr>
      <w:tabs>
        <w:tab w:val="right" w:pos="9061"/>
      </w:tabs>
      <w:spacing w:before="120" w:after="120"/>
      <w:jc w:val="right"/>
    </w:pPr>
    <w:rPr>
      <w:rFonts w:ascii="PalatinoLinotype-Roman" w:hAnsi="PalatinoLinotype-Roman"/>
      <w:b/>
      <w:bCs/>
      <w:sz w:val="28"/>
      <w:szCs w:val="20"/>
    </w:rPr>
  </w:style>
  <w:style w:type="paragraph" w:styleId="TOC2">
    <w:name w:val="toc 2"/>
    <w:basedOn w:val="Normal"/>
    <w:next w:val="Normal"/>
    <w:autoRedefine/>
    <w:uiPriority w:val="39"/>
    <w:rsid w:val="00D36426"/>
    <w:pPr>
      <w:spacing w:after="0"/>
    </w:pPr>
    <w:rPr>
      <w:rFonts w:ascii="PalatinoLinotype-Roman" w:hAnsi="PalatinoLinotype-Roman"/>
      <w:sz w:val="24"/>
      <w:szCs w:val="20"/>
    </w:rPr>
  </w:style>
  <w:style w:type="paragraph" w:styleId="TOC3">
    <w:name w:val="toc 3"/>
    <w:basedOn w:val="Normal"/>
    <w:next w:val="Normal"/>
    <w:autoRedefine/>
    <w:uiPriority w:val="39"/>
    <w:rsid w:val="00D36426"/>
    <w:pPr>
      <w:spacing w:after="0"/>
    </w:pPr>
    <w:rPr>
      <w:rFonts w:ascii="PalatinoLinotype-Roman" w:hAnsi="PalatinoLinotype-Roman"/>
      <w:iCs/>
      <w:sz w:val="20"/>
      <w:szCs w:val="20"/>
    </w:rPr>
  </w:style>
  <w:style w:type="paragraph" w:styleId="TOC4">
    <w:name w:val="toc 4"/>
    <w:basedOn w:val="Normal"/>
    <w:next w:val="Normal"/>
    <w:autoRedefine/>
    <w:uiPriority w:val="39"/>
    <w:rsid w:val="00086349"/>
    <w:pPr>
      <w:spacing w:after="0"/>
      <w:ind w:left="660"/>
    </w:pPr>
    <w:rPr>
      <w:sz w:val="18"/>
      <w:szCs w:val="18"/>
    </w:rPr>
  </w:style>
  <w:style w:type="paragraph" w:styleId="TOC5">
    <w:name w:val="toc 5"/>
    <w:basedOn w:val="Normal"/>
    <w:next w:val="Normal"/>
    <w:autoRedefine/>
    <w:uiPriority w:val="99"/>
    <w:rsid w:val="00086349"/>
    <w:pPr>
      <w:spacing w:after="0"/>
      <w:ind w:left="880"/>
    </w:pPr>
    <w:rPr>
      <w:sz w:val="18"/>
      <w:szCs w:val="18"/>
    </w:rPr>
  </w:style>
  <w:style w:type="paragraph" w:styleId="TOC6">
    <w:name w:val="toc 6"/>
    <w:basedOn w:val="Normal"/>
    <w:next w:val="Normal"/>
    <w:autoRedefine/>
    <w:uiPriority w:val="99"/>
    <w:locked/>
    <w:rsid w:val="00086349"/>
    <w:pPr>
      <w:spacing w:after="0"/>
      <w:ind w:left="1100"/>
    </w:pPr>
    <w:rPr>
      <w:sz w:val="18"/>
      <w:szCs w:val="18"/>
    </w:rPr>
  </w:style>
  <w:style w:type="paragraph" w:styleId="TOC7">
    <w:name w:val="toc 7"/>
    <w:basedOn w:val="Normal"/>
    <w:next w:val="Normal"/>
    <w:autoRedefine/>
    <w:uiPriority w:val="99"/>
    <w:locked/>
    <w:rsid w:val="00086349"/>
    <w:pPr>
      <w:spacing w:after="0"/>
      <w:ind w:left="1320"/>
    </w:pPr>
    <w:rPr>
      <w:sz w:val="18"/>
      <w:szCs w:val="18"/>
    </w:rPr>
  </w:style>
  <w:style w:type="paragraph" w:styleId="TOC8">
    <w:name w:val="toc 8"/>
    <w:basedOn w:val="Normal"/>
    <w:next w:val="Normal"/>
    <w:autoRedefine/>
    <w:uiPriority w:val="99"/>
    <w:locked/>
    <w:rsid w:val="00086349"/>
    <w:pPr>
      <w:spacing w:after="0"/>
      <w:ind w:left="1540"/>
    </w:pPr>
    <w:rPr>
      <w:sz w:val="18"/>
      <w:szCs w:val="18"/>
    </w:rPr>
  </w:style>
  <w:style w:type="paragraph" w:styleId="TOC9">
    <w:name w:val="toc 9"/>
    <w:basedOn w:val="Normal"/>
    <w:next w:val="Normal"/>
    <w:autoRedefine/>
    <w:uiPriority w:val="99"/>
    <w:locked/>
    <w:rsid w:val="00086349"/>
    <w:pPr>
      <w:spacing w:after="0"/>
      <w:ind w:left="1760"/>
    </w:pPr>
    <w:rPr>
      <w:sz w:val="18"/>
      <w:szCs w:val="18"/>
    </w:rPr>
  </w:style>
  <w:style w:type="paragraph" w:customStyle="1" w:styleId="ENHeading1Unindexed">
    <w:name w:val="EN Heading (1) : Unindexed"/>
    <w:basedOn w:val="ENHeading1Category"/>
    <w:link w:val="WhatthesenotesdoChar"/>
    <w:uiPriority w:val="99"/>
    <w:locked/>
    <w:rsid w:val="0013437D"/>
    <w:rPr>
      <w:sz w:val="32"/>
    </w:rPr>
  </w:style>
  <w:style w:type="paragraph" w:customStyle="1" w:styleId="TOCHeading1">
    <w:name w:val="TOC Heading1"/>
    <w:basedOn w:val="ENHeading1Category"/>
    <w:link w:val="ToCHeadingChar"/>
    <w:uiPriority w:val="99"/>
    <w:rsid w:val="001172FE"/>
  </w:style>
  <w:style w:type="character" w:customStyle="1" w:styleId="NoParagraphStyleChar">
    <w:name w:val="[No Paragraph Style] Char"/>
    <w:link w:val="NoParagraphStyle"/>
    <w:uiPriority w:val="99"/>
    <w:locked/>
    <w:rsid w:val="0067758B"/>
    <w:rPr>
      <w:rFonts w:ascii="RdgSwift-Regular" w:hAnsi="RdgSwift-Regular" w:cs="RdgSwift-Regular"/>
      <w:color w:val="000000"/>
      <w:sz w:val="24"/>
      <w:szCs w:val="24"/>
      <w:lang w:val="en-US" w:eastAsia="en-US" w:bidi="ar-SA"/>
    </w:rPr>
  </w:style>
  <w:style w:type="character" w:customStyle="1" w:styleId="ENHeading1CategoryChar">
    <w:name w:val="EN Heading (1) : Category Char"/>
    <w:link w:val="ENHeading1Category"/>
    <w:uiPriority w:val="99"/>
    <w:locked/>
    <w:rsid w:val="0013437D"/>
    <w:rPr>
      <w:rFonts w:ascii="Arial" w:hAnsi="Arial" w:cs="HelveticaNeue-Bold"/>
      <w:b/>
      <w:bCs/>
      <w:color w:val="0076BF"/>
      <w:sz w:val="36"/>
      <w:szCs w:val="36"/>
      <w:lang w:val="en-US" w:eastAsia="en-US" w:bidi="ar-SA"/>
    </w:rPr>
  </w:style>
  <w:style w:type="character" w:customStyle="1" w:styleId="WhatthesenotesdoChar">
    <w:name w:val="Whatthesenotesdo Char"/>
    <w:basedOn w:val="ENHeading1CategoryChar"/>
    <w:link w:val="ENHeading1Unindexed"/>
    <w:uiPriority w:val="99"/>
    <w:locked/>
    <w:rsid w:val="0013437D"/>
    <w:rPr>
      <w:rFonts w:ascii="Arial" w:hAnsi="Arial" w:cs="HelveticaNeue-Bold"/>
      <w:b/>
      <w:bCs/>
      <w:color w:val="0076BF"/>
      <w:sz w:val="36"/>
      <w:szCs w:val="36"/>
      <w:lang w:val="en-US" w:eastAsia="en-US" w:bidi="ar-SA"/>
    </w:rPr>
  </w:style>
  <w:style w:type="paragraph" w:customStyle="1" w:styleId="TTableText">
    <w:name w:val="T: Table Text"/>
    <w:basedOn w:val="ENtabletext"/>
    <w:uiPriority w:val="99"/>
    <w:rsid w:val="005A2759"/>
    <w:rPr>
      <w:rFonts w:ascii="Arial" w:hAnsi="Arial"/>
      <w:sz w:val="16"/>
    </w:rPr>
  </w:style>
  <w:style w:type="character" w:customStyle="1" w:styleId="ToCHeadingChar">
    <w:name w:val="ToC Heading Char"/>
    <w:link w:val="TOCHeading1"/>
    <w:uiPriority w:val="99"/>
    <w:locked/>
    <w:rsid w:val="001172FE"/>
    <w:rPr>
      <w:rFonts w:ascii="HelveticaNeue-Bold" w:hAnsi="HelveticaNeue-Bold" w:cs="HelveticaNeue-Bold"/>
      <w:b/>
      <w:bCs/>
      <w:color w:val="0076BF"/>
      <w:sz w:val="36"/>
      <w:szCs w:val="36"/>
      <w:lang w:val="en-US" w:eastAsia="en-US" w:bidi="ar-SA"/>
    </w:rPr>
  </w:style>
  <w:style w:type="character" w:customStyle="1" w:styleId="Style3">
    <w:name w:val="Style3"/>
    <w:uiPriority w:val="99"/>
    <w:locked/>
    <w:rsid w:val="00604148"/>
    <w:rPr>
      <w:rFonts w:cs="Times New Roman"/>
      <w:color w:val="808080"/>
    </w:rPr>
  </w:style>
  <w:style w:type="character" w:customStyle="1" w:styleId="FooterText">
    <w:name w:val="Footer Text"/>
    <w:uiPriority w:val="99"/>
    <w:locked/>
    <w:rsid w:val="00B7335E"/>
    <w:rPr>
      <w:rFonts w:ascii="Calibri" w:hAnsi="Calibri" w:cs="Times New Roman"/>
      <w:i/>
      <w:color w:val="auto"/>
      <w:sz w:val="20"/>
    </w:rPr>
  </w:style>
  <w:style w:type="paragraph" w:customStyle="1" w:styleId="MinisterialSignoff">
    <w:name w:val="Ministerial Sign off"/>
    <w:basedOn w:val="MinisterialSign-offName"/>
    <w:link w:val="MinisterialSignoffChar"/>
    <w:uiPriority w:val="99"/>
    <w:locked/>
    <w:rsid w:val="00AA1AE3"/>
  </w:style>
  <w:style w:type="character" w:customStyle="1" w:styleId="MinisterialSign-offNameChar">
    <w:name w:val="Ministerial Sign-off Name Char"/>
    <w:link w:val="MinisterialSign-offName"/>
    <w:uiPriority w:val="99"/>
    <w:locked/>
    <w:rsid w:val="00AA1AE3"/>
    <w:rPr>
      <w:rFonts w:ascii="PalatinoLinotype-Bold" w:hAnsi="PalatinoLinotype-Bold" w:cs="PalatinoLinotype-Bold"/>
      <w:b/>
      <w:bCs/>
      <w:color w:val="000000"/>
      <w:sz w:val="24"/>
      <w:szCs w:val="24"/>
      <w:lang w:val="en-US" w:eastAsia="en-US" w:bidi="ar-SA"/>
    </w:rPr>
  </w:style>
  <w:style w:type="character" w:customStyle="1" w:styleId="MinisterialSignoffChar">
    <w:name w:val="Ministerial Sign off Char"/>
    <w:basedOn w:val="MinisterialSign-offNameChar"/>
    <w:link w:val="MinisterialSignoff"/>
    <w:uiPriority w:val="99"/>
    <w:locked/>
    <w:rsid w:val="00AA1AE3"/>
    <w:rPr>
      <w:rFonts w:ascii="PalatinoLinotype-Bold" w:hAnsi="PalatinoLinotype-Bold" w:cs="PalatinoLinotype-Bold"/>
      <w:b/>
      <w:bCs/>
      <w:color w:val="000000"/>
      <w:sz w:val="24"/>
      <w:szCs w:val="24"/>
      <w:lang w:val="en-US" w:eastAsia="en-US" w:bidi="ar-SA"/>
    </w:rPr>
  </w:style>
  <w:style w:type="paragraph" w:customStyle="1" w:styleId="ParaNumbered">
    <w:name w:val="Para: Numbered"/>
    <w:basedOn w:val="ParaMainText"/>
    <w:link w:val="ParaNumberedChar"/>
    <w:uiPriority w:val="99"/>
    <w:rsid w:val="0067758B"/>
    <w:pPr>
      <w:numPr>
        <w:numId w:val="5"/>
      </w:numPr>
      <w:spacing w:line="200" w:lineRule="atLeast"/>
      <w:ind w:left="714" w:hanging="357"/>
    </w:pPr>
  </w:style>
  <w:style w:type="paragraph" w:customStyle="1" w:styleId="MinisterialStatementText">
    <w:name w:val="Ministerial Statement Text"/>
    <w:basedOn w:val="ENBodyText"/>
    <w:link w:val="MinisterialStatementTextChar"/>
    <w:uiPriority w:val="99"/>
    <w:locked/>
    <w:rsid w:val="00933688"/>
  </w:style>
  <w:style w:type="character" w:customStyle="1" w:styleId="ENBodyTextNumberedChar">
    <w:name w:val="EN Body Text + Numbered Char"/>
    <w:link w:val="ENBodyTextNumbered"/>
    <w:uiPriority w:val="99"/>
    <w:locked/>
    <w:rsid w:val="00B76227"/>
    <w:rPr>
      <w:rFonts w:ascii="PalatinoLinotype-Roman" w:hAnsi="PalatinoLinotype-Roman" w:cs="PalatinoLinotype-Roman"/>
      <w:color w:val="000000"/>
      <w:sz w:val="24"/>
      <w:szCs w:val="24"/>
      <w:lang w:val="en-US" w:eastAsia="en-US" w:bidi="ar-SA"/>
    </w:rPr>
  </w:style>
  <w:style w:type="character" w:customStyle="1" w:styleId="ParaNumberedChar">
    <w:name w:val="Para: Numbered Char"/>
    <w:basedOn w:val="ENBodyTextNumberedChar"/>
    <w:link w:val="ParaNumbered"/>
    <w:uiPriority w:val="99"/>
    <w:locked/>
    <w:rsid w:val="009A4422"/>
    <w:rPr>
      <w:rFonts w:ascii="PalatinoLinotype-Roman" w:hAnsi="PalatinoLinotype-Roman" w:cs="PalatinoLinotype-Roman"/>
      <w:color w:val="000000"/>
      <w:sz w:val="24"/>
      <w:szCs w:val="24"/>
      <w:lang w:val="en-US" w:eastAsia="en-US" w:bidi="ar-SA"/>
    </w:rPr>
  </w:style>
  <w:style w:type="paragraph" w:customStyle="1" w:styleId="ParaMainText">
    <w:name w:val="Para: Main Text"/>
    <w:basedOn w:val="ENBodyText"/>
    <w:link w:val="ParaMainTextChar"/>
    <w:uiPriority w:val="99"/>
    <w:rsid w:val="0059596A"/>
    <w:rPr>
      <w:rFonts w:ascii="Palatino Linotype" w:hAnsi="Palatino Linotype"/>
    </w:rPr>
  </w:style>
  <w:style w:type="character" w:customStyle="1" w:styleId="ENBodyTextChar">
    <w:name w:val="EN Body Text Char"/>
    <w:link w:val="ENBodyText"/>
    <w:uiPriority w:val="99"/>
    <w:locked/>
    <w:rsid w:val="00933688"/>
    <w:rPr>
      <w:rFonts w:ascii="PalatinoLinotype-Roman" w:hAnsi="PalatinoLinotype-Roman" w:cs="PalatinoLinotype-Roman"/>
      <w:color w:val="000000"/>
      <w:sz w:val="24"/>
      <w:szCs w:val="24"/>
      <w:lang w:val="en-US" w:eastAsia="en-US" w:bidi="ar-SA"/>
    </w:rPr>
  </w:style>
  <w:style w:type="character" w:customStyle="1" w:styleId="MinisterialStatementTextChar">
    <w:name w:val="Ministerial Statement Text Char"/>
    <w:basedOn w:val="ENBodyTextChar"/>
    <w:link w:val="MinisterialStatementText"/>
    <w:uiPriority w:val="99"/>
    <w:locked/>
    <w:rsid w:val="00933688"/>
    <w:rPr>
      <w:rFonts w:ascii="PalatinoLinotype-Roman" w:hAnsi="PalatinoLinotype-Roman" w:cs="PalatinoLinotype-Roman"/>
      <w:color w:val="000000"/>
      <w:sz w:val="24"/>
      <w:szCs w:val="24"/>
      <w:lang w:val="en-US" w:eastAsia="en-US" w:bidi="ar-SA"/>
    </w:rPr>
  </w:style>
  <w:style w:type="paragraph" w:customStyle="1" w:styleId="ENIntroText">
    <w:name w:val="EN Intro Text"/>
    <w:basedOn w:val="ENBodyText"/>
    <w:link w:val="ENIntroTextChar"/>
    <w:uiPriority w:val="99"/>
    <w:locked/>
    <w:rsid w:val="0067758B"/>
  </w:style>
  <w:style w:type="character" w:customStyle="1" w:styleId="ParaMainTextChar">
    <w:name w:val="Para: Main Text Char"/>
    <w:link w:val="ParaMainText"/>
    <w:uiPriority w:val="99"/>
    <w:locked/>
    <w:rsid w:val="0059596A"/>
    <w:rPr>
      <w:rFonts w:ascii="Palatino Linotype" w:hAnsi="Palatino Linotype" w:cs="PalatinoLinotype-Roman"/>
      <w:color w:val="000000"/>
      <w:sz w:val="24"/>
      <w:szCs w:val="24"/>
      <w:lang w:val="en-US" w:eastAsia="en-US" w:bidi="ar-SA"/>
    </w:rPr>
  </w:style>
  <w:style w:type="paragraph" w:customStyle="1" w:styleId="ParaBulleted">
    <w:name w:val="Para: Bulleted"/>
    <w:basedOn w:val="ParaMainText"/>
    <w:link w:val="ParaBulletedChar"/>
    <w:uiPriority w:val="99"/>
    <w:rsid w:val="009A4422"/>
    <w:pPr>
      <w:numPr>
        <w:numId w:val="11"/>
      </w:numPr>
    </w:pPr>
  </w:style>
  <w:style w:type="character" w:customStyle="1" w:styleId="ENIntroTextChar">
    <w:name w:val="EN Intro Text Char"/>
    <w:basedOn w:val="ENBodyTextChar"/>
    <w:link w:val="ENIntroText"/>
    <w:uiPriority w:val="99"/>
    <w:locked/>
    <w:rsid w:val="0067758B"/>
    <w:rPr>
      <w:rFonts w:ascii="PalatinoLinotype-Roman" w:hAnsi="PalatinoLinotype-Roman" w:cs="PalatinoLinotype-Roman"/>
      <w:color w:val="000000"/>
      <w:sz w:val="24"/>
      <w:szCs w:val="24"/>
      <w:lang w:val="en-US" w:eastAsia="en-US" w:bidi="ar-SA"/>
    </w:rPr>
  </w:style>
  <w:style w:type="paragraph" w:customStyle="1" w:styleId="ENIntroTextBulleted">
    <w:name w:val="EN Intro Text (Bulleted)"/>
    <w:basedOn w:val="ENBodyTextBullets"/>
    <w:link w:val="ENIntroTextBulletedChar"/>
    <w:uiPriority w:val="99"/>
    <w:locked/>
    <w:rsid w:val="0067758B"/>
    <w:pPr>
      <w:numPr>
        <w:numId w:val="4"/>
      </w:numPr>
    </w:pPr>
  </w:style>
  <w:style w:type="character" w:customStyle="1" w:styleId="ENBodyTextBulletsChar">
    <w:name w:val="EN Body Text + Bullets Char"/>
    <w:link w:val="ENBodyTextBullets"/>
    <w:uiPriority w:val="99"/>
    <w:locked/>
    <w:rsid w:val="009E0E72"/>
    <w:rPr>
      <w:rFonts w:ascii="PalatinoLinotype-Roman" w:hAnsi="PalatinoLinotype-Roman" w:cs="PalatinoLinotype-Roman"/>
      <w:color w:val="000000"/>
      <w:sz w:val="24"/>
      <w:szCs w:val="24"/>
      <w:lang w:val="en-US" w:eastAsia="en-US" w:bidi="ar-SA"/>
    </w:rPr>
  </w:style>
  <w:style w:type="character" w:customStyle="1" w:styleId="ParaBulletedChar">
    <w:name w:val="Para: Bulleted Char"/>
    <w:basedOn w:val="ENBodyTextBulletsChar"/>
    <w:link w:val="ParaBulleted"/>
    <w:uiPriority w:val="99"/>
    <w:locked/>
    <w:rsid w:val="009A4422"/>
    <w:rPr>
      <w:rFonts w:ascii="PalatinoLinotype-Roman" w:hAnsi="PalatinoLinotype-Roman" w:cs="PalatinoLinotype-Roman"/>
      <w:color w:val="000000"/>
      <w:sz w:val="24"/>
      <w:szCs w:val="24"/>
      <w:lang w:val="en-US" w:eastAsia="en-US" w:bidi="ar-SA"/>
    </w:rPr>
  </w:style>
  <w:style w:type="character" w:customStyle="1" w:styleId="TTableHeadings">
    <w:name w:val="T: Table Headings"/>
    <w:uiPriority w:val="99"/>
    <w:rsid w:val="005A2759"/>
    <w:rPr>
      <w:rFonts w:ascii="Arial" w:hAnsi="Arial" w:cs="PalatinoLinotype-Bold"/>
      <w:b/>
      <w:bCs/>
      <w:color w:val="000000"/>
      <w:sz w:val="16"/>
    </w:rPr>
  </w:style>
  <w:style w:type="character" w:customStyle="1" w:styleId="ENIntroTextBulletedChar">
    <w:name w:val="EN Intro Text (Bulleted) Char"/>
    <w:basedOn w:val="ENBodyTextBulletsChar"/>
    <w:link w:val="ENIntroTextBulleted"/>
    <w:uiPriority w:val="99"/>
    <w:locked/>
    <w:rsid w:val="0067758B"/>
    <w:rPr>
      <w:rFonts w:ascii="PalatinoLinotype-Roman" w:hAnsi="PalatinoLinotype-Roman" w:cs="PalatinoLinotype-Roman"/>
      <w:color w:val="000000"/>
      <w:sz w:val="24"/>
      <w:szCs w:val="24"/>
      <w:lang w:val="en-US" w:eastAsia="en-US" w:bidi="ar-SA"/>
    </w:rPr>
  </w:style>
  <w:style w:type="paragraph" w:customStyle="1" w:styleId="HSubheading4">
    <w:name w:val="H: Subheading 4"/>
    <w:basedOn w:val="Heading4"/>
    <w:next w:val="ParaNumbered"/>
    <w:link w:val="HSubheading4Char"/>
    <w:uiPriority w:val="99"/>
    <w:rsid w:val="0059596A"/>
    <w:rPr>
      <w:szCs w:val="24"/>
    </w:rPr>
  </w:style>
  <w:style w:type="paragraph" w:customStyle="1" w:styleId="ScheduleHeading">
    <w:name w:val="Schedule Heading"/>
    <w:basedOn w:val="Heading3"/>
    <w:link w:val="ScheduleHeadingChar"/>
    <w:uiPriority w:val="99"/>
    <w:rsid w:val="00885CE8"/>
    <w:pPr>
      <w:numPr>
        <w:numId w:val="6"/>
      </w:numPr>
      <w:ind w:left="1701" w:hanging="1701"/>
    </w:pPr>
  </w:style>
  <w:style w:type="character" w:customStyle="1" w:styleId="HSubheading4Char">
    <w:name w:val="H: Subheading 4 Char"/>
    <w:link w:val="HSubheading4"/>
    <w:uiPriority w:val="99"/>
    <w:locked/>
    <w:rsid w:val="0059596A"/>
    <w:rPr>
      <w:rFonts w:ascii="Palatino Linotype" w:hAnsi="Palatino Linotype" w:cs="Times New Roman"/>
      <w:b/>
      <w:bCs/>
      <w:color w:val="0070C0"/>
      <w:sz w:val="24"/>
      <w:szCs w:val="24"/>
      <w:lang w:val="en-GB"/>
    </w:rPr>
  </w:style>
  <w:style w:type="paragraph" w:customStyle="1" w:styleId="HSubheading3">
    <w:name w:val="H: Subheading 3"/>
    <w:basedOn w:val="Heading3"/>
    <w:next w:val="ParaNumbered"/>
    <w:link w:val="HSubheading3Char"/>
    <w:uiPriority w:val="99"/>
    <w:rsid w:val="001208B2"/>
    <w:pPr>
      <w:ind w:firstLine="0"/>
    </w:pPr>
    <w:rPr>
      <w:szCs w:val="28"/>
    </w:rPr>
  </w:style>
  <w:style w:type="character" w:customStyle="1" w:styleId="ScheduleHeadingChar">
    <w:name w:val="Schedule Heading Char"/>
    <w:basedOn w:val="Heading2Char"/>
    <w:link w:val="ScheduleHeading"/>
    <w:uiPriority w:val="99"/>
    <w:locked/>
    <w:rsid w:val="00912ABF"/>
    <w:rPr>
      <w:rFonts w:ascii="HelveticaNeue-Bold" w:hAnsi="HelveticaNeue-Bold" w:cs="Times New Roman"/>
      <w:b/>
      <w:bCs/>
      <w:color w:val="0070C0"/>
      <w:sz w:val="32"/>
      <w:szCs w:val="32"/>
    </w:rPr>
  </w:style>
  <w:style w:type="paragraph" w:customStyle="1" w:styleId="deletedsectionheading">
    <w:name w:val="deleted section heading"/>
    <w:basedOn w:val="HSubheading4"/>
    <w:link w:val="deletedsectionheadingChar"/>
    <w:uiPriority w:val="99"/>
    <w:locked/>
    <w:rsid w:val="00F248D8"/>
    <w:rPr>
      <w:rFonts w:ascii="HelveticaNeue-BoldPalatinoLinot" w:hAnsi="HelveticaNeue-BoldPalatinoLinot"/>
      <w:b/>
    </w:rPr>
  </w:style>
  <w:style w:type="character" w:customStyle="1" w:styleId="HSubheading3Char">
    <w:name w:val="H: Subheading 3 Char"/>
    <w:link w:val="HSubheading3"/>
    <w:uiPriority w:val="99"/>
    <w:locked/>
    <w:rsid w:val="001208B2"/>
    <w:rPr>
      <w:rFonts w:ascii="HelveticaNeue-Bold" w:hAnsi="HelveticaNeue-Bold" w:cs="Times New Roman"/>
      <w:b/>
      <w:bCs/>
      <w:color w:val="0070C0"/>
      <w:sz w:val="28"/>
      <w:szCs w:val="28"/>
    </w:rPr>
  </w:style>
  <w:style w:type="character" w:customStyle="1" w:styleId="deletedsectionheadingChar">
    <w:name w:val="deleted section heading Char"/>
    <w:link w:val="deletedsectionheading"/>
    <w:uiPriority w:val="99"/>
    <w:locked/>
    <w:rsid w:val="00F248D8"/>
    <w:rPr>
      <w:rFonts w:ascii="HelveticaNeue-BoldPalatinoLinot" w:hAnsi="HelveticaNeue-BoldPalatinoLinot" w:cs="Times New Roman"/>
      <w:b/>
      <w:bCs/>
      <w:color w:val="0070C0"/>
      <w:sz w:val="24"/>
      <w:szCs w:val="24"/>
      <w:lang w:val="en-GB"/>
    </w:rPr>
  </w:style>
  <w:style w:type="paragraph" w:customStyle="1" w:styleId="HSubheading2">
    <w:name w:val="H: Subheading 2"/>
    <w:basedOn w:val="Heading2"/>
    <w:next w:val="ParaNumbered"/>
    <w:link w:val="HSubheading2Char"/>
    <w:uiPriority w:val="99"/>
    <w:rsid w:val="001208B2"/>
  </w:style>
  <w:style w:type="paragraph" w:customStyle="1" w:styleId="SectionHeading">
    <w:name w:val="Section Heading"/>
    <w:basedOn w:val="Heading4"/>
    <w:link w:val="SectionHeadingChar"/>
    <w:uiPriority w:val="99"/>
    <w:rsid w:val="00A05C6D"/>
    <w:pPr>
      <w:numPr>
        <w:numId w:val="10"/>
      </w:numPr>
      <w:ind w:left="1134" w:hanging="1134"/>
    </w:pPr>
  </w:style>
  <w:style w:type="character" w:customStyle="1" w:styleId="HSubheading2Char">
    <w:name w:val="H: Subheading 2 Char"/>
    <w:link w:val="HSubheading2"/>
    <w:uiPriority w:val="99"/>
    <w:locked/>
    <w:rsid w:val="001208B2"/>
    <w:rPr>
      <w:rFonts w:ascii="HelveticaNeue-Bold" w:hAnsi="HelveticaNeue-Bold" w:cs="Times New Roman"/>
      <w:b/>
      <w:bCs/>
      <w:color w:val="0070C0"/>
      <w:sz w:val="32"/>
      <w:szCs w:val="32"/>
    </w:rPr>
  </w:style>
  <w:style w:type="character" w:customStyle="1" w:styleId="SectionHeadingChar">
    <w:name w:val="Section Heading Char"/>
    <w:link w:val="SectionHeading"/>
    <w:uiPriority w:val="99"/>
    <w:locked/>
    <w:rsid w:val="00912ABF"/>
    <w:rPr>
      <w:rFonts w:ascii="PalatinoLinotype-Roman" w:hAnsi="PalatinoLinotype-Roman" w:cs="Times New Roman"/>
      <w:b/>
      <w:bCs/>
      <w:color w:val="0070C0"/>
      <w:sz w:val="32"/>
      <w:szCs w:val="32"/>
      <w:lang w:val="en-GB"/>
    </w:rPr>
  </w:style>
  <w:style w:type="paragraph" w:customStyle="1" w:styleId="StyleENBilltitleLatinPalatinoLinotype-Roman12ptNotBo">
    <w:name w:val="Style EN Bill title + (Latin) PalatinoLinotype-Roman 12 pt Not Bo..."/>
    <w:basedOn w:val="ENBilltitle"/>
    <w:uiPriority w:val="99"/>
    <w:rsid w:val="0067758B"/>
    <w:rPr>
      <w:rFonts w:ascii="PalatinoLinotype-Roman" w:hAnsi="PalatinoLinotype-Roman"/>
      <w:b w:val="0"/>
      <w:bCs w:val="0"/>
      <w:caps w:val="0"/>
      <w:spacing w:val="0"/>
      <w:sz w:val="20"/>
    </w:rPr>
  </w:style>
  <w:style w:type="paragraph" w:customStyle="1" w:styleId="StyleENBilltitleText1">
    <w:name w:val="Style EN Bill title + Text 1"/>
    <w:basedOn w:val="ENBilltitle"/>
    <w:uiPriority w:val="99"/>
    <w:rsid w:val="0013437D"/>
  </w:style>
  <w:style w:type="paragraph" w:customStyle="1" w:styleId="StyleENIntroTextBulletedText1">
    <w:name w:val="Style EN Intro Text (Bulleted) + Text 1"/>
    <w:basedOn w:val="ENIntroTextBulleted"/>
    <w:uiPriority w:val="99"/>
    <w:rsid w:val="0067758B"/>
  </w:style>
  <w:style w:type="paragraph" w:customStyle="1" w:styleId="StyleENIntroText16pt">
    <w:name w:val="Style EN Intro Text + 16 pt"/>
    <w:basedOn w:val="ENIntroText"/>
    <w:uiPriority w:val="99"/>
    <w:rsid w:val="0067758B"/>
  </w:style>
  <w:style w:type="paragraph" w:customStyle="1" w:styleId="StyleENIntroTextLatinPalatinoLinotypeAuto">
    <w:name w:val="Style EN Intro Text + (Latin) Palatino Linotype Auto"/>
    <w:basedOn w:val="ENIntroText"/>
    <w:uiPriority w:val="99"/>
    <w:rsid w:val="0067758B"/>
    <w:rPr>
      <w:rFonts w:ascii="Palatino Linotype" w:hAnsi="Palatino Linotype"/>
      <w:color w:val="auto"/>
    </w:rPr>
  </w:style>
  <w:style w:type="paragraph" w:customStyle="1" w:styleId="StyleMainTextBoldAllcapsExpandedby01pt">
    <w:name w:val="Style Main Text + Bold All caps Expanded by  0.1 pt"/>
    <w:basedOn w:val="ParaMainText"/>
    <w:uiPriority w:val="99"/>
    <w:rsid w:val="0067758B"/>
    <w:rPr>
      <w:b/>
      <w:bCs/>
      <w:caps/>
      <w:spacing w:val="2"/>
    </w:rPr>
  </w:style>
  <w:style w:type="character" w:customStyle="1" w:styleId="StylePlaceholderTextLatinHelveticaNeue-Bold22ptBoldT">
    <w:name w:val="Style Placeholder Text + (Latin) HelveticaNeue-Bold 22 pt Bold T..."/>
    <w:uiPriority w:val="99"/>
    <w:rsid w:val="0067758B"/>
    <w:rPr>
      <w:rFonts w:ascii="HelveticaNeue-Bold" w:hAnsi="HelveticaNeue-Bold" w:cs="Times New Roman"/>
      <w:b/>
      <w:bCs/>
      <w:caps/>
      <w:color w:val="000000"/>
      <w:spacing w:val="2"/>
      <w:sz w:val="44"/>
    </w:rPr>
  </w:style>
  <w:style w:type="character" w:customStyle="1" w:styleId="StylePlaceholderTextLatinPalatinoLinotype10ptAuto">
    <w:name w:val="Style Placeholder Text + (Latin) Palatino Linotype 10 pt Auto"/>
    <w:uiPriority w:val="99"/>
    <w:rsid w:val="0067758B"/>
    <w:rPr>
      <w:rFonts w:ascii="Palatino Linotype" w:hAnsi="Palatino Linotype" w:cs="Times New Roman"/>
      <w:color w:val="auto"/>
      <w:sz w:val="20"/>
    </w:rPr>
  </w:style>
  <w:style w:type="paragraph" w:customStyle="1" w:styleId="StyleTOC112pt">
    <w:name w:val="Style TOC 1 + 12 pt"/>
    <w:basedOn w:val="TOC1"/>
    <w:uiPriority w:val="99"/>
    <w:rsid w:val="0067758B"/>
    <w:rPr>
      <w:bCs w:val="0"/>
      <w:sz w:val="20"/>
    </w:rPr>
  </w:style>
  <w:style w:type="paragraph" w:customStyle="1" w:styleId="StyleTOC1Bold">
    <w:name w:val="Style TOC 1 + Bold"/>
    <w:basedOn w:val="TOC1"/>
    <w:uiPriority w:val="99"/>
    <w:rsid w:val="0067758B"/>
    <w:rPr>
      <w:b w:val="0"/>
      <w:sz w:val="24"/>
    </w:rPr>
  </w:style>
  <w:style w:type="paragraph" w:customStyle="1" w:styleId="StyleTOC1BoldRight">
    <w:name w:val="Style TOC 1 + Bold Right"/>
    <w:basedOn w:val="TOC1"/>
    <w:uiPriority w:val="99"/>
    <w:rsid w:val="0067758B"/>
    <w:rPr>
      <w:b w:val="0"/>
      <w:sz w:val="24"/>
    </w:rPr>
  </w:style>
  <w:style w:type="character" w:customStyle="1" w:styleId="CDefault">
    <w:name w:val="C: Default"/>
    <w:uiPriority w:val="99"/>
    <w:rsid w:val="0044491F"/>
    <w:rPr>
      <w:rFonts w:cs="Times New Roman"/>
    </w:rPr>
  </w:style>
  <w:style w:type="character" w:customStyle="1" w:styleId="CBold">
    <w:name w:val="C: Bold"/>
    <w:uiPriority w:val="99"/>
    <w:rsid w:val="0044491F"/>
    <w:rPr>
      <w:rFonts w:cs="Times New Roman"/>
      <w:b/>
    </w:rPr>
  </w:style>
  <w:style w:type="character" w:customStyle="1" w:styleId="CItalic">
    <w:name w:val="C: Italic"/>
    <w:uiPriority w:val="99"/>
    <w:rsid w:val="0044491F"/>
    <w:rPr>
      <w:rFonts w:cs="Times New Roman"/>
      <w:i/>
    </w:rPr>
  </w:style>
  <w:style w:type="character" w:customStyle="1" w:styleId="CUnderlined">
    <w:name w:val="C: Underlined"/>
    <w:uiPriority w:val="99"/>
    <w:rsid w:val="0044491F"/>
    <w:rPr>
      <w:rFonts w:cs="Times New Roman"/>
      <w:u w:val="single"/>
    </w:rPr>
  </w:style>
  <w:style w:type="character" w:customStyle="1" w:styleId="CBoldItalic">
    <w:name w:val="C: BoldItalic"/>
    <w:uiPriority w:val="99"/>
    <w:rsid w:val="0044491F"/>
    <w:rPr>
      <w:rFonts w:cs="Times New Roman"/>
      <w:b/>
      <w:i/>
    </w:rPr>
  </w:style>
  <w:style w:type="character" w:customStyle="1" w:styleId="CBoldUnderlined">
    <w:name w:val="C: BoldUnderlined"/>
    <w:uiPriority w:val="99"/>
    <w:rsid w:val="0044491F"/>
    <w:rPr>
      <w:rFonts w:cs="Times New Roman"/>
      <w:b/>
      <w:u w:val="single"/>
    </w:rPr>
  </w:style>
  <w:style w:type="character" w:customStyle="1" w:styleId="CItalicUnderlined">
    <w:name w:val="C: ItalicUnderlined"/>
    <w:uiPriority w:val="99"/>
    <w:rsid w:val="0044491F"/>
    <w:rPr>
      <w:rFonts w:cs="Times New Roman"/>
      <w:i/>
      <w:u w:val="single"/>
    </w:rPr>
  </w:style>
  <w:style w:type="table" w:customStyle="1" w:styleId="ENGeneralTable">
    <w:name w:val="EN General Table"/>
    <w:uiPriority w:val="99"/>
    <w:rsid w:val="0027009A"/>
    <w:rPr>
      <w:rFonts w:ascii="Arial" w:hAnsi="Arial"/>
      <w:sz w:val="16"/>
    </w:rPr>
    <w:tblPr>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0" w:type="dxa"/>
        <w:left w:w="108" w:type="dxa"/>
        <w:bottom w:w="0" w:type="dxa"/>
        <w:right w:w="108" w:type="dxa"/>
      </w:tblCellMar>
    </w:tblPr>
  </w:style>
  <w:style w:type="table" w:customStyle="1" w:styleId="EN-ExampleRefTable">
    <w:name w:val="EN-Example/Ref Table"/>
    <w:uiPriority w:val="99"/>
    <w:rsid w:val="00A968BA"/>
    <w:rPr>
      <w:rFonts w:ascii="Palatino Linotype" w:hAnsi="Palatino Linotype"/>
    </w:rPr>
    <w:tblPr>
      <w:jc w:val="center"/>
      <w:tblInd w:w="0" w:type="dxa"/>
      <w:tblBorders>
        <w:top w:val="single" w:sz="8" w:space="0" w:color="0070C0"/>
        <w:left w:val="single" w:sz="8" w:space="0" w:color="0070C0"/>
        <w:bottom w:val="single" w:sz="8" w:space="0" w:color="0070C0"/>
        <w:right w:val="single" w:sz="8" w:space="0" w:color="0070C0"/>
      </w:tblBorders>
      <w:tblCellMar>
        <w:top w:w="0" w:type="dxa"/>
        <w:left w:w="108" w:type="dxa"/>
        <w:bottom w:w="0" w:type="dxa"/>
        <w:right w:w="108" w:type="dxa"/>
      </w:tblCellMar>
    </w:tblPr>
    <w:trPr>
      <w:jc w:val="center"/>
    </w:trPr>
  </w:style>
  <w:style w:type="paragraph" w:customStyle="1" w:styleId="HSubheading5">
    <w:name w:val="H: Subheading 5"/>
    <w:basedOn w:val="Heading5"/>
    <w:next w:val="ParaMainText"/>
    <w:link w:val="HSubheading5Char"/>
    <w:uiPriority w:val="99"/>
    <w:rsid w:val="00CC28D2"/>
  </w:style>
  <w:style w:type="character" w:customStyle="1" w:styleId="HSubheading5Char">
    <w:name w:val="H: Subheading 5 Char"/>
    <w:basedOn w:val="Heading5Char"/>
    <w:link w:val="HSubheading5"/>
    <w:uiPriority w:val="99"/>
    <w:locked/>
    <w:rsid w:val="00CC28D2"/>
    <w:rPr>
      <w:rFonts w:ascii="Palatino Linotype" w:hAnsi="Palatino Linotype" w:cs="Times New Roman"/>
      <w:b/>
      <w:bCs/>
      <w:color w:val="000000"/>
      <w:sz w:val="32"/>
      <w:szCs w:val="32"/>
      <w:u w:val="single"/>
    </w:rPr>
  </w:style>
  <w:style w:type="paragraph" w:customStyle="1" w:styleId="ReferenceExample">
    <w:name w:val="Reference/Example"/>
    <w:basedOn w:val="HSubheading4"/>
    <w:next w:val="ParaMainText"/>
    <w:link w:val="ReferenceExampleChar"/>
    <w:uiPriority w:val="99"/>
    <w:rsid w:val="00E15C5E"/>
    <w:pPr>
      <w:spacing w:line="240" w:lineRule="auto"/>
    </w:pPr>
  </w:style>
  <w:style w:type="character" w:customStyle="1" w:styleId="ReferenceExampleChar">
    <w:name w:val="Reference/Example Char"/>
    <w:link w:val="ReferenceExample"/>
    <w:uiPriority w:val="99"/>
    <w:locked/>
    <w:rsid w:val="00E15C5E"/>
    <w:rPr>
      <w:rFonts w:ascii="PalatinoLinotype-Roman" w:hAnsi="PalatinoLinotype-Roman" w:cs="Times New Roman"/>
      <w:b/>
      <w:bCs/>
      <w:color w:val="0070C0"/>
      <w:sz w:val="24"/>
      <w:szCs w:val="24"/>
      <w:lang w:val="en-GB"/>
    </w:rPr>
  </w:style>
  <w:style w:type="paragraph" w:customStyle="1" w:styleId="BackPageText">
    <w:name w:val="BackPageText"/>
    <w:basedOn w:val="Normal"/>
    <w:link w:val="BackPageTextChar"/>
    <w:uiPriority w:val="99"/>
    <w:locked/>
    <w:rsid w:val="00866B9D"/>
  </w:style>
  <w:style w:type="character" w:customStyle="1" w:styleId="BackPageTextChar">
    <w:name w:val="BackPageText Char"/>
    <w:link w:val="BackPageText"/>
    <w:uiPriority w:val="99"/>
    <w:locked/>
    <w:rsid w:val="00866B9D"/>
    <w:rPr>
      <w:rFonts w:cs="Times New Roman"/>
      <w:lang w:val="en-GB"/>
    </w:rPr>
  </w:style>
  <w:style w:type="character" w:styleId="EndnoteReference">
    <w:name w:val="endnote reference"/>
    <w:uiPriority w:val="99"/>
    <w:locked/>
    <w:rsid w:val="00E272B9"/>
    <w:rPr>
      <w:rFonts w:cs="Times New Roman"/>
      <w:vertAlign w:val="superscript"/>
    </w:rPr>
  </w:style>
  <w:style w:type="paragraph" w:styleId="BodyText3">
    <w:name w:val="Body Text 3"/>
    <w:basedOn w:val="Normal"/>
    <w:link w:val="BodyText3Char"/>
    <w:uiPriority w:val="99"/>
    <w:semiHidden/>
    <w:locked/>
    <w:rsid w:val="002A7886"/>
    <w:pPr>
      <w:spacing w:after="120"/>
    </w:pPr>
    <w:rPr>
      <w:sz w:val="16"/>
      <w:szCs w:val="16"/>
    </w:rPr>
  </w:style>
  <w:style w:type="character" w:customStyle="1" w:styleId="BodyText3Char">
    <w:name w:val="Body Text 3 Char"/>
    <w:link w:val="BodyText3"/>
    <w:uiPriority w:val="99"/>
    <w:semiHidden/>
    <w:locked/>
    <w:rsid w:val="002A7886"/>
    <w:rPr>
      <w:rFonts w:cs="Times New Roman"/>
      <w:sz w:val="16"/>
      <w:szCs w:val="16"/>
      <w:lang w:val="en-GB"/>
    </w:rPr>
  </w:style>
  <w:style w:type="character" w:styleId="CommentReference">
    <w:name w:val="annotation reference"/>
    <w:uiPriority w:val="99"/>
    <w:semiHidden/>
    <w:locked/>
    <w:rsid w:val="00476F40"/>
    <w:rPr>
      <w:rFonts w:cs="Times New Roman"/>
      <w:sz w:val="16"/>
      <w:szCs w:val="16"/>
    </w:rPr>
  </w:style>
  <w:style w:type="paragraph" w:styleId="CommentText">
    <w:name w:val="annotation text"/>
    <w:basedOn w:val="Normal"/>
    <w:link w:val="CommentTextChar"/>
    <w:uiPriority w:val="99"/>
    <w:semiHidden/>
    <w:locked/>
    <w:rsid w:val="00476F40"/>
    <w:rPr>
      <w:sz w:val="20"/>
      <w:szCs w:val="20"/>
    </w:rPr>
  </w:style>
  <w:style w:type="character" w:customStyle="1" w:styleId="CommentTextChar">
    <w:name w:val="Comment Text Char"/>
    <w:link w:val="CommentText"/>
    <w:uiPriority w:val="99"/>
    <w:semiHidden/>
    <w:locked/>
    <w:rsid w:val="00EC40F4"/>
    <w:rPr>
      <w:rFonts w:cs="Times New Roman"/>
      <w:sz w:val="20"/>
      <w:szCs w:val="20"/>
      <w:lang w:eastAsia="en-US"/>
    </w:rPr>
  </w:style>
  <w:style w:type="paragraph" w:styleId="CommentSubject">
    <w:name w:val="annotation subject"/>
    <w:basedOn w:val="CommentText"/>
    <w:next w:val="CommentText"/>
    <w:link w:val="CommentSubjectChar"/>
    <w:uiPriority w:val="99"/>
    <w:semiHidden/>
    <w:locked/>
    <w:rsid w:val="00476F40"/>
    <w:rPr>
      <w:b/>
      <w:bCs/>
    </w:rPr>
  </w:style>
  <w:style w:type="character" w:customStyle="1" w:styleId="CommentSubjectChar">
    <w:name w:val="Comment Subject Char"/>
    <w:link w:val="CommentSubject"/>
    <w:uiPriority w:val="99"/>
    <w:semiHidden/>
    <w:locked/>
    <w:rsid w:val="00EC40F4"/>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8274">
      <w:bodyDiv w:val="1"/>
      <w:marLeft w:val="0"/>
      <w:marRight w:val="0"/>
      <w:marTop w:val="0"/>
      <w:marBottom w:val="0"/>
      <w:divBdr>
        <w:top w:val="none" w:sz="0" w:space="0" w:color="auto"/>
        <w:left w:val="none" w:sz="0" w:space="0" w:color="auto"/>
        <w:bottom w:val="none" w:sz="0" w:space="0" w:color="auto"/>
        <w:right w:val="none" w:sz="0" w:space="0" w:color="auto"/>
      </w:divBdr>
    </w:div>
    <w:div w:id="418333051">
      <w:bodyDiv w:val="1"/>
      <w:marLeft w:val="0"/>
      <w:marRight w:val="0"/>
      <w:marTop w:val="0"/>
      <w:marBottom w:val="0"/>
      <w:divBdr>
        <w:top w:val="none" w:sz="0" w:space="0" w:color="auto"/>
        <w:left w:val="none" w:sz="0" w:space="0" w:color="auto"/>
        <w:bottom w:val="none" w:sz="0" w:space="0" w:color="auto"/>
        <w:right w:val="none" w:sz="0" w:space="0" w:color="auto"/>
      </w:divBdr>
    </w:div>
    <w:div w:id="1218593395">
      <w:bodyDiv w:val="1"/>
      <w:marLeft w:val="0"/>
      <w:marRight w:val="0"/>
      <w:marTop w:val="0"/>
      <w:marBottom w:val="0"/>
      <w:divBdr>
        <w:top w:val="none" w:sz="0" w:space="0" w:color="auto"/>
        <w:left w:val="none" w:sz="0" w:space="0" w:color="auto"/>
        <w:bottom w:val="none" w:sz="0" w:space="0" w:color="auto"/>
        <w:right w:val="none" w:sz="0" w:space="0" w:color="auto"/>
      </w:divBdr>
    </w:div>
    <w:div w:id="1227839481">
      <w:bodyDiv w:val="1"/>
      <w:marLeft w:val="0"/>
      <w:marRight w:val="0"/>
      <w:marTop w:val="0"/>
      <w:marBottom w:val="0"/>
      <w:divBdr>
        <w:top w:val="none" w:sz="0" w:space="0" w:color="auto"/>
        <w:left w:val="none" w:sz="0" w:space="0" w:color="auto"/>
        <w:bottom w:val="none" w:sz="0" w:space="0" w:color="auto"/>
        <w:right w:val="none" w:sz="0" w:space="0" w:color="auto"/>
      </w:divBdr>
    </w:div>
    <w:div w:id="1266884047">
      <w:marLeft w:val="0"/>
      <w:marRight w:val="0"/>
      <w:marTop w:val="0"/>
      <w:marBottom w:val="0"/>
      <w:divBdr>
        <w:top w:val="none" w:sz="0" w:space="0" w:color="auto"/>
        <w:left w:val="none" w:sz="0" w:space="0" w:color="auto"/>
        <w:bottom w:val="none" w:sz="0" w:space="0" w:color="auto"/>
        <w:right w:val="none" w:sz="0" w:space="0" w:color="auto"/>
      </w:divBdr>
    </w:div>
    <w:div w:id="1266884055">
      <w:marLeft w:val="0"/>
      <w:marRight w:val="0"/>
      <w:marTop w:val="0"/>
      <w:marBottom w:val="0"/>
      <w:divBdr>
        <w:top w:val="none" w:sz="0" w:space="0" w:color="auto"/>
        <w:left w:val="none" w:sz="0" w:space="0" w:color="auto"/>
        <w:bottom w:val="none" w:sz="0" w:space="0" w:color="auto"/>
        <w:right w:val="none" w:sz="0" w:space="0" w:color="auto"/>
      </w:divBdr>
      <w:divsChild>
        <w:div w:id="1266884050">
          <w:marLeft w:val="0"/>
          <w:marRight w:val="0"/>
          <w:marTop w:val="0"/>
          <w:marBottom w:val="0"/>
          <w:divBdr>
            <w:top w:val="none" w:sz="0" w:space="0" w:color="auto"/>
            <w:left w:val="none" w:sz="0" w:space="0" w:color="auto"/>
            <w:bottom w:val="none" w:sz="0" w:space="0" w:color="auto"/>
            <w:right w:val="none" w:sz="0" w:space="0" w:color="auto"/>
          </w:divBdr>
          <w:divsChild>
            <w:div w:id="1266884054">
              <w:marLeft w:val="0"/>
              <w:marRight w:val="0"/>
              <w:marTop w:val="0"/>
              <w:marBottom w:val="0"/>
              <w:divBdr>
                <w:top w:val="none" w:sz="0" w:space="0" w:color="auto"/>
                <w:left w:val="none" w:sz="0" w:space="0" w:color="auto"/>
                <w:bottom w:val="none" w:sz="0" w:space="0" w:color="auto"/>
                <w:right w:val="none" w:sz="0" w:space="0" w:color="auto"/>
              </w:divBdr>
              <w:divsChild>
                <w:div w:id="1266884051">
                  <w:marLeft w:val="0"/>
                  <w:marRight w:val="0"/>
                  <w:marTop w:val="0"/>
                  <w:marBottom w:val="0"/>
                  <w:divBdr>
                    <w:top w:val="none" w:sz="0" w:space="0" w:color="auto"/>
                    <w:left w:val="none" w:sz="0" w:space="0" w:color="auto"/>
                    <w:bottom w:val="none" w:sz="0" w:space="0" w:color="auto"/>
                    <w:right w:val="none" w:sz="0" w:space="0" w:color="auto"/>
                  </w:divBdr>
                  <w:divsChild>
                    <w:div w:id="1266884048">
                      <w:marLeft w:val="0"/>
                      <w:marRight w:val="0"/>
                      <w:marTop w:val="0"/>
                      <w:marBottom w:val="0"/>
                      <w:divBdr>
                        <w:top w:val="none" w:sz="0" w:space="0" w:color="auto"/>
                        <w:left w:val="none" w:sz="0" w:space="0" w:color="auto"/>
                        <w:bottom w:val="none" w:sz="0" w:space="0" w:color="auto"/>
                        <w:right w:val="none" w:sz="0" w:space="0" w:color="auto"/>
                      </w:divBdr>
                      <w:divsChild>
                        <w:div w:id="1266884056">
                          <w:marLeft w:val="0"/>
                          <w:marRight w:val="0"/>
                          <w:marTop w:val="0"/>
                          <w:marBottom w:val="0"/>
                          <w:divBdr>
                            <w:top w:val="none" w:sz="0" w:space="0" w:color="auto"/>
                            <w:left w:val="none" w:sz="0" w:space="0" w:color="auto"/>
                            <w:bottom w:val="none" w:sz="0" w:space="0" w:color="auto"/>
                            <w:right w:val="none" w:sz="0" w:space="0" w:color="auto"/>
                          </w:divBdr>
                          <w:divsChild>
                            <w:div w:id="1266884052">
                              <w:marLeft w:val="0"/>
                              <w:marRight w:val="0"/>
                              <w:marTop w:val="0"/>
                              <w:marBottom w:val="0"/>
                              <w:divBdr>
                                <w:top w:val="none" w:sz="0" w:space="0" w:color="auto"/>
                                <w:left w:val="none" w:sz="0" w:space="0" w:color="auto"/>
                                <w:bottom w:val="none" w:sz="0" w:space="0" w:color="auto"/>
                                <w:right w:val="none" w:sz="0" w:space="0" w:color="auto"/>
                              </w:divBdr>
                              <w:divsChild>
                                <w:div w:id="1266884049">
                                  <w:marLeft w:val="0"/>
                                  <w:marRight w:val="0"/>
                                  <w:marTop w:val="0"/>
                                  <w:marBottom w:val="0"/>
                                  <w:divBdr>
                                    <w:top w:val="none" w:sz="0" w:space="0" w:color="auto"/>
                                    <w:left w:val="none" w:sz="0" w:space="0" w:color="auto"/>
                                    <w:bottom w:val="none" w:sz="0" w:space="0" w:color="auto"/>
                                    <w:right w:val="none" w:sz="0" w:space="0" w:color="auto"/>
                                  </w:divBdr>
                                  <w:divsChild>
                                    <w:div w:id="12668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4057">
      <w:marLeft w:val="0"/>
      <w:marRight w:val="0"/>
      <w:marTop w:val="0"/>
      <w:marBottom w:val="0"/>
      <w:divBdr>
        <w:top w:val="none" w:sz="0" w:space="0" w:color="auto"/>
        <w:left w:val="none" w:sz="0" w:space="0" w:color="auto"/>
        <w:bottom w:val="none" w:sz="0" w:space="0" w:color="auto"/>
        <w:right w:val="none" w:sz="0" w:space="0" w:color="auto"/>
      </w:divBdr>
    </w:div>
    <w:div w:id="1404449412">
      <w:bodyDiv w:val="1"/>
      <w:marLeft w:val="0"/>
      <w:marRight w:val="0"/>
      <w:marTop w:val="0"/>
      <w:marBottom w:val="0"/>
      <w:divBdr>
        <w:top w:val="none" w:sz="0" w:space="0" w:color="auto"/>
        <w:left w:val="none" w:sz="0" w:space="0" w:color="auto"/>
        <w:bottom w:val="none" w:sz="0" w:space="0" w:color="auto"/>
        <w:right w:val="none" w:sz="0" w:space="0" w:color="auto"/>
      </w:divBdr>
    </w:div>
    <w:div w:id="1974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m.gov.uk/wp-content/uploads/2015/03/cp212_patents_groundless_threats.pdf" TargetMode="External"/><Relationship Id="rId13" Type="http://schemas.openxmlformats.org/officeDocument/2006/relationships/hyperlink" Target="http://www.lawcom.gov.uk/wp-content/uploads/2015/12/lc360_patents_unjustified_threats_impact.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wcom.gov.uk/wp-content/uploads/2015/12/Gov_Response_to_LC36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m.gov.uk/wp-content/uploads/2015/04/lc360_patents_unjustified_threat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wcom.gov.uk/wp-content/uploads/2015/12/Gov_Response_to_LC346.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awcom.gov.uk/wp-content/uploads/2015/03/lc346_patents_groundless_threat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43E1-DCBA-491D-B806-2922CBB6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5479</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Intellectual Property (Unjustified Threats)</vt:lpstr>
    </vt:vector>
  </TitlesOfParts>
  <Company>IPO</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(Unjustified Threats)</dc:title>
  <dc:creator>Guidance</dc:creator>
  <cp:lastModifiedBy>Duncan, Michael</cp:lastModifiedBy>
  <cp:revision>2</cp:revision>
  <cp:lastPrinted>2015-11-30T13:36:00Z</cp:lastPrinted>
  <dcterms:created xsi:type="dcterms:W3CDTF">2025-12-29T10:33:00Z</dcterms:created>
  <dcterms:modified xsi:type="dcterms:W3CDTF">2025-12-29T10:33:00Z</dcterms:modified>
  <cp:category>[AUTOGENERATED]</cp:category>
</cp:coreProperties>
</file>