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15B4B" w14:textId="11C34E6A" w:rsidR="00BD1CEF" w:rsidRPr="00BD1CEF" w:rsidRDefault="00BD1CEF" w:rsidP="00BD1CEF">
      <w:pPr>
        <w:spacing w:after="0"/>
        <w:rPr>
          <w:rFonts w:ascii="Calibri" w:hAnsi="Calibri" w:cs="Calibri"/>
          <w:b/>
          <w:bCs/>
          <w:sz w:val="40"/>
          <w:szCs w:val="40"/>
        </w:rPr>
      </w:pPr>
      <w:r w:rsidRPr="00BD1CEF">
        <w:rPr>
          <w:rFonts w:ascii="Calibri" w:hAnsi="Calibri" w:cs="Calibri"/>
          <w:b/>
          <w:bCs/>
          <w:sz w:val="40"/>
          <w:szCs w:val="40"/>
        </w:rPr>
        <w:t xml:space="preserve">The Law Commission’s Terms of Reference for Commercial Leasehold Sub-Project 1 </w:t>
      </w:r>
    </w:p>
    <w:p w14:paraId="1C6DB824" w14:textId="77777777" w:rsidR="00BD1CEF" w:rsidRPr="00BD1CEF" w:rsidRDefault="00BD1CEF" w:rsidP="00BD1CEF">
      <w:pPr>
        <w:spacing w:after="0"/>
        <w:rPr>
          <w:rFonts w:ascii="Calibri" w:hAnsi="Calibri" w:cs="Calibri"/>
        </w:rPr>
      </w:pPr>
    </w:p>
    <w:p w14:paraId="5A062D43" w14:textId="2F885691" w:rsidR="00BD1CEF" w:rsidRPr="00BD1CEF" w:rsidRDefault="00BD1CEF" w:rsidP="00BD1CEF">
      <w:pPr>
        <w:spacing w:after="0" w:line="240" w:lineRule="auto"/>
        <w:rPr>
          <w:rFonts w:ascii="Calibri" w:hAnsi="Calibri" w:cs="Calibri"/>
        </w:rPr>
      </w:pPr>
      <w:r w:rsidRPr="00BD1CEF">
        <w:rPr>
          <w:rFonts w:ascii="Calibri" w:hAnsi="Calibri" w:cs="Calibri"/>
        </w:rPr>
        <w:t xml:space="preserve">The Law Commission will conduct a focused review of two areas of law which cause </w:t>
      </w:r>
    </w:p>
    <w:p w14:paraId="3A033E61" w14:textId="77777777" w:rsidR="00BD1CEF" w:rsidRPr="00BD1CEF" w:rsidRDefault="00BD1CEF" w:rsidP="00BD1CEF">
      <w:pPr>
        <w:spacing w:after="0" w:line="240" w:lineRule="auto"/>
        <w:rPr>
          <w:rFonts w:ascii="Calibri" w:hAnsi="Calibri" w:cs="Calibri"/>
        </w:rPr>
      </w:pPr>
      <w:r w:rsidRPr="00BD1CEF">
        <w:rPr>
          <w:rFonts w:ascii="Calibri" w:hAnsi="Calibri" w:cs="Calibri"/>
        </w:rPr>
        <w:t xml:space="preserve">problems for commercial leasehold transactions:  </w:t>
      </w:r>
    </w:p>
    <w:p w14:paraId="064523DF" w14:textId="675FCEFC" w:rsidR="00BD1CEF" w:rsidRPr="00BD1CEF" w:rsidRDefault="00BD1CEF" w:rsidP="00BD1CEF">
      <w:pPr>
        <w:spacing w:after="0" w:line="240" w:lineRule="auto"/>
        <w:rPr>
          <w:rFonts w:ascii="Calibri" w:hAnsi="Calibri" w:cs="Calibri"/>
        </w:rPr>
      </w:pPr>
    </w:p>
    <w:p w14:paraId="33CA838D" w14:textId="77777777" w:rsidR="00BD1CEF" w:rsidRPr="00BD1CEF" w:rsidRDefault="00BD1CEF" w:rsidP="00BD1CEF">
      <w:pPr>
        <w:pStyle w:val="ListParagraph"/>
        <w:numPr>
          <w:ilvl w:val="0"/>
          <w:numId w:val="2"/>
        </w:numPr>
        <w:spacing w:after="0" w:line="240" w:lineRule="auto"/>
        <w:rPr>
          <w:rFonts w:ascii="Calibri" w:hAnsi="Calibri" w:cs="Calibri"/>
        </w:rPr>
      </w:pPr>
      <w:r w:rsidRPr="00BD1CEF">
        <w:rPr>
          <w:rFonts w:ascii="Calibri" w:hAnsi="Calibri" w:cs="Calibri"/>
        </w:rPr>
        <w:t xml:space="preserve">Landlord and Tenant (Covenants) Act 1995: the project will examine whether aspects of this Act – in particular, the anti-avoidance provisions – are standing in the way of commercially important transactions.   </w:t>
      </w:r>
    </w:p>
    <w:p w14:paraId="6DBDA60A" w14:textId="77777777" w:rsidR="00BD1CEF" w:rsidRDefault="00BD1CEF" w:rsidP="00BD1CEF">
      <w:pPr>
        <w:pStyle w:val="ListParagraph"/>
        <w:spacing w:after="0" w:line="240" w:lineRule="auto"/>
        <w:rPr>
          <w:rFonts w:ascii="Calibri" w:hAnsi="Calibri" w:cs="Calibri"/>
        </w:rPr>
      </w:pPr>
    </w:p>
    <w:p w14:paraId="064BCA97" w14:textId="22F3602F" w:rsidR="00BD1CEF" w:rsidRPr="00BD1CEF" w:rsidRDefault="00BD1CEF" w:rsidP="00BD1CEF">
      <w:pPr>
        <w:pStyle w:val="ListParagraph"/>
        <w:numPr>
          <w:ilvl w:val="0"/>
          <w:numId w:val="2"/>
        </w:numPr>
        <w:spacing w:after="0" w:line="240" w:lineRule="auto"/>
        <w:rPr>
          <w:rFonts w:ascii="Calibri" w:hAnsi="Calibri" w:cs="Calibri"/>
        </w:rPr>
      </w:pPr>
      <w:r w:rsidRPr="00BD1CEF">
        <w:rPr>
          <w:rFonts w:ascii="Calibri" w:hAnsi="Calibri" w:cs="Calibri"/>
        </w:rPr>
        <w:t xml:space="preserve">Landlord and Tenant Act 1987: the project will review whether aspects of this Act are creating unnecessary confusion or bureaucracy for transactions involving commercial property – in particular, whether the grant of leases of commercial units in mixed-use premises should be excluded from the rights of first refusal given to residential tenants.  </w:t>
      </w:r>
    </w:p>
    <w:p w14:paraId="1B5CDDA0" w14:textId="77777777" w:rsidR="00BD1CEF" w:rsidRPr="00BD1CEF" w:rsidRDefault="00BD1CEF" w:rsidP="00BD1CEF">
      <w:pPr>
        <w:spacing w:after="0" w:line="240" w:lineRule="auto"/>
        <w:rPr>
          <w:rFonts w:ascii="Calibri" w:hAnsi="Calibri" w:cs="Calibri"/>
        </w:rPr>
      </w:pPr>
    </w:p>
    <w:p w14:paraId="24A7BF8D" w14:textId="61948FC8" w:rsidR="00BD1CEF" w:rsidRPr="00BD1CEF" w:rsidRDefault="00BD1CEF" w:rsidP="00BD1CEF">
      <w:pPr>
        <w:spacing w:line="240" w:lineRule="auto"/>
        <w:rPr>
          <w:rFonts w:ascii="Calibri" w:hAnsi="Calibri" w:cs="Calibri"/>
        </w:rPr>
      </w:pPr>
      <w:r w:rsidRPr="00BD1CEF">
        <w:rPr>
          <w:rFonts w:ascii="Calibri" w:hAnsi="Calibri" w:cs="Calibri"/>
        </w:rPr>
        <w:t xml:space="preserve">The Commission will consider reforms with a view to:  </w:t>
      </w:r>
    </w:p>
    <w:p w14:paraId="2C78885F" w14:textId="77777777" w:rsidR="00BD1CEF" w:rsidRPr="00BD1CEF" w:rsidRDefault="00BD1CEF" w:rsidP="00BD1CEF">
      <w:pPr>
        <w:pStyle w:val="ListParagraph"/>
        <w:numPr>
          <w:ilvl w:val="0"/>
          <w:numId w:val="3"/>
        </w:numPr>
        <w:spacing w:line="240" w:lineRule="auto"/>
        <w:rPr>
          <w:rFonts w:ascii="Calibri" w:hAnsi="Calibri" w:cs="Calibri"/>
        </w:rPr>
      </w:pPr>
      <w:r w:rsidRPr="00BD1CEF">
        <w:rPr>
          <w:rFonts w:ascii="Calibri" w:hAnsi="Calibri" w:cs="Calibri"/>
        </w:rPr>
        <w:t xml:space="preserve">streamlining commercial leasehold </w:t>
      </w:r>
      <w:proofErr w:type="gramStart"/>
      <w:r w:rsidRPr="00BD1CEF">
        <w:rPr>
          <w:rFonts w:ascii="Calibri" w:hAnsi="Calibri" w:cs="Calibri"/>
        </w:rPr>
        <w:t>transactions;</w:t>
      </w:r>
      <w:proofErr w:type="gramEnd"/>
      <w:r w:rsidRPr="00BD1CEF">
        <w:rPr>
          <w:rFonts w:ascii="Calibri" w:hAnsi="Calibri" w:cs="Calibri"/>
        </w:rPr>
        <w:t xml:space="preserve"> </w:t>
      </w:r>
    </w:p>
    <w:p w14:paraId="59466800" w14:textId="77777777" w:rsidR="00BD1CEF" w:rsidRDefault="00BD1CEF" w:rsidP="00BD1CEF">
      <w:pPr>
        <w:pStyle w:val="ListParagraph"/>
        <w:spacing w:line="240" w:lineRule="auto"/>
        <w:rPr>
          <w:rFonts w:ascii="Calibri" w:hAnsi="Calibri" w:cs="Calibri"/>
        </w:rPr>
      </w:pPr>
    </w:p>
    <w:p w14:paraId="1D5F572B" w14:textId="487C07DC" w:rsidR="00BD1CEF" w:rsidRPr="00BD1CEF" w:rsidRDefault="00BD1CEF" w:rsidP="00BD1CEF">
      <w:pPr>
        <w:pStyle w:val="ListParagraph"/>
        <w:numPr>
          <w:ilvl w:val="0"/>
          <w:numId w:val="3"/>
        </w:numPr>
        <w:spacing w:line="240" w:lineRule="auto"/>
        <w:rPr>
          <w:rFonts w:ascii="Calibri" w:hAnsi="Calibri" w:cs="Calibri"/>
        </w:rPr>
      </w:pPr>
      <w:r w:rsidRPr="00BD1CEF">
        <w:rPr>
          <w:rFonts w:ascii="Calibri" w:hAnsi="Calibri" w:cs="Calibri"/>
        </w:rPr>
        <w:t xml:space="preserve">decreasing bureaucracy, delay and </w:t>
      </w:r>
      <w:proofErr w:type="gramStart"/>
      <w:r w:rsidRPr="00BD1CEF">
        <w:rPr>
          <w:rFonts w:ascii="Calibri" w:hAnsi="Calibri" w:cs="Calibri"/>
        </w:rPr>
        <w:t>costs;</w:t>
      </w:r>
      <w:proofErr w:type="gramEnd"/>
      <w:r w:rsidRPr="00BD1CEF">
        <w:rPr>
          <w:rFonts w:ascii="Calibri" w:hAnsi="Calibri" w:cs="Calibri"/>
        </w:rPr>
        <w:t xml:space="preserve">  </w:t>
      </w:r>
    </w:p>
    <w:p w14:paraId="024E6495" w14:textId="77777777" w:rsidR="00BD1CEF" w:rsidRDefault="00BD1CEF" w:rsidP="00BD1CEF">
      <w:pPr>
        <w:pStyle w:val="ListParagraph"/>
        <w:spacing w:line="240" w:lineRule="auto"/>
        <w:rPr>
          <w:rFonts w:ascii="Calibri" w:hAnsi="Calibri" w:cs="Calibri"/>
        </w:rPr>
      </w:pPr>
    </w:p>
    <w:p w14:paraId="6D9FBC33" w14:textId="7D10A31C" w:rsidR="00BD1CEF" w:rsidRPr="00BD1CEF" w:rsidRDefault="00BD1CEF" w:rsidP="00BD1CEF">
      <w:pPr>
        <w:pStyle w:val="ListParagraph"/>
        <w:numPr>
          <w:ilvl w:val="0"/>
          <w:numId w:val="3"/>
        </w:numPr>
        <w:spacing w:line="240" w:lineRule="auto"/>
        <w:rPr>
          <w:rFonts w:ascii="Calibri" w:hAnsi="Calibri" w:cs="Calibri"/>
        </w:rPr>
      </w:pPr>
      <w:r w:rsidRPr="00BD1CEF">
        <w:rPr>
          <w:rFonts w:ascii="Calibri" w:hAnsi="Calibri" w:cs="Calibri"/>
        </w:rPr>
        <w:t xml:space="preserve">reducing confusion about how the law applies; and </w:t>
      </w:r>
    </w:p>
    <w:p w14:paraId="7639901E" w14:textId="77777777" w:rsidR="00BD1CEF" w:rsidRDefault="00BD1CEF" w:rsidP="00BD1CEF">
      <w:pPr>
        <w:pStyle w:val="ListParagraph"/>
        <w:spacing w:line="240" w:lineRule="auto"/>
        <w:rPr>
          <w:rFonts w:ascii="Calibri" w:hAnsi="Calibri" w:cs="Calibri"/>
        </w:rPr>
      </w:pPr>
    </w:p>
    <w:p w14:paraId="58CC9162" w14:textId="5AFA915C" w:rsidR="00BD1CEF" w:rsidRPr="00BD1CEF" w:rsidRDefault="00BD1CEF" w:rsidP="00BD1CEF">
      <w:pPr>
        <w:pStyle w:val="ListParagraph"/>
        <w:numPr>
          <w:ilvl w:val="0"/>
          <w:numId w:val="3"/>
        </w:numPr>
        <w:spacing w:line="240" w:lineRule="auto"/>
        <w:rPr>
          <w:rFonts w:ascii="Calibri" w:hAnsi="Calibri" w:cs="Calibri"/>
        </w:rPr>
      </w:pPr>
      <w:r w:rsidRPr="00BD1CEF">
        <w:rPr>
          <w:rFonts w:ascii="Calibri" w:hAnsi="Calibri" w:cs="Calibri"/>
        </w:rPr>
        <w:t xml:space="preserve">aligning the reforms to the wider review of the Landlord and Tenant Act 1954 and ensuring that reforms collectively (when considered alongside reforms under the 1954 Act project) support the objectives of that review. </w:t>
      </w:r>
    </w:p>
    <w:p w14:paraId="518B46B3" w14:textId="54AF012A" w:rsidR="00BD1CEF" w:rsidRPr="00BD1CEF" w:rsidRDefault="00BD1CEF" w:rsidP="00BD1CEF">
      <w:pPr>
        <w:spacing w:line="240" w:lineRule="auto"/>
        <w:rPr>
          <w:rFonts w:ascii="Calibri" w:hAnsi="Calibri" w:cs="Calibri"/>
        </w:rPr>
      </w:pPr>
      <w:r w:rsidRPr="00BD1CEF">
        <w:rPr>
          <w:rFonts w:ascii="Calibri" w:hAnsi="Calibri" w:cs="Calibri"/>
        </w:rPr>
        <w:t xml:space="preserve">The following aspects of the law are outside of the scope of the review: </w:t>
      </w:r>
    </w:p>
    <w:p w14:paraId="5AE9A468" w14:textId="23C42487" w:rsidR="00BD1CEF" w:rsidRPr="00BD1CEF" w:rsidRDefault="00BD1CEF" w:rsidP="00BD1CEF">
      <w:pPr>
        <w:pStyle w:val="ListParagraph"/>
        <w:numPr>
          <w:ilvl w:val="0"/>
          <w:numId w:val="4"/>
        </w:numPr>
        <w:spacing w:line="240" w:lineRule="auto"/>
        <w:rPr>
          <w:rFonts w:ascii="Calibri" w:hAnsi="Calibri" w:cs="Calibri"/>
        </w:rPr>
      </w:pPr>
      <w:r w:rsidRPr="00BD1CEF">
        <w:rPr>
          <w:rFonts w:ascii="Calibri" w:hAnsi="Calibri" w:cs="Calibri"/>
        </w:rPr>
        <w:t xml:space="preserve">property </w:t>
      </w:r>
      <w:proofErr w:type="gramStart"/>
      <w:r w:rsidRPr="00BD1CEF">
        <w:rPr>
          <w:rFonts w:ascii="Calibri" w:hAnsi="Calibri" w:cs="Calibri"/>
        </w:rPr>
        <w:t>taxation;</w:t>
      </w:r>
      <w:proofErr w:type="gramEnd"/>
      <w:r w:rsidRPr="00BD1CEF">
        <w:rPr>
          <w:rFonts w:ascii="Calibri" w:hAnsi="Calibri" w:cs="Calibri"/>
        </w:rPr>
        <w:t xml:space="preserve"> </w:t>
      </w:r>
    </w:p>
    <w:p w14:paraId="510C5C5A" w14:textId="77777777" w:rsidR="00BD1CEF" w:rsidRDefault="00BD1CEF" w:rsidP="00BD1CEF">
      <w:pPr>
        <w:pStyle w:val="ListParagraph"/>
        <w:spacing w:line="240" w:lineRule="auto"/>
        <w:rPr>
          <w:rFonts w:ascii="Calibri" w:hAnsi="Calibri" w:cs="Calibri"/>
        </w:rPr>
      </w:pPr>
    </w:p>
    <w:p w14:paraId="690875F7" w14:textId="4BE5FC49" w:rsidR="00BD1CEF" w:rsidRPr="00BD1CEF" w:rsidRDefault="00BD1CEF" w:rsidP="00BD1CEF">
      <w:pPr>
        <w:pStyle w:val="ListParagraph"/>
        <w:numPr>
          <w:ilvl w:val="0"/>
          <w:numId w:val="4"/>
        </w:numPr>
        <w:spacing w:line="240" w:lineRule="auto"/>
        <w:rPr>
          <w:rFonts w:ascii="Calibri" w:hAnsi="Calibri" w:cs="Calibri"/>
        </w:rPr>
      </w:pPr>
      <w:r w:rsidRPr="00BD1CEF">
        <w:rPr>
          <w:rFonts w:ascii="Calibri" w:hAnsi="Calibri" w:cs="Calibri"/>
        </w:rPr>
        <w:t>planning law (including permitted development rights and use classes</w:t>
      </w:r>
      <w:proofErr w:type="gramStart"/>
      <w:r w:rsidRPr="00BD1CEF">
        <w:rPr>
          <w:rFonts w:ascii="Calibri" w:hAnsi="Calibri" w:cs="Calibri"/>
        </w:rPr>
        <w:t>);</w:t>
      </w:r>
      <w:proofErr w:type="gramEnd"/>
      <w:r w:rsidRPr="00BD1CEF">
        <w:rPr>
          <w:rFonts w:ascii="Calibri" w:hAnsi="Calibri" w:cs="Calibri"/>
        </w:rPr>
        <w:t xml:space="preserve"> </w:t>
      </w:r>
    </w:p>
    <w:p w14:paraId="44EB5E5C" w14:textId="77777777" w:rsidR="00BD1CEF" w:rsidRDefault="00BD1CEF" w:rsidP="00BD1CEF">
      <w:pPr>
        <w:pStyle w:val="ListParagraph"/>
        <w:spacing w:line="240" w:lineRule="auto"/>
        <w:rPr>
          <w:rFonts w:ascii="Calibri" w:hAnsi="Calibri" w:cs="Calibri"/>
        </w:rPr>
      </w:pPr>
    </w:p>
    <w:p w14:paraId="679F2FD8" w14:textId="623FCEBF" w:rsidR="00BD1CEF" w:rsidRPr="00BD1CEF" w:rsidRDefault="00BD1CEF" w:rsidP="00BD1CEF">
      <w:pPr>
        <w:pStyle w:val="ListParagraph"/>
        <w:numPr>
          <w:ilvl w:val="0"/>
          <w:numId w:val="4"/>
        </w:numPr>
        <w:spacing w:line="240" w:lineRule="auto"/>
        <w:rPr>
          <w:rFonts w:ascii="Calibri" w:hAnsi="Calibri" w:cs="Calibri"/>
        </w:rPr>
      </w:pPr>
      <w:r w:rsidRPr="00BD1CEF">
        <w:rPr>
          <w:rFonts w:ascii="Calibri" w:hAnsi="Calibri" w:cs="Calibri"/>
        </w:rPr>
        <w:t xml:space="preserve">residential leasehold; and </w:t>
      </w:r>
    </w:p>
    <w:p w14:paraId="6DE92153" w14:textId="77777777" w:rsidR="00BD1CEF" w:rsidRDefault="00BD1CEF" w:rsidP="00BD1CEF">
      <w:pPr>
        <w:pStyle w:val="ListParagraph"/>
        <w:spacing w:line="240" w:lineRule="auto"/>
        <w:rPr>
          <w:rFonts w:ascii="Calibri" w:hAnsi="Calibri" w:cs="Calibri"/>
        </w:rPr>
      </w:pPr>
    </w:p>
    <w:p w14:paraId="56CD091B" w14:textId="148FDB9F" w:rsidR="00CE55FC" w:rsidRDefault="00BD1CEF" w:rsidP="00BD1CEF">
      <w:pPr>
        <w:pStyle w:val="ListParagraph"/>
        <w:numPr>
          <w:ilvl w:val="0"/>
          <w:numId w:val="4"/>
        </w:numPr>
        <w:spacing w:line="240" w:lineRule="auto"/>
        <w:rPr>
          <w:rFonts w:ascii="Calibri" w:hAnsi="Calibri" w:cs="Calibri"/>
        </w:rPr>
      </w:pPr>
      <w:r w:rsidRPr="00BD1CEF">
        <w:rPr>
          <w:rFonts w:ascii="Calibri" w:hAnsi="Calibri" w:cs="Calibri"/>
        </w:rPr>
        <w:t>t</w:t>
      </w:r>
      <w:r w:rsidRPr="00BD1CEF">
        <w:rPr>
          <w:rFonts w:ascii="Calibri" w:hAnsi="Calibri" w:cs="Calibri"/>
        </w:rPr>
        <w:t>he insolvency regime.</w:t>
      </w:r>
    </w:p>
    <w:p w14:paraId="1A79C3C9" w14:textId="77777777" w:rsidR="00BD1CEF" w:rsidRPr="00BD1CEF" w:rsidRDefault="00BD1CEF" w:rsidP="00BD1CEF">
      <w:pPr>
        <w:pStyle w:val="ListParagraph"/>
        <w:rPr>
          <w:rFonts w:ascii="Calibri" w:hAnsi="Calibri" w:cs="Calibri"/>
        </w:rPr>
      </w:pPr>
    </w:p>
    <w:p w14:paraId="04AA75E7" w14:textId="5BF753AB" w:rsidR="00BD1CEF" w:rsidRPr="00BD1CEF" w:rsidRDefault="00BD1CEF" w:rsidP="00BD1CEF">
      <w:pPr>
        <w:spacing w:line="240" w:lineRule="auto"/>
        <w:rPr>
          <w:rFonts w:ascii="Calibri" w:hAnsi="Calibri" w:cs="Calibri"/>
        </w:rPr>
      </w:pPr>
      <w:r>
        <w:rPr>
          <w:rFonts w:ascii="Calibri" w:hAnsi="Calibri" w:cs="Calibri"/>
        </w:rPr>
        <w:t xml:space="preserve">For further details of the project, visit our </w:t>
      </w:r>
      <w:hyperlink r:id="rId9" w:history="1">
        <w:r w:rsidRPr="00BD1CEF">
          <w:rPr>
            <w:rStyle w:val="Hyperlink"/>
            <w:rFonts w:ascii="Calibri" w:hAnsi="Calibri" w:cs="Calibri"/>
          </w:rPr>
          <w:t>Commercial Leasehold page.</w:t>
        </w:r>
      </w:hyperlink>
    </w:p>
    <w:sectPr w:rsidR="00BD1CEF" w:rsidRPr="00BD1C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3863"/>
    <w:multiLevelType w:val="hybridMultilevel"/>
    <w:tmpl w:val="D3C85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0F4E3F"/>
    <w:multiLevelType w:val="hybridMultilevel"/>
    <w:tmpl w:val="FD74F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2A5366"/>
    <w:multiLevelType w:val="hybridMultilevel"/>
    <w:tmpl w:val="88824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4842EB"/>
    <w:multiLevelType w:val="hybridMultilevel"/>
    <w:tmpl w:val="55D676E8"/>
    <w:lvl w:ilvl="0" w:tplc="08090001">
      <w:start w:val="1"/>
      <w:numFmt w:val="bullet"/>
      <w:lvlText w:val=""/>
      <w:lvlJc w:val="left"/>
      <w:pPr>
        <w:ind w:left="720" w:hanging="360"/>
      </w:pPr>
      <w:rPr>
        <w:rFonts w:ascii="Symbol" w:hAnsi="Symbol" w:hint="default"/>
      </w:rPr>
    </w:lvl>
    <w:lvl w:ilvl="1" w:tplc="36ACE51C">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8365515">
    <w:abstractNumId w:val="3"/>
  </w:num>
  <w:num w:numId="2" w16cid:durableId="2024474281">
    <w:abstractNumId w:val="2"/>
  </w:num>
  <w:num w:numId="3" w16cid:durableId="1887451356">
    <w:abstractNumId w:val="0"/>
  </w:num>
  <w:num w:numId="4" w16cid:durableId="12594137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CEF"/>
    <w:rsid w:val="005C7561"/>
    <w:rsid w:val="00AD2D4E"/>
    <w:rsid w:val="00BD1CEF"/>
    <w:rsid w:val="00CE55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64A8A"/>
  <w15:chartTrackingRefBased/>
  <w15:docId w15:val="{CCB09B70-C4D6-4B87-AF5F-8CFA9A6BC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1C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1C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1C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1C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1C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1C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1C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1C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1C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C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1C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1C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1C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1C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1C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1C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1C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1CEF"/>
    <w:rPr>
      <w:rFonts w:eastAsiaTheme="majorEastAsia" w:cstheme="majorBidi"/>
      <w:color w:val="272727" w:themeColor="text1" w:themeTint="D8"/>
    </w:rPr>
  </w:style>
  <w:style w:type="paragraph" w:styleId="Title">
    <w:name w:val="Title"/>
    <w:basedOn w:val="Normal"/>
    <w:next w:val="Normal"/>
    <w:link w:val="TitleChar"/>
    <w:uiPriority w:val="10"/>
    <w:qFormat/>
    <w:rsid w:val="00BD1C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1C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1C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1C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1CEF"/>
    <w:pPr>
      <w:spacing w:before="160"/>
      <w:jc w:val="center"/>
    </w:pPr>
    <w:rPr>
      <w:i/>
      <w:iCs/>
      <w:color w:val="404040" w:themeColor="text1" w:themeTint="BF"/>
    </w:rPr>
  </w:style>
  <w:style w:type="character" w:customStyle="1" w:styleId="QuoteChar">
    <w:name w:val="Quote Char"/>
    <w:basedOn w:val="DefaultParagraphFont"/>
    <w:link w:val="Quote"/>
    <w:uiPriority w:val="29"/>
    <w:rsid w:val="00BD1CEF"/>
    <w:rPr>
      <w:i/>
      <w:iCs/>
      <w:color w:val="404040" w:themeColor="text1" w:themeTint="BF"/>
    </w:rPr>
  </w:style>
  <w:style w:type="paragraph" w:styleId="ListParagraph">
    <w:name w:val="List Paragraph"/>
    <w:basedOn w:val="Normal"/>
    <w:uiPriority w:val="34"/>
    <w:qFormat/>
    <w:rsid w:val="00BD1CEF"/>
    <w:pPr>
      <w:ind w:left="720"/>
      <w:contextualSpacing/>
    </w:pPr>
  </w:style>
  <w:style w:type="character" w:styleId="IntenseEmphasis">
    <w:name w:val="Intense Emphasis"/>
    <w:basedOn w:val="DefaultParagraphFont"/>
    <w:uiPriority w:val="21"/>
    <w:qFormat/>
    <w:rsid w:val="00BD1CEF"/>
    <w:rPr>
      <w:i/>
      <w:iCs/>
      <w:color w:val="0F4761" w:themeColor="accent1" w:themeShade="BF"/>
    </w:rPr>
  </w:style>
  <w:style w:type="paragraph" w:styleId="IntenseQuote">
    <w:name w:val="Intense Quote"/>
    <w:basedOn w:val="Normal"/>
    <w:next w:val="Normal"/>
    <w:link w:val="IntenseQuoteChar"/>
    <w:uiPriority w:val="30"/>
    <w:qFormat/>
    <w:rsid w:val="00BD1C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1CEF"/>
    <w:rPr>
      <w:i/>
      <w:iCs/>
      <w:color w:val="0F4761" w:themeColor="accent1" w:themeShade="BF"/>
    </w:rPr>
  </w:style>
  <w:style w:type="character" w:styleId="IntenseReference">
    <w:name w:val="Intense Reference"/>
    <w:basedOn w:val="DefaultParagraphFont"/>
    <w:uiPriority w:val="32"/>
    <w:qFormat/>
    <w:rsid w:val="00BD1CEF"/>
    <w:rPr>
      <w:b/>
      <w:bCs/>
      <w:smallCaps/>
      <w:color w:val="0F4761" w:themeColor="accent1" w:themeShade="BF"/>
      <w:spacing w:val="5"/>
    </w:rPr>
  </w:style>
  <w:style w:type="character" w:styleId="Hyperlink">
    <w:name w:val="Hyperlink"/>
    <w:basedOn w:val="DefaultParagraphFont"/>
    <w:uiPriority w:val="99"/>
    <w:unhideWhenUsed/>
    <w:rsid w:val="00BD1CEF"/>
    <w:rPr>
      <w:color w:val="467886" w:themeColor="hyperlink"/>
      <w:u w:val="single"/>
    </w:rPr>
  </w:style>
  <w:style w:type="character" w:styleId="UnresolvedMention">
    <w:name w:val="Unresolved Mention"/>
    <w:basedOn w:val="DefaultParagraphFont"/>
    <w:uiPriority w:val="99"/>
    <w:semiHidden/>
    <w:unhideWhenUsed/>
    <w:rsid w:val="00BD1C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lawcom.gov.uk/project/commercial-leaseho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11B4CD766FB143BF460A989CEB1B39" ma:contentTypeVersion="26" ma:contentTypeDescription="Create a new document." ma:contentTypeScope="" ma:versionID="7e4466675ea8441c3baa2e5ae9537217">
  <xsd:schema xmlns:xsd="http://www.w3.org/2001/XMLSchema" xmlns:xs="http://www.w3.org/2001/XMLSchema" xmlns:p="http://schemas.microsoft.com/office/2006/metadata/properties" xmlns:ns1="http://schemas.microsoft.com/sharepoint/v3" xmlns:ns2="19f70a1d-2b14-45d1-bf0c-e2fce3c9f4da" xmlns:ns3="http://schemas.microsoft.com/sharepoint/v4" xmlns:ns4="5a2aa72c-baec-4c14-85d3-2e77d93b5cd1" xmlns:ns5="cdf56056-3e96-4c95-bd74-b243641134af" targetNamespace="http://schemas.microsoft.com/office/2006/metadata/properties" ma:root="true" ma:fieldsID="446a3adf0135c4e5acdb863b5b12c1e3" ns1:_="" ns2:_="" ns3:_="" ns4:_="" ns5:_="">
    <xsd:import namespace="http://schemas.microsoft.com/sharepoint/v3"/>
    <xsd:import namespace="19f70a1d-2b14-45d1-bf0c-e2fce3c9f4da"/>
    <xsd:import namespace="http://schemas.microsoft.com/sharepoint/v4"/>
    <xsd:import namespace="5a2aa72c-baec-4c14-85d3-2e77d93b5cd1"/>
    <xsd:import namespace="cdf56056-3e96-4c95-bd74-b243641134af"/>
    <xsd:element name="properties">
      <xsd:complexType>
        <xsd:sequence>
          <xsd:element name="documentManagement">
            <xsd:complexType>
              <xsd:all>
                <xsd:element ref="ns2:_dlc_DocId" minOccurs="0"/>
                <xsd:element ref="ns2:_dlc_DocIdUrl" minOccurs="0"/>
                <xsd:element ref="ns2:_dlc_DocIdPersistId" minOccurs="0"/>
                <xsd:element ref="ns2:IsModified" minOccurs="0"/>
                <xsd:element ref="ns3:IconOverlay" minOccurs="0"/>
                <xsd:element ref="ns1:_vti_ItemDeclaredRecord" minOccurs="0"/>
                <xsd:element ref="ns1:_vti_ItemHoldRecordStatus" minOccurs="0"/>
                <xsd:element ref="ns4:SharedWithUsers" minOccurs="0"/>
                <xsd:element ref="ns4:SharedWithDetails" minOccurs="0"/>
                <xsd:element ref="ns5:MediaServiceMetadata" minOccurs="0"/>
                <xsd:element ref="ns5:MediaServiceFastMetadata" minOccurs="0"/>
                <xsd:element ref="ns5:MediaServiceAutoKeyPoints" minOccurs="0"/>
                <xsd:element ref="ns5:MediaServiceKeyPoints" minOccurs="0"/>
                <xsd:element ref="ns5:MediaServiceAutoTags" minOccurs="0"/>
                <xsd:element ref="ns5:MediaLengthInSeconds" minOccurs="0"/>
                <xsd:element ref="ns5:MediaServiceOCR" minOccurs="0"/>
                <xsd:element ref="ns5:MediaServiceGenerationTime" minOccurs="0"/>
                <xsd:element ref="ns5:MediaServiceEventHashCode" minOccurs="0"/>
                <xsd:element ref="ns2:TaxCatchAll" minOccurs="0"/>
                <xsd:element ref="ns5:MediaServiceDateTaken" minOccurs="0"/>
                <xsd:element ref="ns5:lcf76f155ced4ddcb4097134ff3c332f" minOccurs="0"/>
                <xsd:element ref="ns5:MediaServiceLocation"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3" nillable="true" ma:displayName="Declared Record" ma:hidden="true" ma:internalName="_vti_ItemDeclaredRecord" ma:readOnly="true">
      <xsd:simpleType>
        <xsd:restriction base="dms:DateTime"/>
      </xsd:simpleType>
    </xsd:element>
    <xsd:element name="_vti_ItemHoldRecordStatus" ma:index="14"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9f70a1d-2b14-45d1-bf0c-e2fce3c9f4d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IsModified" ma:index="11" nillable="true" ma:displayName="IsModified" ma:default="No" ma:hidden="true" ma:internalName="IsModified" ma:readOnly="false">
      <xsd:simpleType>
        <xsd:restriction base="dms:Text">
          <xsd:maxLength value="255"/>
        </xsd:restriction>
      </xsd:simpleType>
    </xsd:element>
    <xsd:element name="TaxCatchAll" ma:index="26" nillable="true" ma:displayName="Taxonomy Catch All Column" ma:hidden="true" ma:list="{0311db33-0fc2-4c72-835f-a3fa961df7b0}" ma:internalName="TaxCatchAll" ma:showField="CatchAllData" ma:web="19f70a1d-2b14-45d1-bf0c-e2fce3c9f4d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2aa72c-baec-4c14-85d3-2e77d93b5cd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f56056-3e96-4c95-bd74-b243641134af"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AutoTags" ma:index="21" nillable="true" ma:displayName="Tags" ma:internalName="MediaServiceAutoTag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7" nillable="true" ma:displayName="MediaServiceDateTaken" ma:hidden="true" ma:internalName="MediaServiceDateTaken" ma:readOnly="true">
      <xsd:simpleType>
        <xsd:restriction base="dms:Text"/>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95b7e4bc-7c04-4239-a3c8-056ff7db7bf8" ma:termSetId="09814cd3-568e-fe90-9814-8d621ff8fb84" ma:anchorId="fba54fb3-c3e1-fe81-a776-ca4b69148c4d" ma:open="true" ma:isKeyword="false">
      <xsd:complexType>
        <xsd:sequence>
          <xsd:element ref="pc:Terms" minOccurs="0" maxOccurs="1"/>
        </xsd:sequence>
      </xsd:complexType>
    </xsd:element>
    <xsd:element name="MediaServiceLocation" ma:index="30" nillable="true" ma:displayName="Location" ma:description="" ma:indexed="true" ma:internalName="MediaServiceLocation" ma:readOnly="true">
      <xsd:simpleType>
        <xsd:restriction base="dms:Text"/>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PersistId xmlns="19f70a1d-2b14-45d1-bf0c-e2fce3c9f4da" xsi:nil="true"/>
    <IconOverlay xmlns="http://schemas.microsoft.com/sharepoint/v4" xsi:nil="true"/>
    <IsModified xmlns="19f70a1d-2b14-45d1-bf0c-e2fce3c9f4da">No</IsModified>
    <lcf76f155ced4ddcb4097134ff3c332f xmlns="cdf56056-3e96-4c95-bd74-b243641134af">
      <Terms xmlns="http://schemas.microsoft.com/office/infopath/2007/PartnerControls"/>
    </lcf76f155ced4ddcb4097134ff3c332f>
    <TaxCatchAll xmlns="19f70a1d-2b14-45d1-bf0c-e2fce3c9f4da" xsi:nil="true"/>
    <_dlc_DocId xmlns="19f70a1d-2b14-45d1-bf0c-e2fce3c9f4da">ASOF-1208893162-95888</_dlc_DocId>
    <_dlc_DocIdUrl xmlns="19f70a1d-2b14-45d1-bf0c-e2fce3c9f4da">
      <Url>https://justiceuk.sharepoint.com/sites/MOJ-JS-AO/LAWC/PFTL/_layouts/15/DocIdRedir.aspx?ID=ASOF-1208893162-95888</Url>
      <Description>ASOF-1208893162-95888</Description>
    </_dlc_DocIdUrl>
  </documentManagement>
</p:properties>
</file>

<file path=customXml/itemProps1.xml><?xml version="1.0" encoding="utf-8"?>
<ds:datastoreItem xmlns:ds="http://schemas.openxmlformats.org/officeDocument/2006/customXml" ds:itemID="{501005F7-B272-48E7-B94D-5D1956691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9f70a1d-2b14-45d1-bf0c-e2fce3c9f4da"/>
    <ds:schemaRef ds:uri="http://schemas.microsoft.com/sharepoint/v4"/>
    <ds:schemaRef ds:uri="5a2aa72c-baec-4c14-85d3-2e77d93b5cd1"/>
    <ds:schemaRef ds:uri="cdf56056-3e96-4c95-bd74-b243641134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8B6AF6-531A-4E75-919B-0979C7B4BE38}">
  <ds:schemaRefs>
    <ds:schemaRef ds:uri="http://schemas.microsoft.com/sharepoint/events"/>
  </ds:schemaRefs>
</ds:datastoreItem>
</file>

<file path=customXml/itemProps3.xml><?xml version="1.0" encoding="utf-8"?>
<ds:datastoreItem xmlns:ds="http://schemas.openxmlformats.org/officeDocument/2006/customXml" ds:itemID="{20D6FFCD-73A8-48D4-9D8E-244E314D9F01}">
  <ds:schemaRefs>
    <ds:schemaRef ds:uri="http://schemas.microsoft.com/sharepoint/v3/contenttype/forms"/>
  </ds:schemaRefs>
</ds:datastoreItem>
</file>

<file path=customXml/itemProps4.xml><?xml version="1.0" encoding="utf-8"?>
<ds:datastoreItem xmlns:ds="http://schemas.openxmlformats.org/officeDocument/2006/customXml" ds:itemID="{12CCFAFF-91EA-4D04-8378-9D9008ADC8B4}">
  <ds:schemaRefs>
    <ds:schemaRef ds:uri="http://www.w3.org/XML/1998/namespace"/>
    <ds:schemaRef ds:uri="http://schemas.microsoft.com/sharepoint/v4"/>
    <ds:schemaRef ds:uri="http://schemas.microsoft.com/office/2006/documentManagement/types"/>
    <ds:schemaRef ds:uri="http://purl.org/dc/elements/1.1/"/>
    <ds:schemaRef ds:uri="cdf56056-3e96-4c95-bd74-b243641134af"/>
    <ds:schemaRef ds:uri="http://schemas.microsoft.com/office/infopath/2007/PartnerControls"/>
    <ds:schemaRef ds:uri="http://schemas.openxmlformats.org/package/2006/metadata/core-properties"/>
    <ds:schemaRef ds:uri="5a2aa72c-baec-4c14-85d3-2e77d93b5cd1"/>
    <ds:schemaRef ds:uri="http://purl.org/dc/dcmitype/"/>
    <ds:schemaRef ds:uri="19f70a1d-2b14-45d1-bf0c-e2fce3c9f4da"/>
    <ds:schemaRef ds:uri="http://schemas.microsoft.com/sharepoint/v3"/>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232</Words>
  <Characters>1326</Characters>
  <Application>Microsoft Office Word</Application>
  <DocSecurity>0</DocSecurity>
  <Lines>11</Lines>
  <Paragraphs>3</Paragraphs>
  <ScaleCrop>false</ScaleCrop>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Donnelly, Rachael</dc:creator>
  <cp:keywords/>
  <dc:description/>
  <cp:lastModifiedBy>Donnelly, Rachael</cp:lastModifiedBy>
  <cp:revision>1</cp:revision>
  <dcterms:created xsi:type="dcterms:W3CDTF">2026-04-28T12:28:00Z</dcterms:created>
  <dcterms:modified xsi:type="dcterms:W3CDTF">2026-04-28T12:38:00Z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0x0101008511B4CD766FB143BF460A989CEB1B39</vt:lpwstr>
  </property>
  <property fmtid="{D5CDD505-2E9C-101B-9397-08002B2CF9AE}" pid="3" name="_dlc_DocIdItemGuid">
    <vt:lpwstr>d2608311-dc4e-47db-9a01-1eeaae507ba6</vt:lpwstr>
  </property>
  <property fmtid="{D5CDD505-2E9C-101B-9397-08002B2CF9AE}" pid="4" name="MediaServiceImageTags">
    <vt:lpwstr/>
  </property>
</Properties>
</file>