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D1365" w14:textId="0B7AAC0A" w:rsidR="00A312D9" w:rsidRDefault="00A312D9" w:rsidP="00A312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Tribunal Procedure Rules and Practice Statements</w:t>
      </w:r>
      <w:r>
        <w:rPr>
          <w:rStyle w:val="eop"/>
          <w:rFonts w:ascii="Arial" w:hAnsi="Arial" w:cs="Arial"/>
          <w:sz w:val="22"/>
          <w:szCs w:val="22"/>
        </w:rPr>
        <w:t> </w:t>
      </w:r>
    </w:p>
    <w:p w14:paraId="7FADE04F" w14:textId="77777777" w:rsidR="00A312D9" w:rsidRDefault="00A312D9" w:rsidP="00A312D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C8326A4" w14:textId="77777777" w:rsidR="00A312D9" w:rsidRDefault="00A312D9" w:rsidP="00A312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Rule 2 - The Overriding Objective</w:t>
      </w:r>
      <w:r>
        <w:rPr>
          <w:rStyle w:val="eop"/>
          <w:rFonts w:ascii="Arial" w:hAnsi="Arial" w:cs="Arial"/>
          <w:sz w:val="22"/>
          <w:szCs w:val="22"/>
        </w:rPr>
        <w:t> </w:t>
      </w:r>
    </w:p>
    <w:p w14:paraId="5E6E49CD" w14:textId="77777777" w:rsidR="00A312D9" w:rsidRDefault="00A312D9" w:rsidP="00A312D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81230B6" w14:textId="77777777" w:rsidR="00A312D9" w:rsidRDefault="00A312D9" w:rsidP="00A312D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CE39DE4" w14:textId="77777777" w:rsidR="00A312D9" w:rsidRDefault="00A312D9" w:rsidP="00A312D9">
      <w:pPr>
        <w:pStyle w:val="paragraph"/>
        <w:numPr>
          <w:ilvl w:val="0"/>
          <w:numId w:val="1"/>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The overriding objective of these Rules is to enable the Tribunal to deal with cases fairly and justly. </w:t>
      </w:r>
      <w:r>
        <w:rPr>
          <w:rStyle w:val="eop"/>
          <w:rFonts w:ascii="Arial" w:hAnsi="Arial" w:cs="Arial"/>
          <w:sz w:val="22"/>
          <w:szCs w:val="22"/>
        </w:rPr>
        <w:t> </w:t>
      </w:r>
    </w:p>
    <w:p w14:paraId="432D239F" w14:textId="77777777" w:rsidR="00A312D9" w:rsidRDefault="00A312D9" w:rsidP="00A312D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5BC64E7" w14:textId="77777777" w:rsidR="00A312D9" w:rsidRDefault="00A312D9" w:rsidP="00A312D9">
      <w:pPr>
        <w:pStyle w:val="paragraph"/>
        <w:numPr>
          <w:ilvl w:val="0"/>
          <w:numId w:val="2"/>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Dealing with a case fairly and justly includes— </w:t>
      </w:r>
      <w:r>
        <w:rPr>
          <w:rStyle w:val="eop"/>
          <w:rFonts w:ascii="Arial" w:hAnsi="Arial" w:cs="Arial"/>
          <w:sz w:val="22"/>
          <w:szCs w:val="22"/>
        </w:rPr>
        <w:t> </w:t>
      </w:r>
    </w:p>
    <w:p w14:paraId="1777B91A" w14:textId="77777777" w:rsidR="00A312D9" w:rsidRDefault="00A312D9" w:rsidP="00A312D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704E359" w14:textId="38BFC763" w:rsidR="00A312D9" w:rsidRDefault="00D52385" w:rsidP="00D52385">
      <w:pPr>
        <w:pStyle w:val="paragraph"/>
        <w:spacing w:before="0" w:beforeAutospacing="0" w:after="0" w:afterAutospacing="0"/>
        <w:ind w:left="1440"/>
        <w:textAlignment w:val="baseline"/>
        <w:rPr>
          <w:rFonts w:ascii="Arial" w:hAnsi="Arial" w:cs="Arial"/>
          <w:sz w:val="22"/>
          <w:szCs w:val="22"/>
        </w:rPr>
      </w:pPr>
      <w:r>
        <w:rPr>
          <w:rStyle w:val="normaltextrun"/>
          <w:rFonts w:ascii="Arial" w:hAnsi="Arial" w:cs="Arial"/>
          <w:sz w:val="22"/>
          <w:szCs w:val="22"/>
        </w:rPr>
        <w:t xml:space="preserve">a. </w:t>
      </w:r>
      <w:r w:rsidR="00A312D9">
        <w:rPr>
          <w:rStyle w:val="normaltextrun"/>
          <w:rFonts w:ascii="Arial" w:hAnsi="Arial" w:cs="Arial"/>
          <w:sz w:val="22"/>
          <w:szCs w:val="22"/>
        </w:rPr>
        <w:t xml:space="preserve">Dealing with the case in ways which are proportionate to the importance of the case, the complexity of the issues, the anticipated costs and the resources of the parties and of the </w:t>
      </w:r>
      <w:proofErr w:type="gramStart"/>
      <w:r w:rsidR="00A312D9">
        <w:rPr>
          <w:rStyle w:val="normaltextrun"/>
          <w:rFonts w:ascii="Arial" w:hAnsi="Arial" w:cs="Arial"/>
          <w:sz w:val="22"/>
          <w:szCs w:val="22"/>
        </w:rPr>
        <w:t>Tribunal;</w:t>
      </w:r>
      <w:proofErr w:type="gramEnd"/>
      <w:r w:rsidR="00A312D9">
        <w:rPr>
          <w:rStyle w:val="normaltextrun"/>
          <w:rFonts w:ascii="Arial" w:hAnsi="Arial" w:cs="Arial"/>
          <w:sz w:val="22"/>
          <w:szCs w:val="22"/>
        </w:rPr>
        <w:t> </w:t>
      </w:r>
      <w:r w:rsidR="00A312D9">
        <w:rPr>
          <w:rStyle w:val="eop"/>
          <w:rFonts w:ascii="Arial" w:hAnsi="Arial" w:cs="Arial"/>
          <w:sz w:val="22"/>
          <w:szCs w:val="22"/>
        </w:rPr>
        <w:t> </w:t>
      </w:r>
    </w:p>
    <w:p w14:paraId="4192C36B" w14:textId="77777777" w:rsidR="00A312D9" w:rsidRDefault="00A312D9" w:rsidP="00A312D9">
      <w:pPr>
        <w:pStyle w:val="paragraph"/>
        <w:numPr>
          <w:ilvl w:val="0"/>
          <w:numId w:val="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 xml:space="preserve">Avoiding unnecessary formality and seeking flexibility in the </w:t>
      </w:r>
      <w:proofErr w:type="gramStart"/>
      <w:r>
        <w:rPr>
          <w:rStyle w:val="normaltextrun"/>
          <w:rFonts w:ascii="Arial" w:hAnsi="Arial" w:cs="Arial"/>
          <w:sz w:val="22"/>
          <w:szCs w:val="22"/>
        </w:rPr>
        <w:t>proceedings;</w:t>
      </w:r>
      <w:proofErr w:type="gramEnd"/>
      <w:r>
        <w:rPr>
          <w:rStyle w:val="eop"/>
          <w:rFonts w:ascii="Arial" w:hAnsi="Arial" w:cs="Arial"/>
          <w:sz w:val="22"/>
          <w:szCs w:val="22"/>
        </w:rPr>
        <w:t> </w:t>
      </w:r>
    </w:p>
    <w:p w14:paraId="365FC3E7" w14:textId="77777777" w:rsidR="00A312D9" w:rsidRDefault="00A312D9" w:rsidP="00A312D9">
      <w:pPr>
        <w:pStyle w:val="paragraph"/>
        <w:numPr>
          <w:ilvl w:val="0"/>
          <w:numId w:val="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 xml:space="preserve">Ensuring, so far as practicable, that the parties are able to participate fully in the </w:t>
      </w:r>
      <w:proofErr w:type="gramStart"/>
      <w:r>
        <w:rPr>
          <w:rStyle w:val="normaltextrun"/>
          <w:rFonts w:ascii="Arial" w:hAnsi="Arial" w:cs="Arial"/>
          <w:sz w:val="22"/>
          <w:szCs w:val="22"/>
        </w:rPr>
        <w:t>proceedings;</w:t>
      </w:r>
      <w:proofErr w:type="gramEnd"/>
      <w:r>
        <w:rPr>
          <w:rStyle w:val="normaltextrun"/>
          <w:rFonts w:ascii="Arial" w:hAnsi="Arial" w:cs="Arial"/>
          <w:sz w:val="22"/>
          <w:szCs w:val="22"/>
        </w:rPr>
        <w:t> </w:t>
      </w:r>
      <w:r>
        <w:rPr>
          <w:rStyle w:val="eop"/>
          <w:rFonts w:ascii="Arial" w:hAnsi="Arial" w:cs="Arial"/>
          <w:sz w:val="22"/>
          <w:szCs w:val="22"/>
        </w:rPr>
        <w:t> </w:t>
      </w:r>
    </w:p>
    <w:p w14:paraId="12EB3B34" w14:textId="77777777" w:rsidR="00A312D9" w:rsidRDefault="00A312D9" w:rsidP="00A312D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(d) Using any special expertise of the Tribunal effectively; and </w:t>
      </w:r>
      <w:r>
        <w:rPr>
          <w:rStyle w:val="eop"/>
          <w:rFonts w:ascii="Arial" w:hAnsi="Arial" w:cs="Arial"/>
          <w:sz w:val="22"/>
          <w:szCs w:val="22"/>
        </w:rPr>
        <w:t> </w:t>
      </w:r>
    </w:p>
    <w:p w14:paraId="654AFBE7" w14:textId="77777777" w:rsidR="00A312D9" w:rsidRDefault="00A312D9" w:rsidP="00A312D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(e) Avoiding delay, so far as compatible with proper consideration of the issues. </w:t>
      </w:r>
      <w:r>
        <w:rPr>
          <w:rStyle w:val="eop"/>
          <w:rFonts w:ascii="Arial" w:hAnsi="Arial" w:cs="Arial"/>
          <w:sz w:val="22"/>
          <w:szCs w:val="22"/>
        </w:rPr>
        <w:t> </w:t>
      </w:r>
    </w:p>
    <w:p w14:paraId="08AEA7BC" w14:textId="77777777" w:rsidR="00A312D9" w:rsidRDefault="00A312D9" w:rsidP="00A312D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2F659078" w14:textId="77777777" w:rsidR="00A312D9" w:rsidRDefault="00A312D9" w:rsidP="00A312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(3) The Tribunal must seek to give effect to the overriding objective when it—</w:t>
      </w:r>
      <w:r>
        <w:rPr>
          <w:rStyle w:val="eop"/>
          <w:rFonts w:ascii="Arial" w:hAnsi="Arial" w:cs="Arial"/>
          <w:sz w:val="22"/>
          <w:szCs w:val="22"/>
        </w:rPr>
        <w:t> </w:t>
      </w:r>
    </w:p>
    <w:p w14:paraId="666415C5" w14:textId="77777777" w:rsidR="00A312D9" w:rsidRDefault="00A312D9" w:rsidP="00A312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tabchar"/>
          <w:rFonts w:ascii="Calibri" w:hAnsi="Calibri" w:cs="Calibri"/>
          <w:sz w:val="22"/>
          <w:szCs w:val="22"/>
        </w:rPr>
        <w:t xml:space="preserve"> </w:t>
      </w:r>
      <w:r>
        <w:rPr>
          <w:rStyle w:val="normaltextrun"/>
          <w:rFonts w:ascii="Arial" w:hAnsi="Arial" w:cs="Arial"/>
          <w:sz w:val="22"/>
          <w:szCs w:val="22"/>
        </w:rPr>
        <w:t>(a) Exercises any power under these Rules; or </w:t>
      </w:r>
      <w:r>
        <w:rPr>
          <w:rStyle w:val="eop"/>
          <w:rFonts w:ascii="Arial" w:hAnsi="Arial" w:cs="Arial"/>
          <w:sz w:val="22"/>
          <w:szCs w:val="22"/>
        </w:rPr>
        <w:t> </w:t>
      </w:r>
    </w:p>
    <w:p w14:paraId="28A42007" w14:textId="77777777" w:rsidR="00A312D9" w:rsidRDefault="00A312D9" w:rsidP="00A312D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(b) Interprets any rule or practice direction. </w:t>
      </w:r>
      <w:r>
        <w:rPr>
          <w:rStyle w:val="eop"/>
          <w:rFonts w:ascii="Arial" w:hAnsi="Arial" w:cs="Arial"/>
          <w:sz w:val="22"/>
          <w:szCs w:val="22"/>
        </w:rPr>
        <w:t> </w:t>
      </w:r>
    </w:p>
    <w:p w14:paraId="3B6D70E1" w14:textId="77777777" w:rsidR="00A312D9" w:rsidRDefault="00A312D9" w:rsidP="00A312D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70903463" w14:textId="77777777" w:rsidR="00A312D9" w:rsidRDefault="00A312D9" w:rsidP="00A312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(4) Parties must—</w:t>
      </w:r>
      <w:r>
        <w:rPr>
          <w:rStyle w:val="eop"/>
          <w:rFonts w:ascii="Arial" w:hAnsi="Arial" w:cs="Arial"/>
          <w:sz w:val="22"/>
          <w:szCs w:val="22"/>
        </w:rPr>
        <w:t> </w:t>
      </w:r>
    </w:p>
    <w:p w14:paraId="6736B332" w14:textId="77777777" w:rsidR="00A312D9" w:rsidRDefault="00A312D9" w:rsidP="00A312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tabchar"/>
          <w:rFonts w:ascii="Calibri" w:hAnsi="Calibri" w:cs="Calibri"/>
          <w:sz w:val="22"/>
          <w:szCs w:val="22"/>
        </w:rPr>
        <w:t xml:space="preserve"> </w:t>
      </w:r>
      <w:r>
        <w:rPr>
          <w:rStyle w:val="normaltextrun"/>
          <w:rFonts w:ascii="Arial" w:hAnsi="Arial" w:cs="Arial"/>
          <w:sz w:val="22"/>
          <w:szCs w:val="22"/>
        </w:rPr>
        <w:t>(a) help the Tribunal to further the overriding objective; and</w:t>
      </w:r>
      <w:r>
        <w:rPr>
          <w:rStyle w:val="eop"/>
          <w:rFonts w:ascii="Arial" w:hAnsi="Arial" w:cs="Arial"/>
          <w:sz w:val="22"/>
          <w:szCs w:val="22"/>
        </w:rPr>
        <w:t> </w:t>
      </w:r>
    </w:p>
    <w:p w14:paraId="38858179" w14:textId="77777777" w:rsidR="00A312D9" w:rsidRDefault="00A312D9" w:rsidP="00A312D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(b) co-operate with the Tribunal generally.</w:t>
      </w:r>
      <w:r>
        <w:rPr>
          <w:rStyle w:val="eop"/>
          <w:rFonts w:ascii="Arial" w:hAnsi="Arial" w:cs="Arial"/>
          <w:sz w:val="22"/>
          <w:szCs w:val="22"/>
        </w:rPr>
        <w:t> </w:t>
      </w:r>
    </w:p>
    <w:p w14:paraId="74C4BF8B" w14:textId="77777777" w:rsidR="00A312D9" w:rsidRDefault="00A312D9" w:rsidP="00A312D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AF5275D" w14:textId="77777777" w:rsidR="00A312D9" w:rsidRDefault="00A312D9" w:rsidP="00A312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Rule 5 – Case Management Powers (extracts)</w:t>
      </w:r>
      <w:r>
        <w:rPr>
          <w:rStyle w:val="eop"/>
          <w:rFonts w:ascii="Arial" w:hAnsi="Arial" w:cs="Arial"/>
          <w:sz w:val="22"/>
          <w:szCs w:val="22"/>
        </w:rPr>
        <w:t> </w:t>
      </w:r>
    </w:p>
    <w:p w14:paraId="69F3FBF7" w14:textId="77777777" w:rsidR="00A312D9" w:rsidRDefault="00A312D9" w:rsidP="00A312D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016231F" w14:textId="77777777" w:rsidR="00A312D9" w:rsidRDefault="00A312D9" w:rsidP="00A312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Tribunal may:</w:t>
      </w:r>
      <w:r>
        <w:rPr>
          <w:rStyle w:val="eop"/>
          <w:rFonts w:ascii="Arial" w:hAnsi="Arial" w:cs="Arial"/>
          <w:sz w:val="22"/>
          <w:szCs w:val="22"/>
        </w:rPr>
        <w:t> </w:t>
      </w:r>
    </w:p>
    <w:p w14:paraId="7C4E47C8" w14:textId="77777777" w:rsidR="00A312D9" w:rsidRDefault="00A312D9" w:rsidP="00A312D9">
      <w:pPr>
        <w:pStyle w:val="paragraph"/>
        <w:numPr>
          <w:ilvl w:val="0"/>
          <w:numId w:val="6"/>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 xml:space="preserve">Give a direction in relation to the conduct or disposal of proceedings at any </w:t>
      </w:r>
      <w:proofErr w:type="gramStart"/>
      <w:r>
        <w:rPr>
          <w:rStyle w:val="normaltextrun"/>
          <w:rFonts w:ascii="Arial" w:hAnsi="Arial" w:cs="Arial"/>
          <w:sz w:val="22"/>
          <w:szCs w:val="22"/>
        </w:rPr>
        <w:t>time;</w:t>
      </w:r>
      <w:proofErr w:type="gramEnd"/>
      <w:r>
        <w:rPr>
          <w:rStyle w:val="eop"/>
          <w:rFonts w:ascii="Arial" w:hAnsi="Arial" w:cs="Arial"/>
          <w:sz w:val="22"/>
          <w:szCs w:val="22"/>
        </w:rPr>
        <w:t> </w:t>
      </w:r>
    </w:p>
    <w:p w14:paraId="6224B698" w14:textId="77777777" w:rsidR="00A312D9" w:rsidRDefault="00A312D9" w:rsidP="00A312D9">
      <w:pPr>
        <w:pStyle w:val="paragraph"/>
        <w:numPr>
          <w:ilvl w:val="0"/>
          <w:numId w:val="7"/>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 xml:space="preserve">May extend or shorten the time for complying with any </w:t>
      </w:r>
      <w:proofErr w:type="gramStart"/>
      <w:r>
        <w:rPr>
          <w:rStyle w:val="normaltextrun"/>
          <w:rFonts w:ascii="Arial" w:hAnsi="Arial" w:cs="Arial"/>
          <w:sz w:val="22"/>
          <w:szCs w:val="22"/>
        </w:rPr>
        <w:t>rule;</w:t>
      </w:r>
      <w:proofErr w:type="gramEnd"/>
      <w:r>
        <w:rPr>
          <w:rStyle w:val="eop"/>
          <w:rFonts w:ascii="Arial" w:hAnsi="Arial" w:cs="Arial"/>
          <w:sz w:val="22"/>
          <w:szCs w:val="22"/>
        </w:rPr>
        <w:t> </w:t>
      </w:r>
    </w:p>
    <w:p w14:paraId="357DD7A3" w14:textId="77777777" w:rsidR="00A312D9" w:rsidRDefault="00A312D9" w:rsidP="00A312D9">
      <w:pPr>
        <w:pStyle w:val="paragraph"/>
        <w:numPr>
          <w:ilvl w:val="0"/>
          <w:numId w:val="8"/>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 xml:space="preserve">May permit or require a party or another person to provide documents, information, evidence or submissions to the Tribunal or a </w:t>
      </w:r>
      <w:proofErr w:type="gramStart"/>
      <w:r>
        <w:rPr>
          <w:rStyle w:val="normaltextrun"/>
          <w:rFonts w:ascii="Arial" w:hAnsi="Arial" w:cs="Arial"/>
          <w:sz w:val="22"/>
          <w:szCs w:val="22"/>
        </w:rPr>
        <w:t>party;</w:t>
      </w:r>
      <w:proofErr w:type="gramEnd"/>
      <w:r>
        <w:rPr>
          <w:rStyle w:val="eop"/>
          <w:rFonts w:ascii="Arial" w:hAnsi="Arial" w:cs="Arial"/>
          <w:sz w:val="22"/>
          <w:szCs w:val="22"/>
        </w:rPr>
        <w:t> </w:t>
      </w:r>
    </w:p>
    <w:p w14:paraId="37C649B4" w14:textId="77777777" w:rsidR="00A312D9" w:rsidRDefault="00A312D9" w:rsidP="00A312D9">
      <w:pPr>
        <w:pStyle w:val="paragraph"/>
        <w:numPr>
          <w:ilvl w:val="0"/>
          <w:numId w:val="9"/>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 xml:space="preserve">Deal with an issue in proceedings as a preliminary </w:t>
      </w:r>
      <w:proofErr w:type="gramStart"/>
      <w:r>
        <w:rPr>
          <w:rStyle w:val="normaltextrun"/>
          <w:rFonts w:ascii="Arial" w:hAnsi="Arial" w:cs="Arial"/>
          <w:sz w:val="22"/>
          <w:szCs w:val="22"/>
        </w:rPr>
        <w:t>issue;</w:t>
      </w:r>
      <w:proofErr w:type="gramEnd"/>
      <w:r>
        <w:rPr>
          <w:rStyle w:val="eop"/>
          <w:rFonts w:ascii="Arial" w:hAnsi="Arial" w:cs="Arial"/>
          <w:sz w:val="22"/>
          <w:szCs w:val="22"/>
        </w:rPr>
        <w:t> </w:t>
      </w:r>
    </w:p>
    <w:p w14:paraId="4D064ECA" w14:textId="77777777" w:rsidR="00A312D9" w:rsidRDefault="00A312D9" w:rsidP="00A312D9">
      <w:pPr>
        <w:pStyle w:val="paragraph"/>
        <w:numPr>
          <w:ilvl w:val="0"/>
          <w:numId w:val="10"/>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 xml:space="preserve">Decide the form of any </w:t>
      </w:r>
      <w:proofErr w:type="gramStart"/>
      <w:r>
        <w:rPr>
          <w:rStyle w:val="normaltextrun"/>
          <w:rFonts w:ascii="Arial" w:hAnsi="Arial" w:cs="Arial"/>
          <w:sz w:val="22"/>
          <w:szCs w:val="22"/>
        </w:rPr>
        <w:t>hearing;</w:t>
      </w:r>
      <w:proofErr w:type="gramEnd"/>
      <w:r>
        <w:rPr>
          <w:rStyle w:val="eop"/>
          <w:rFonts w:ascii="Arial" w:hAnsi="Arial" w:cs="Arial"/>
          <w:sz w:val="22"/>
          <w:szCs w:val="22"/>
        </w:rPr>
        <w:t> </w:t>
      </w:r>
    </w:p>
    <w:p w14:paraId="06097168" w14:textId="77777777" w:rsidR="00A312D9" w:rsidRDefault="00A312D9" w:rsidP="00A312D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35043FA" w14:textId="77777777" w:rsidR="00A312D9" w:rsidRDefault="00A312D9" w:rsidP="00A312D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94C9335" w14:textId="77777777" w:rsidR="00A312D9" w:rsidRDefault="00A312D9" w:rsidP="00A312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Rule 7 – Failure to comply with the rules</w:t>
      </w:r>
      <w:r>
        <w:rPr>
          <w:rStyle w:val="eop"/>
          <w:rFonts w:ascii="Arial" w:hAnsi="Arial" w:cs="Arial"/>
          <w:sz w:val="22"/>
          <w:szCs w:val="22"/>
        </w:rPr>
        <w:t> </w:t>
      </w:r>
    </w:p>
    <w:p w14:paraId="79B8135E" w14:textId="77777777" w:rsidR="00A312D9" w:rsidRDefault="00A312D9" w:rsidP="00A312D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5CC096B" w14:textId="77777777" w:rsidR="00A312D9" w:rsidRDefault="00A312D9" w:rsidP="00A312D9">
      <w:pPr>
        <w:pStyle w:val="paragraph"/>
        <w:numPr>
          <w:ilvl w:val="0"/>
          <w:numId w:val="11"/>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Any irregularity resulting from a failure to comply with any requirement in these Rules, a practice direction or a direction, does not of itself render void the proceedings or any step taken in the proceedings.</w:t>
      </w:r>
      <w:r>
        <w:rPr>
          <w:rStyle w:val="eop"/>
          <w:rFonts w:ascii="Arial" w:hAnsi="Arial" w:cs="Arial"/>
          <w:sz w:val="22"/>
          <w:szCs w:val="22"/>
        </w:rPr>
        <w:t> </w:t>
      </w:r>
    </w:p>
    <w:p w14:paraId="1F92028C" w14:textId="77777777" w:rsidR="00A312D9" w:rsidRDefault="00A312D9" w:rsidP="00A312D9">
      <w:pPr>
        <w:pStyle w:val="paragraph"/>
        <w:numPr>
          <w:ilvl w:val="0"/>
          <w:numId w:val="12"/>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If any party has failed to comply with a requirement in these Rules, a practice direction or a direction, the Tribunal may take such action as it considers just, which may include:</w:t>
      </w:r>
      <w:r>
        <w:rPr>
          <w:rStyle w:val="eop"/>
          <w:rFonts w:ascii="Arial" w:hAnsi="Arial" w:cs="Arial"/>
          <w:sz w:val="22"/>
          <w:szCs w:val="22"/>
        </w:rPr>
        <w:t> </w:t>
      </w:r>
    </w:p>
    <w:p w14:paraId="3F7882EF" w14:textId="77777777" w:rsidR="00A312D9" w:rsidRDefault="00A312D9" w:rsidP="00A312D9">
      <w:pPr>
        <w:pStyle w:val="paragraph"/>
        <w:numPr>
          <w:ilvl w:val="0"/>
          <w:numId w:val="1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 xml:space="preserve">Waiving the </w:t>
      </w:r>
      <w:proofErr w:type="gramStart"/>
      <w:r>
        <w:rPr>
          <w:rStyle w:val="normaltextrun"/>
          <w:rFonts w:ascii="Arial" w:hAnsi="Arial" w:cs="Arial"/>
          <w:sz w:val="22"/>
          <w:szCs w:val="22"/>
        </w:rPr>
        <w:t>requirement;</w:t>
      </w:r>
      <w:proofErr w:type="gramEnd"/>
      <w:r>
        <w:rPr>
          <w:rStyle w:val="eop"/>
          <w:rFonts w:ascii="Arial" w:hAnsi="Arial" w:cs="Arial"/>
          <w:sz w:val="22"/>
          <w:szCs w:val="22"/>
        </w:rPr>
        <w:t> </w:t>
      </w:r>
    </w:p>
    <w:p w14:paraId="0D43EF02" w14:textId="77777777" w:rsidR="00A312D9" w:rsidRDefault="00A312D9" w:rsidP="00A312D9">
      <w:pPr>
        <w:pStyle w:val="paragraph"/>
        <w:numPr>
          <w:ilvl w:val="0"/>
          <w:numId w:val="1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 xml:space="preserve">Requiring the failure to be </w:t>
      </w:r>
      <w:proofErr w:type="gramStart"/>
      <w:r>
        <w:rPr>
          <w:rStyle w:val="normaltextrun"/>
          <w:rFonts w:ascii="Arial" w:hAnsi="Arial" w:cs="Arial"/>
          <w:sz w:val="22"/>
          <w:szCs w:val="22"/>
        </w:rPr>
        <w:t>remedied;</w:t>
      </w:r>
      <w:proofErr w:type="gramEnd"/>
      <w:r>
        <w:rPr>
          <w:rStyle w:val="eop"/>
          <w:rFonts w:ascii="Arial" w:hAnsi="Arial" w:cs="Arial"/>
          <w:sz w:val="22"/>
          <w:szCs w:val="22"/>
        </w:rPr>
        <w:t> </w:t>
      </w:r>
    </w:p>
    <w:p w14:paraId="0234CD96" w14:textId="77777777" w:rsidR="00A312D9" w:rsidRDefault="00A312D9" w:rsidP="00A312D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EBFAD43" w14:textId="77777777" w:rsidR="00A312D9" w:rsidRDefault="00A312D9" w:rsidP="00A312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Rule 9 – Substitution or addition of parties</w:t>
      </w:r>
      <w:r>
        <w:rPr>
          <w:rStyle w:val="eop"/>
          <w:rFonts w:ascii="Arial" w:hAnsi="Arial" w:cs="Arial"/>
          <w:sz w:val="22"/>
          <w:szCs w:val="22"/>
        </w:rPr>
        <w:t> </w:t>
      </w:r>
    </w:p>
    <w:p w14:paraId="5A66BEE7" w14:textId="77777777" w:rsidR="00A312D9" w:rsidRDefault="00A312D9" w:rsidP="00A312D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2B6936A" w14:textId="77777777" w:rsidR="00A312D9" w:rsidRDefault="00A312D9" w:rsidP="00A312D9">
      <w:pPr>
        <w:pStyle w:val="paragraph"/>
        <w:numPr>
          <w:ilvl w:val="0"/>
          <w:numId w:val="15"/>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The Tribunal may give a direction substituting a party.</w:t>
      </w:r>
      <w:r>
        <w:rPr>
          <w:rStyle w:val="eop"/>
          <w:rFonts w:ascii="Arial" w:hAnsi="Arial" w:cs="Arial"/>
          <w:sz w:val="22"/>
          <w:szCs w:val="22"/>
        </w:rPr>
        <w:t> </w:t>
      </w:r>
    </w:p>
    <w:p w14:paraId="214207C7" w14:textId="77777777" w:rsidR="00A312D9" w:rsidRDefault="00A312D9" w:rsidP="00A312D9">
      <w:pPr>
        <w:pStyle w:val="paragraph"/>
        <w:numPr>
          <w:ilvl w:val="0"/>
          <w:numId w:val="16"/>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The Tribunal may give a direction adding a party to the proceedings.</w:t>
      </w:r>
      <w:r>
        <w:rPr>
          <w:rStyle w:val="eop"/>
          <w:rFonts w:ascii="Arial" w:hAnsi="Arial" w:cs="Arial"/>
          <w:sz w:val="22"/>
          <w:szCs w:val="22"/>
        </w:rPr>
        <w:t> </w:t>
      </w:r>
    </w:p>
    <w:p w14:paraId="7D310E98" w14:textId="77777777" w:rsidR="00A312D9" w:rsidRDefault="00A312D9" w:rsidP="00A312D9">
      <w:pPr>
        <w:pStyle w:val="paragraph"/>
        <w:numPr>
          <w:ilvl w:val="0"/>
          <w:numId w:val="17"/>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lastRenderedPageBreak/>
        <w:t xml:space="preserve">If the Tribunal gives a direction under (1) or (2) </w:t>
      </w:r>
      <w:proofErr w:type="gramStart"/>
      <w:r>
        <w:rPr>
          <w:rStyle w:val="normaltextrun"/>
          <w:rFonts w:ascii="Arial" w:hAnsi="Arial" w:cs="Arial"/>
          <w:sz w:val="22"/>
          <w:szCs w:val="22"/>
        </w:rPr>
        <w:t>above</w:t>
      </w:r>
      <w:proofErr w:type="gramEnd"/>
      <w:r>
        <w:rPr>
          <w:rStyle w:val="normaltextrun"/>
          <w:rFonts w:ascii="Arial" w:hAnsi="Arial" w:cs="Arial"/>
          <w:sz w:val="22"/>
          <w:szCs w:val="22"/>
        </w:rPr>
        <w:t xml:space="preserve"> it may give any consequential directions.</w:t>
      </w:r>
      <w:r>
        <w:rPr>
          <w:rStyle w:val="eop"/>
          <w:rFonts w:ascii="Arial" w:hAnsi="Arial" w:cs="Arial"/>
          <w:sz w:val="22"/>
          <w:szCs w:val="22"/>
        </w:rPr>
        <w:t> </w:t>
      </w:r>
    </w:p>
    <w:p w14:paraId="5E09CAFD" w14:textId="77777777" w:rsidR="00A312D9" w:rsidRDefault="00A312D9" w:rsidP="00A312D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8BD29CC" w14:textId="77777777" w:rsidR="00A312D9" w:rsidRDefault="00A312D9" w:rsidP="00A312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Rule 10 – No power to award costs</w:t>
      </w:r>
      <w:r>
        <w:rPr>
          <w:rStyle w:val="eop"/>
          <w:rFonts w:ascii="Arial" w:hAnsi="Arial" w:cs="Arial"/>
          <w:sz w:val="22"/>
          <w:szCs w:val="22"/>
        </w:rPr>
        <w:t> </w:t>
      </w:r>
    </w:p>
    <w:p w14:paraId="4BF94170" w14:textId="77777777" w:rsidR="00A312D9" w:rsidRDefault="00A312D9" w:rsidP="00A312D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45046B8" w14:textId="77777777" w:rsidR="00A312D9" w:rsidRDefault="00A312D9" w:rsidP="00A312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Tribunal may not make any order in respect of costs (or in Scotland, expenses). </w:t>
      </w:r>
      <w:r>
        <w:rPr>
          <w:rStyle w:val="eop"/>
          <w:rFonts w:ascii="Arial" w:hAnsi="Arial" w:cs="Arial"/>
          <w:sz w:val="22"/>
          <w:szCs w:val="22"/>
        </w:rPr>
        <w:t> </w:t>
      </w:r>
    </w:p>
    <w:p w14:paraId="50E4D848" w14:textId="77777777" w:rsidR="00342EBF" w:rsidRDefault="00342EBF"/>
    <w:p w14:paraId="46C823AD" w14:textId="77777777" w:rsidR="003560BC" w:rsidRDefault="003560BC"/>
    <w:p w14:paraId="4A557FD1" w14:textId="77777777" w:rsidR="003560BC" w:rsidRDefault="003560BC" w:rsidP="003560B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D1546BF" w14:textId="77777777" w:rsidR="003560BC" w:rsidRDefault="003560BC" w:rsidP="003560B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u w:val="single"/>
        </w:rPr>
        <w:t>Practice Statement dated 01.04.18</w:t>
      </w:r>
      <w:r>
        <w:rPr>
          <w:rStyle w:val="eop"/>
          <w:rFonts w:ascii="Arial" w:hAnsi="Arial" w:cs="Arial"/>
          <w:sz w:val="22"/>
          <w:szCs w:val="22"/>
        </w:rPr>
        <w:t> </w:t>
      </w:r>
    </w:p>
    <w:p w14:paraId="4447F4B7" w14:textId="77777777" w:rsidR="003560BC" w:rsidRDefault="003560BC" w:rsidP="003560B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u w:val="single"/>
        </w:rPr>
        <w:t>Service of documents</w:t>
      </w:r>
      <w:r>
        <w:rPr>
          <w:rStyle w:val="eop"/>
          <w:rFonts w:ascii="Arial" w:hAnsi="Arial" w:cs="Arial"/>
          <w:sz w:val="22"/>
          <w:szCs w:val="22"/>
        </w:rPr>
        <w:t> </w:t>
      </w:r>
    </w:p>
    <w:p w14:paraId="1783D677" w14:textId="77777777" w:rsidR="003560BC" w:rsidRDefault="003560BC" w:rsidP="003560B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7C75FBC" w14:textId="77777777" w:rsidR="003560BC" w:rsidRDefault="003560BC" w:rsidP="003560B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This Practice Statement requires all parties to serve on both the Tribunal and the other parties at the addresses registered for the purposes of any appeal, all written evidence no later than five working days before the commencement of the hearing. A working day excludes Saturdays, Sundays and public holidays.</w:t>
      </w:r>
      <w:r>
        <w:rPr>
          <w:rStyle w:val="eop"/>
          <w:rFonts w:ascii="Arial" w:hAnsi="Arial" w:cs="Arial"/>
          <w:sz w:val="22"/>
          <w:szCs w:val="22"/>
        </w:rPr>
        <w:t> </w:t>
      </w:r>
    </w:p>
    <w:p w14:paraId="2CDD8C20" w14:textId="77777777" w:rsidR="003560BC" w:rsidRDefault="003560BC"/>
    <w:sectPr w:rsidR="003560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F72EF"/>
    <w:multiLevelType w:val="multilevel"/>
    <w:tmpl w:val="124C50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85D5D"/>
    <w:multiLevelType w:val="multilevel"/>
    <w:tmpl w:val="1C52EB4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3C663F7"/>
    <w:multiLevelType w:val="multilevel"/>
    <w:tmpl w:val="6F48AE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951869"/>
    <w:multiLevelType w:val="multilevel"/>
    <w:tmpl w:val="522261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E20156"/>
    <w:multiLevelType w:val="multilevel"/>
    <w:tmpl w:val="CEF2C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B647E4"/>
    <w:multiLevelType w:val="multilevel"/>
    <w:tmpl w:val="90FA2A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FCE68C5"/>
    <w:multiLevelType w:val="multilevel"/>
    <w:tmpl w:val="5C0A80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0AE654F"/>
    <w:multiLevelType w:val="multilevel"/>
    <w:tmpl w:val="A0984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CA4BA5"/>
    <w:multiLevelType w:val="multilevel"/>
    <w:tmpl w:val="8A042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4010A8"/>
    <w:multiLevelType w:val="multilevel"/>
    <w:tmpl w:val="55CCFA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35708D4"/>
    <w:multiLevelType w:val="multilevel"/>
    <w:tmpl w:val="CB4234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F03F7A"/>
    <w:multiLevelType w:val="multilevel"/>
    <w:tmpl w:val="D236EB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AD02254"/>
    <w:multiLevelType w:val="multilevel"/>
    <w:tmpl w:val="7320F0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0B4D4B"/>
    <w:multiLevelType w:val="multilevel"/>
    <w:tmpl w:val="F81A8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BF0E86"/>
    <w:multiLevelType w:val="multilevel"/>
    <w:tmpl w:val="D7DA5B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9C0975"/>
    <w:multiLevelType w:val="multilevel"/>
    <w:tmpl w:val="1958B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350EA7"/>
    <w:multiLevelType w:val="multilevel"/>
    <w:tmpl w:val="A0C674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6"/>
  </w:num>
  <w:num w:numId="3">
    <w:abstractNumId w:val="5"/>
  </w:num>
  <w:num w:numId="4">
    <w:abstractNumId w:val="11"/>
  </w:num>
  <w:num w:numId="5">
    <w:abstractNumId w:val="1"/>
  </w:num>
  <w:num w:numId="6">
    <w:abstractNumId w:val="15"/>
  </w:num>
  <w:num w:numId="7">
    <w:abstractNumId w:val="7"/>
  </w:num>
  <w:num w:numId="8">
    <w:abstractNumId w:val="0"/>
  </w:num>
  <w:num w:numId="9">
    <w:abstractNumId w:val="2"/>
  </w:num>
  <w:num w:numId="10">
    <w:abstractNumId w:val="3"/>
  </w:num>
  <w:num w:numId="11">
    <w:abstractNumId w:val="8"/>
  </w:num>
  <w:num w:numId="12">
    <w:abstractNumId w:val="12"/>
  </w:num>
  <w:num w:numId="13">
    <w:abstractNumId w:val="9"/>
  </w:num>
  <w:num w:numId="14">
    <w:abstractNumId w:val="6"/>
  </w:num>
  <w:num w:numId="15">
    <w:abstractNumId w:val="4"/>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D9"/>
    <w:rsid w:val="00342EBF"/>
    <w:rsid w:val="003560BC"/>
    <w:rsid w:val="009B77DC"/>
    <w:rsid w:val="00A312D9"/>
    <w:rsid w:val="00D52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370B7"/>
  <w15:chartTrackingRefBased/>
  <w15:docId w15:val="{F496CAD9-C821-4D5D-B5BF-7CA9FD5B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312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312D9"/>
  </w:style>
  <w:style w:type="character" w:customStyle="1" w:styleId="eop">
    <w:name w:val="eop"/>
    <w:basedOn w:val="DefaultParagraphFont"/>
    <w:rsid w:val="00A312D9"/>
  </w:style>
  <w:style w:type="character" w:customStyle="1" w:styleId="tabchar">
    <w:name w:val="tabchar"/>
    <w:basedOn w:val="DefaultParagraphFont"/>
    <w:rsid w:val="00A31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70C5197A4DF544864764B78D79284C" ma:contentTypeVersion="4" ma:contentTypeDescription="Create a new document." ma:contentTypeScope="" ma:versionID="6ba5d9818be54bd08c31b0d579fd8fa9">
  <xsd:schema xmlns:xsd="http://www.w3.org/2001/XMLSchema" xmlns:xs="http://www.w3.org/2001/XMLSchema" xmlns:p="http://schemas.microsoft.com/office/2006/metadata/properties" xmlns:ns2="30bcb7eb-95d2-4db7-9bd4-d3a4061f6906" xmlns:ns3="e1f3c213-3c93-4254-8372-51643d3404e4" targetNamespace="http://schemas.microsoft.com/office/2006/metadata/properties" ma:root="true" ma:fieldsID="ae2fb482e5d8e8c492fe4b0f64085764" ns2:_="" ns3:_="">
    <xsd:import namespace="30bcb7eb-95d2-4db7-9bd4-d3a4061f6906"/>
    <xsd:import namespace="e1f3c213-3c93-4254-8372-51643d3404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cb7eb-95d2-4db7-9bd4-d3a4061f6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3c213-3c93-4254-8372-51643d3404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AD486-E991-4AAB-99B2-7A0E68764674}">
  <ds:schemaRefs>
    <ds:schemaRef ds:uri="http://purl.org/dc/terms/"/>
    <ds:schemaRef ds:uri="e1f3c213-3c93-4254-8372-51643d3404e4"/>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 ds:uri="http://schemas.openxmlformats.org/package/2006/metadata/core-properties"/>
    <ds:schemaRef ds:uri="30bcb7eb-95d2-4db7-9bd4-d3a4061f6906"/>
    <ds:schemaRef ds:uri="http://www.w3.org/XML/1998/namespace"/>
  </ds:schemaRefs>
</ds:datastoreItem>
</file>

<file path=customXml/itemProps2.xml><?xml version="1.0" encoding="utf-8"?>
<ds:datastoreItem xmlns:ds="http://schemas.openxmlformats.org/officeDocument/2006/customXml" ds:itemID="{179BB474-EC06-4D0A-B4D5-DCBA0D0DADAA}">
  <ds:schemaRefs>
    <ds:schemaRef ds:uri="http://schemas.microsoft.com/sharepoint/v3/contenttype/forms"/>
  </ds:schemaRefs>
</ds:datastoreItem>
</file>

<file path=customXml/itemProps3.xml><?xml version="1.0" encoding="utf-8"?>
<ds:datastoreItem xmlns:ds="http://schemas.openxmlformats.org/officeDocument/2006/customXml" ds:itemID="{4F8A56A9-04F6-47E0-BA09-9447AB96C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cb7eb-95d2-4db7-9bd4-d3a4061f6906"/>
    <ds:schemaRef ds:uri="e1f3c213-3c93-4254-8372-51643d340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2398</Characters>
  <Application>Microsoft Office Word</Application>
  <DocSecurity>0</DocSecurity>
  <Lines>19</Lines>
  <Paragraphs>5</Paragraphs>
  <ScaleCrop>false</ScaleCrop>
  <Company>MOJ</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Jacqui</dc:creator>
  <cp:keywords/>
  <dc:description/>
  <cp:lastModifiedBy>Essien, Joy</cp:lastModifiedBy>
  <cp:revision>2</cp:revision>
  <dcterms:created xsi:type="dcterms:W3CDTF">2023-08-08T16:52:00Z</dcterms:created>
  <dcterms:modified xsi:type="dcterms:W3CDTF">2023-08-08T16:52:00Z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0x0101009C70C5197A4DF544864764B78D79284C</vt:lpwstr>
  </property>
</Properties>
</file>